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외환-및-파생상품거래업무지침"/>
      <w:r>
        <w:rPr/>
        <w:t>외환 및 파생상품거래업무지침</w:t>
      </w:r>
    </w:p>
    <w:p>
      <w:pPr>
        <w:pStyle w:val="FirstParagraph"/>
        <w:rPr/>
      </w:pPr>
      <w:r>
        <w:rPr/>
        <w:t xml:space="preserve">ㆍ개정 </w:t>
      </w:r>
      <w:r>
        <w:rPr/>
        <w:t>2006-01-09</w:t>
      </w:r>
    </w:p>
    <w:p>
      <w:pPr>
        <w:pStyle w:val="BodyText"/>
        <w:rPr/>
      </w:pPr>
      <w:r>
        <w:rPr/>
        <w:t xml:space="preserve">ㆍ개정 </w:t>
      </w:r>
      <w:r>
        <w:rPr/>
        <w:t>2006-04-25</w:t>
      </w:r>
    </w:p>
    <w:p>
      <w:pPr>
        <w:pStyle w:val="BodyText"/>
        <w:rPr/>
      </w:pPr>
      <w:r>
        <w:rPr/>
        <w:t xml:space="preserve">ㆍ개정 </w:t>
      </w:r>
      <w:r>
        <w:rPr/>
        <w:t>2007-05-16</w:t>
      </w:r>
    </w:p>
    <w:p>
      <w:pPr>
        <w:pStyle w:val="BodyText"/>
        <w:rPr/>
      </w:pPr>
      <w:r>
        <w:rPr/>
        <w:t xml:space="preserve">ㆍ개정 </w:t>
      </w:r>
      <w:r>
        <w:rPr/>
        <w:t>2008-01-24</w:t>
      </w:r>
    </w:p>
    <w:p>
      <w:pPr>
        <w:pStyle w:val="BodyText"/>
        <w:rPr/>
      </w:pPr>
      <w:r>
        <w:rPr/>
        <w:t xml:space="preserve">ㆍ개정 </w:t>
      </w:r>
      <w:r>
        <w:rPr/>
        <w:t>2008-03-11</w:t>
      </w:r>
    </w:p>
    <w:p>
      <w:pPr>
        <w:pStyle w:val="BodyText"/>
        <w:rPr/>
      </w:pPr>
      <w:r>
        <w:rPr/>
        <w:t xml:space="preserve">ㆍ개정 </w:t>
      </w:r>
      <w:r>
        <w:rPr/>
        <w:t>2008-04-25</w:t>
      </w:r>
    </w:p>
    <w:p>
      <w:pPr>
        <w:pStyle w:val="BodyText"/>
        <w:rPr/>
      </w:pPr>
      <w:r>
        <w:rPr/>
        <w:t xml:space="preserve">ㆍ개정 </w:t>
      </w:r>
      <w:r>
        <w:rPr/>
        <w:t>2008-11-10</w:t>
      </w:r>
    </w:p>
    <w:p>
      <w:pPr>
        <w:pStyle w:val="BodyText"/>
        <w:rPr/>
      </w:pPr>
      <w:r>
        <w:rPr/>
        <w:t xml:space="preserve">ㆍ개정 </w:t>
      </w:r>
      <w:r>
        <w:rPr/>
        <w:t>2009-07-02</w:t>
      </w:r>
    </w:p>
    <w:p>
      <w:pPr>
        <w:pStyle w:val="BodyText"/>
        <w:rPr/>
      </w:pPr>
      <w:r>
        <w:rPr/>
        <w:t xml:space="preserve">ㆍ개정 </w:t>
      </w:r>
      <w:r>
        <w:rPr/>
        <w:t>2010-01-19</w:t>
      </w:r>
    </w:p>
    <w:p>
      <w:pPr>
        <w:pStyle w:val="BodyText"/>
        <w:rPr/>
      </w:pPr>
      <w:r>
        <w:rPr/>
        <w:t xml:space="preserve">ㆍ개정 </w:t>
      </w:r>
      <w:r>
        <w:rPr/>
        <w:t>2010-01-29</w:t>
      </w:r>
    </w:p>
    <w:p>
      <w:pPr>
        <w:pStyle w:val="BodyText"/>
        <w:rPr/>
      </w:pPr>
      <w:r>
        <w:rPr/>
        <w:t xml:space="preserve">ㆍ개정 </w:t>
      </w:r>
      <w:r>
        <w:rPr/>
        <w:t>2010-08-18</w:t>
      </w:r>
    </w:p>
    <w:p>
      <w:pPr>
        <w:pStyle w:val="BodyText"/>
        <w:rPr/>
      </w:pPr>
      <w:r>
        <w:rPr/>
        <w:t xml:space="preserve">ㆍ개정 </w:t>
      </w:r>
      <w:r>
        <w:rPr/>
        <w:t>2010-11-25</w:t>
      </w:r>
    </w:p>
    <w:p>
      <w:pPr>
        <w:pStyle w:val="BodyText"/>
        <w:rPr/>
      </w:pPr>
      <w:r>
        <w:rPr/>
        <w:t xml:space="preserve">ㆍ개정 </w:t>
      </w:r>
      <w:r>
        <w:rPr/>
        <w:t>2011-02-24</w:t>
      </w:r>
    </w:p>
    <w:p>
      <w:pPr>
        <w:pStyle w:val="BodyText"/>
        <w:rPr/>
      </w:pPr>
      <w:r>
        <w:rPr/>
        <w:t xml:space="preserve">ㆍ개정 </w:t>
      </w:r>
      <w:r>
        <w:rPr/>
        <w:t>2011-06-08</w:t>
      </w:r>
    </w:p>
    <w:p>
      <w:pPr>
        <w:pStyle w:val="BodyText"/>
        <w:rPr/>
      </w:pPr>
      <w:r>
        <w:rPr/>
        <w:t xml:space="preserve">ㆍ개정 </w:t>
      </w:r>
      <w:r>
        <w:rPr/>
        <w:t>2012-06-12</w:t>
      </w:r>
    </w:p>
    <w:p>
      <w:pPr>
        <w:pStyle w:val="BodyText"/>
        <w:rPr/>
      </w:pPr>
      <w:r>
        <w:rPr/>
        <w:t xml:space="preserve">ㆍ개정 </w:t>
      </w:r>
      <w:r>
        <w:rPr/>
        <w:t>2012-08-03</w:t>
      </w:r>
    </w:p>
    <w:p>
      <w:pPr>
        <w:pStyle w:val="BodyText"/>
        <w:rPr/>
      </w:pPr>
      <w:r>
        <w:rPr/>
        <w:t xml:space="preserve">ㆍ개정 </w:t>
      </w:r>
      <w:r>
        <w:rPr/>
        <w:t>2014-09-01</w:t>
      </w:r>
    </w:p>
    <w:p>
      <w:pPr>
        <w:pStyle w:val="BodyText"/>
        <w:rPr/>
      </w:pPr>
      <w:r>
        <w:rPr/>
        <w:t xml:space="preserve">ㆍ개정 </w:t>
      </w:r>
      <w:r>
        <w:rPr/>
        <w:t>2015-12-24</w:t>
      </w:r>
    </w:p>
    <w:p>
      <w:pPr>
        <w:pStyle w:val="BodyText"/>
        <w:rPr/>
      </w:pPr>
      <w:r>
        <w:rPr/>
        <w:t xml:space="preserve">ㆍ개정 </w:t>
      </w:r>
      <w:r>
        <w:rPr/>
        <w:t>2016-10-27</w:t>
      </w:r>
    </w:p>
    <w:p>
      <w:pPr>
        <w:pStyle w:val="BodyText"/>
        <w:rPr/>
      </w:pPr>
      <w:r>
        <w:rPr/>
        <w:t xml:space="preserve">ㆍ개정 </w:t>
      </w:r>
      <w:r>
        <w:rPr/>
        <w:t>2016-12-27</w:t>
      </w:r>
    </w:p>
    <w:p>
      <w:pPr>
        <w:pStyle w:val="BodyText"/>
        <w:rPr/>
      </w:pPr>
      <w:r>
        <w:rPr/>
        <w:t xml:space="preserve">ㆍ개정 </w:t>
      </w:r>
      <w:r>
        <w:rPr/>
        <w:t>2017-07-28</w:t>
      </w:r>
    </w:p>
    <w:p>
      <w:pPr>
        <w:pStyle w:val="BodyText"/>
        <w:rPr/>
      </w:pPr>
      <w:r>
        <w:rPr/>
        <w:t xml:space="preserve">ㆍ개정 </w:t>
      </w:r>
      <w:r>
        <w:rPr/>
        <w:t>2017-09-01</w:t>
      </w:r>
    </w:p>
    <w:p>
      <w:pPr>
        <w:pStyle w:val="BodyText"/>
        <w:rPr/>
      </w:pPr>
      <w:r>
        <w:rPr/>
        <w:t xml:space="preserve">ㆍ개정 </w:t>
      </w:r>
      <w:r>
        <w:rPr/>
        <w:t>2018-12-26</w:t>
      </w:r>
    </w:p>
    <w:p>
      <w:pPr>
        <w:pStyle w:val="BodyText"/>
        <w:rPr/>
      </w:pPr>
      <w:r>
        <w:rPr/>
        <w:t xml:space="preserve">ㆍ개정 </w:t>
      </w:r>
      <w:r>
        <w:rPr/>
        <w:t>2019-06-17</w:t>
      </w:r>
    </w:p>
    <w:p>
      <w:pPr>
        <w:pStyle w:val="BodyText"/>
        <w:rPr/>
      </w:pPr>
      <w:r>
        <w:rPr/>
        <w:t xml:space="preserve">ㆍ개정 </w:t>
      </w:r>
      <w:r>
        <w:rPr/>
        <w:t>2019-10-14</w:t>
      </w:r>
    </w:p>
    <w:p>
      <w:pPr>
        <w:pStyle w:val="BodyText"/>
        <w:rPr/>
      </w:pPr>
      <w:r>
        <w:rPr/>
        <w:t xml:space="preserve">ㆍ개정 </w:t>
      </w:r>
      <w:r>
        <w:rPr/>
        <w:t>2020-03-03</w:t>
      </w:r>
    </w:p>
    <w:p>
      <w:pPr>
        <w:pStyle w:val="BodyText"/>
        <w:rPr/>
      </w:pPr>
      <w:r>
        <w:rPr/>
        <w:t xml:space="preserve">ㆍ개정 </w:t>
      </w:r>
      <w:r>
        <w:rPr/>
        <w:t>2021-09-24</w:t>
      </w:r>
    </w:p>
    <w:p>
      <w:pPr>
        <w:pStyle w:val="BodyText"/>
        <w:rPr/>
      </w:pPr>
      <w:r>
        <w:rPr/>
        <w:t xml:space="preserve">ㆍ개정 </w:t>
      </w:r>
      <w:r>
        <w:rPr/>
        <w:t>2024-07-01</w:t>
      </w:r>
    </w:p>
    <w:p>
      <w:pPr>
        <w:pStyle w:val="BodyText"/>
        <w:rPr/>
      </w:pPr>
      <w:r>
        <w:rPr/>
        <w:t xml:space="preserve">ㆍ개정 </w:t>
      </w:r>
      <w:r>
        <w:rPr/>
        <w:t>2024-07-15</w:t>
      </w:r>
    </w:p>
    <w:p>
      <w:pPr>
        <w:pStyle w:val="BodyText"/>
        <w:rPr/>
      </w:pPr>
      <w:r>
        <w:rPr/>
        <w:t xml:space="preserve">ㆍ개정 </w:t>
      </w:r>
      <w:r>
        <w:rPr/>
        <w:t>2024-09-30</w:t>
      </w:r>
    </w:p>
    <w:p>
      <w:pPr>
        <w:pStyle w:val="BodyText"/>
        <w:rPr/>
      </w:pPr>
      <w:r>
        <w:rPr/>
        <w:t xml:space="preserve">ㆍ개정 </w:t>
      </w:r>
      <w:r>
        <w:rPr/>
        <w:t>2024-10-28</w:t>
      </w:r>
    </w:p>
    <w:p>
      <w:pPr>
        <w:pStyle w:val="BodyText"/>
        <w:rPr/>
      </w:pPr>
      <w:r>
        <w:rPr/>
        <w:t xml:space="preserve">ㆍ개정 </w:t>
      </w:r>
      <w:r>
        <w:rPr/>
        <w:t>2024-12-27</w:t>
      </w:r>
    </w:p>
    <w:p>
      <w:pPr>
        <w:pStyle w:val="BodyText"/>
        <w:rPr/>
      </w:pPr>
      <w:r>
        <w:rPr/>
        <w:t xml:space="preserve">ㆍ개정 </w:t>
      </w:r>
      <w:r>
        <w:rPr/>
        <w:t>2025-05-07</w:t>
      </w:r>
    </w:p>
    <w:p>
      <w:pPr>
        <w:pStyle w:val="BodyText"/>
        <w:rPr/>
      </w:pPr>
      <w:r>
        <w:rPr/>
        <w:t xml:space="preserve">ㆍ개정 </w:t>
      </w:r>
      <w:r>
        <w:rPr/>
        <w:t>2025-05-13</w:t>
      </w:r>
    </w:p>
    <w:p>
      <w:pPr>
        <w:pStyle w:val="BodyText"/>
        <w:rPr/>
      </w:pPr>
      <w:r>
        <w:rPr/>
        <w:t xml:space="preserve">ㆍ개정 </w:t>
      </w:r>
      <w:r>
        <w:rPr/>
        <w:t>2025-07-01</w:t>
      </w:r>
    </w:p>
    <w:p>
      <w:pPr>
        <w:pStyle w:val="BodyText"/>
        <w:rPr/>
      </w:pPr>
      <w:r>
        <w:rPr/>
        <w:t xml:space="preserve">ㆍ개정 </w:t>
      </w:r>
      <w:r>
        <w:rPr/>
        <w:t>2025-11-14</w:t>
      </w:r>
    </w:p>
    <w:p>
      <w:pPr>
        <w:pStyle w:val="BodyText"/>
        <w:rPr/>
      </w:pPr>
      <w:r>
        <w:rPr/>
        <w:t xml:space="preserve">ㆍ개정 </w:t>
      </w:r>
      <w:r>
        <w:rPr/>
        <w:t>2025-12-30</w:t>
      </w:r>
    </w:p>
    <w:p>
      <w:pPr>
        <w:pStyle w:val="Heading2"/>
        <w:rPr/>
      </w:pPr>
      <w:bookmarkStart w:id="1" w:name="제1장-총칙"/>
      <w:r>
        <w:rPr/>
        <w:t>제</w:t>
      </w:r>
      <w:r>
        <w:rPr/>
        <w:t>1</w:t>
      </w:r>
      <w:r>
        <w:rPr/>
        <w:t>장 총칙</w:t>
      </w:r>
    </w:p>
    <w:p>
      <w:pPr>
        <w:pStyle w:val="Compact"/>
        <w:numPr>
          <w:ilvl w:val="0"/>
          <w:numId w:val="144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지침은 국제금융규정에서 정한 외환 및 파생상품거래업무를 취급함에 있어 필요한 세부사항을 정함을 목적으로 한다</w:t>
      </w:r>
      <w:r>
        <w:rPr/>
        <w:t>.</w:t>
      </w:r>
    </w:p>
    <w:p>
      <w:pPr>
        <w:pStyle w:val="Compact"/>
        <w:numPr>
          <w:ilvl w:val="0"/>
          <w:numId w:val="145"/>
        </w:numPr>
        <w:rPr/>
      </w:pPr>
      <w:r>
        <w:rPr/>
        <w:t>용어의 정의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「개별거래」라 함은 외환ㆍ파생상품거래 약정 시 징구한 계약서 또는 약정서의 적용을 받는 각 거래를 말한다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「대고객거래」라 함은 은행간거래 이외의 모든 거래를 말한다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「매매목적거래」라 함은 위험회피목적거래가 아닌 모든 파생금융거래를 말한다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「비정형파생상품거래」라 함은 정형화된 거래와 다르게 파생상품거래를 합성하거나 거래조건을 변형시킨 거래로 「은행업감독업무시행세칙」별책서식</w:t>
      </w:r>
      <w:r>
        <w:rPr/>
        <w:t>(</w:t>
      </w:r>
      <w:r>
        <w:rPr/>
        <w:t>업무보고서</w:t>
      </w:r>
      <w:r>
        <w:rPr/>
        <w:t>) “4.</w:t>
      </w:r>
      <w:r>
        <w:rPr/>
        <w:t>파생상품거래현황” 보고서 양식에서 규정한 거래를 말한다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「신용리스크」라 함은 거래상대방의 경영상태 악화</w:t>
      </w:r>
      <w:r>
        <w:rPr/>
        <w:t xml:space="preserve">, </w:t>
      </w:r>
      <w:r>
        <w:rPr/>
        <w:t>신용도 하락 또는 채무불이행 등으로 손실이 발생할 위험을 말한다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「실수요한도」라 함은 당행이 고객의 연간 장외파생상품거래 한도로 설정한 위험회피대상 인정금액을 말한다</w:t>
      </w:r>
      <w:r>
        <w:rPr/>
        <w:t>.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「외환거래」라 함은 현물환거래</w:t>
      </w:r>
      <w:r>
        <w:rPr/>
        <w:t xml:space="preserve">, </w:t>
      </w:r>
      <w:r>
        <w:rPr/>
        <w:t>선물환거래</w:t>
      </w:r>
      <w:r>
        <w:rPr/>
        <w:t xml:space="preserve">, </w:t>
      </w:r>
      <w:r>
        <w:rPr/>
        <w:t>외환스왑거래 및 기타 이와 유사한 거래를 말한다</w:t>
      </w:r>
      <w:r>
        <w:rPr/>
        <w:t>.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「위험회피대상」이라 함은 고객이 보유하고 있거나 보유할 예정인 자산‧부채‧계약 등을 말한다</w:t>
      </w:r>
      <w:r>
        <w:rPr/>
        <w:t>.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「위험회피대상 인정금액」이라 함은 고객의 위험회피대상 금액 중 당행이 위험회피가 필요하다고 인정한 금액을 말한다</w:t>
      </w:r>
      <w:r>
        <w:rPr/>
        <w:t>.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「위험회피목적거래」라 함은 위험회피를 하려는 고객이 위험회피대상에 대하여 미래에 발생할 수 있는 경제적 손실을 부분적 또는 전체적으로 줄이기 위한 거래로서 계약체결 당시 다음 각 호의 요건을 충족하는 거래를 말한다</w:t>
      </w:r>
      <w:r>
        <w:rPr/>
        <w:t>.</w:t>
      </w:r>
    </w:p>
    <w:p>
      <w:pPr>
        <w:pStyle w:val="Normal"/>
        <w:numPr>
          <w:ilvl w:val="0"/>
          <w:numId w:val="146"/>
        </w:numPr>
        <w:rPr/>
      </w:pPr>
      <w:r>
        <w:rPr/>
        <w:t>위험회피대상을 보유하고 있거나 보유할 예정일 것</w:t>
      </w:r>
    </w:p>
    <w:p>
      <w:pPr>
        <w:pStyle w:val="Normal"/>
        <w:numPr>
          <w:ilvl w:val="0"/>
          <w:numId w:val="3"/>
        </w:numPr>
        <w:rPr/>
      </w:pPr>
      <w:r>
        <w:rPr/>
        <w:t>장외파생상품거래 계약기간 중 해당 거래에서 발생할 수 있는 손익이 위험회피대상에서 발생할 수 있는 손익의 범위를 초과하지 아니할 것</w:t>
      </w:r>
    </w:p>
    <w:p>
      <w:pPr>
        <w:pStyle w:val="FirstParagraph"/>
        <w:rPr/>
      </w:pPr>
      <w:r>
        <w:rPr/>
        <w:t>카</w:t>
      </w:r>
      <w:r>
        <w:rPr/>
        <w:t xml:space="preserve">. </w:t>
      </w:r>
      <w:r>
        <w:rPr/>
        <w:t>「위험회피비율」이라 함은 실수요한도</w:t>
      </w:r>
      <w:r>
        <w:rPr/>
        <w:t xml:space="preserve">(A) </w:t>
      </w:r>
      <w:r>
        <w:rPr/>
        <w:t>대비 당행 및 타 금융기관파생상품 거래 잔액</w:t>
      </w:r>
      <w:r>
        <w:rPr/>
        <w:t>(B)</w:t>
      </w:r>
      <w:r>
        <w:rPr/>
        <w:t>에 한국무역보험공사 환변동보험 금액</w:t>
      </w:r>
      <w:r>
        <w:rPr/>
        <w:t>(C)</w:t>
      </w:r>
      <w:r>
        <w:rPr/>
        <w:t>과 금차체결한 장외파생상품거래의 최대 결제금액</w:t>
      </w:r>
      <w:r>
        <w:rPr/>
        <w:t>(D)</w:t>
      </w:r>
      <w:r>
        <w:rPr/>
        <w:t>을 가산한 금액의 비율</w:t>
      </w:r>
      <w:r>
        <w:rPr/>
        <w:t>{(B+C+D)/A}</w:t>
      </w:r>
      <w:r>
        <w:rPr/>
        <w:t>을 말한다</w:t>
      </w:r>
      <w:r>
        <w:rPr/>
        <w:t>.</w:t>
      </w:r>
    </w:p>
    <w:p>
      <w:pPr>
        <w:pStyle w:val="BodyText"/>
        <w:rPr/>
      </w:pPr>
      <w:r>
        <w:rPr/>
        <w:t>타</w:t>
      </w:r>
      <w:r>
        <w:rPr/>
        <w:t xml:space="preserve">. </w:t>
      </w:r>
      <w:r>
        <w:rPr/>
        <w:t>「은행간거래」라 함은 국내 외국환은행</w:t>
      </w:r>
      <w:r>
        <w:rPr/>
        <w:t xml:space="preserve">, </w:t>
      </w:r>
      <w:r>
        <w:rPr/>
        <w:t>동 외국환은행의 국외지점</w:t>
      </w:r>
      <w:r>
        <w:rPr/>
        <w:t xml:space="preserve">, </w:t>
      </w:r>
      <w:r>
        <w:rPr/>
        <w:t>동 외국환은행이 경영권을 보유한 해외현지법인</w:t>
      </w:r>
      <w:r>
        <w:rPr/>
        <w:t>(</w:t>
      </w:r>
      <w:r>
        <w:rPr/>
        <w:t>국내 종합금융회사의 해외현지법인은 제외한다</w:t>
      </w:r>
      <w:r>
        <w:rPr/>
        <w:t xml:space="preserve">), </w:t>
      </w:r>
      <w:r>
        <w:rPr/>
        <w:t>거래소</w:t>
      </w:r>
      <w:r>
        <w:rPr/>
        <w:t xml:space="preserve">, </w:t>
      </w:r>
      <w:r>
        <w:rPr/>
        <w:t>외국금융기관</w:t>
      </w:r>
      <w:r>
        <w:rPr/>
        <w:t>(</w:t>
      </w:r>
      <w:r>
        <w:rPr/>
        <w:t>비은행 금융기관의 국내지점은 제외한다</w:t>
      </w:r>
      <w:r>
        <w:rPr/>
        <w:t xml:space="preserve">) </w:t>
      </w:r>
      <w:r>
        <w:rPr/>
        <w:t>또는 국내 외환시장에 참여하는 기타 금융기관</w:t>
      </w:r>
      <w:r>
        <w:rPr/>
        <w:t>(</w:t>
      </w:r>
      <w:r>
        <w:rPr/>
        <w:t>증권회사</w:t>
      </w:r>
      <w:r>
        <w:rPr/>
        <w:t xml:space="preserve">, </w:t>
      </w:r>
      <w:r>
        <w:rPr/>
        <w:t>종합금융회사</w:t>
      </w:r>
      <w:r>
        <w:rPr/>
        <w:t xml:space="preserve">, </w:t>
      </w:r>
      <w:r>
        <w:rPr/>
        <w:t>투자회사 및 보험회사 등 금융투자업자</w:t>
      </w:r>
      <w:r>
        <w:rPr/>
        <w:t>)</w:t>
      </w:r>
      <w:r>
        <w:rPr/>
        <w:t>과의 거래를 말한다</w:t>
      </w:r>
      <w:r>
        <w:rPr/>
        <w:t>.</w:t>
      </w:r>
    </w:p>
    <w:p>
      <w:pPr>
        <w:pStyle w:val="BodyText"/>
        <w:rPr/>
      </w:pPr>
      <w:r>
        <w:rPr/>
        <w:t>파</w:t>
      </w:r>
      <w:r>
        <w:rPr/>
        <w:t xml:space="preserve">. </w:t>
      </w:r>
      <w:r>
        <w:rPr/>
        <w:t>「일반투자자」라 함은 전문투자자가 아닌 투자자를 말한다</w:t>
      </w:r>
      <w:r>
        <w:rPr/>
        <w:t>.</w:t>
      </w:r>
    </w:p>
    <w:p>
      <w:pPr>
        <w:pStyle w:val="BodyText"/>
        <w:rPr/>
      </w:pPr>
      <w:r>
        <w:rPr/>
        <w:t>하</w:t>
      </w:r>
      <w:r>
        <w:rPr/>
        <w:t xml:space="preserve">. </w:t>
      </w:r>
      <w:r>
        <w:rPr/>
        <w:t>「장내거래」라 함은 국내외 거래소에서 정하는 방법 및 기준에 따라 행하는 파생상품거래를 말한다</w:t>
      </w:r>
      <w:r>
        <w:rPr/>
        <w:t>.</w:t>
      </w:r>
    </w:p>
    <w:p>
      <w:pPr>
        <w:pStyle w:val="BodyText"/>
        <w:rPr/>
      </w:pPr>
      <w:r>
        <w:rPr/>
        <w:t>거</w:t>
      </w:r>
      <w:r>
        <w:rPr/>
        <w:t xml:space="preserve">. </w:t>
      </w:r>
      <w:r>
        <w:rPr/>
        <w:t>「장외거래」라 함은 명칭</w:t>
      </w:r>
      <w:r>
        <w:rPr/>
        <w:t xml:space="preserve">, </w:t>
      </w:r>
      <w:r>
        <w:rPr/>
        <w:t>방법</w:t>
      </w:r>
      <w:r>
        <w:rPr/>
        <w:t xml:space="preserve">, </w:t>
      </w:r>
      <w:r>
        <w:rPr/>
        <w:t>형태에 불구하고 장내거래에 해당하지 않은 모든 파생상품거래를 말한다</w:t>
      </w:r>
      <w:r>
        <w:rPr/>
        <w:t>.</w:t>
      </w:r>
    </w:p>
    <w:p>
      <w:pPr>
        <w:pStyle w:val="BodyText"/>
        <w:rPr/>
      </w:pPr>
      <w:r>
        <w:rPr/>
        <w:t>너</w:t>
      </w:r>
      <w:r>
        <w:rPr/>
        <w:t xml:space="preserve">. </w:t>
      </w:r>
      <w:r>
        <w:rPr/>
        <w:t>「전문투자자」란 금융투자상품에 관한 전문성 구비여부</w:t>
      </w:r>
      <w:r>
        <w:rPr/>
        <w:t xml:space="preserve">, </w:t>
      </w:r>
      <w:r>
        <w:rPr/>
        <w:t>소유자산규모 등에 비추어 투자에 따른 위험감수능력이 있는 투자자로서 「자본시장과 금융투자업에 관한 법률」</w:t>
      </w:r>
      <w:r>
        <w:rPr/>
        <w:t>(</w:t>
      </w:r>
      <w:r>
        <w:rPr/>
        <w:t>이하</w:t>
      </w:r>
      <w:r>
        <w:rPr/>
        <w:t xml:space="preserve">, </w:t>
      </w:r>
      <w:r>
        <w:rPr/>
        <w:t>「자본시장법」이라 한다</w:t>
      </w:r>
      <w:r>
        <w:rPr/>
        <w:t xml:space="preserve">.) </w:t>
      </w:r>
      <w:r>
        <w:rPr/>
        <w:t>제</w:t>
      </w:r>
      <w:r>
        <w:rPr/>
        <w:t>9</w:t>
      </w:r>
      <w:r>
        <w:rPr/>
        <w:t>조 제</w:t>
      </w:r>
      <w:r>
        <w:rPr/>
        <w:t>5</w:t>
      </w:r>
      <w:r>
        <w:rPr/>
        <w:t>항에서 정하는 자를 말한다</w:t>
      </w:r>
      <w:r>
        <w:rPr/>
        <w:t>.</w:t>
      </w:r>
    </w:p>
    <w:p>
      <w:pPr>
        <w:pStyle w:val="BodyText"/>
        <w:rPr/>
      </w:pPr>
      <w:r>
        <w:rPr/>
        <w:t>더</w:t>
      </w:r>
      <w:r>
        <w:rPr/>
        <w:t xml:space="preserve">. </w:t>
      </w:r>
      <w:r>
        <w:rPr/>
        <w:t>「커버</w:t>
      </w:r>
      <w:r>
        <w:rPr/>
        <w:t>(Cover)</w:t>
      </w:r>
      <w:r>
        <w:rPr/>
        <w:t>거래」라 함은 헤지거래의 일종으로서 은행간 또는 대고객거래로 발생한 포지션을 시장에서 반대거래를 통해 청산하거나 감소시키기 위한 거래를 말한다</w:t>
      </w:r>
      <w:r>
        <w:rPr/>
        <w:t>.</w:t>
      </w:r>
    </w:p>
    <w:p>
      <w:pPr>
        <w:pStyle w:val="BodyText"/>
        <w:rPr/>
      </w:pPr>
      <w:r>
        <w:rPr/>
        <w:t>러</w:t>
      </w:r>
      <w:r>
        <w:rPr/>
        <w:t xml:space="preserve">. </w:t>
      </w:r>
      <w:r>
        <w:rPr/>
        <w:t>「트레이딩거래」라 함은 외환</w:t>
      </w:r>
      <w:r>
        <w:rPr/>
        <w:t xml:space="preserve">, </w:t>
      </w:r>
      <w:r>
        <w:rPr/>
        <w:t>채권</w:t>
      </w:r>
      <w:r>
        <w:rPr/>
        <w:t xml:space="preserve">, </w:t>
      </w:r>
      <w:r>
        <w:rPr/>
        <w:t>주식 등 가격변동을 예측하여 이로부터 매매차익을 획득하려는 목적으로 하는 거래를 말하며</w:t>
      </w:r>
      <w:r>
        <w:rPr/>
        <w:t xml:space="preserve">, </w:t>
      </w:r>
      <w:r>
        <w:rPr/>
        <w:t>거래목적이 헤지 또는 커버를 위한 것이 아닌 거래를 말한다</w:t>
      </w:r>
      <w:r>
        <w:rPr/>
        <w:t>.</w:t>
      </w:r>
    </w:p>
    <w:p>
      <w:pPr>
        <w:pStyle w:val="BodyText"/>
        <w:rPr/>
      </w:pPr>
      <w:r>
        <w:rPr/>
        <w:t>머</w:t>
      </w:r>
      <w:r>
        <w:rPr/>
        <w:t xml:space="preserve">. </w:t>
      </w:r>
      <w:r>
        <w:rPr/>
        <w:t>「파생결합금융상품」이라 함은 일반적인 금융상품</w:t>
      </w:r>
      <w:r>
        <w:rPr/>
        <w:t>(</w:t>
      </w:r>
      <w:r>
        <w:rPr/>
        <w:t>주계약</w:t>
      </w:r>
      <w:r>
        <w:rPr/>
        <w:t>)</w:t>
      </w:r>
      <w:r>
        <w:rPr/>
        <w:t>에 파생상품이 결합된 복합금융상품</w:t>
      </w:r>
      <w:r>
        <w:rPr/>
        <w:t xml:space="preserve">, </w:t>
      </w:r>
      <w:r>
        <w:rPr/>
        <w:t>원리금의 지급금액이나 지급방법이 사전에 약정한 금리</w:t>
      </w:r>
      <w:r>
        <w:rPr/>
        <w:t xml:space="preserve">, </w:t>
      </w:r>
      <w:r>
        <w:rPr/>
        <w:t>환율</w:t>
      </w:r>
      <w:r>
        <w:rPr/>
        <w:t xml:space="preserve">, </w:t>
      </w:r>
      <w:r>
        <w:rPr/>
        <w:t>주식</w:t>
      </w:r>
      <w:r>
        <w:rPr/>
        <w:t xml:space="preserve">, </w:t>
      </w:r>
      <w:r>
        <w:rPr/>
        <w:t>상품</w:t>
      </w:r>
      <w:r>
        <w:rPr/>
        <w:t xml:space="preserve">, </w:t>
      </w:r>
      <w:r>
        <w:rPr/>
        <w:t>신용위험</w:t>
      </w:r>
      <w:r>
        <w:rPr/>
        <w:t xml:space="preserve">, </w:t>
      </w:r>
      <w:r>
        <w:rPr/>
        <w:t>기타위험 등과 관련한 조건 충족여부에 따라 변동되는 상품을 말한다</w:t>
      </w:r>
      <w:r>
        <w:rPr/>
        <w:t>.</w:t>
      </w:r>
    </w:p>
    <w:p>
      <w:pPr>
        <w:pStyle w:val="BodyText"/>
        <w:rPr/>
      </w:pPr>
      <w:r>
        <w:rPr/>
        <w:t>버</w:t>
      </w:r>
      <w:r>
        <w:rPr/>
        <w:t xml:space="preserve">. </w:t>
      </w:r>
      <w:r>
        <w:rPr/>
        <w:t>「파생상품거래」라 함은 자본시장법 제</w:t>
      </w:r>
      <w:r>
        <w:rPr/>
        <w:t>5</w:t>
      </w:r>
      <w:r>
        <w:rPr/>
        <w:t>조 제</w:t>
      </w:r>
      <w:r>
        <w:rPr/>
        <w:t>1</w:t>
      </w:r>
      <w:r>
        <w:rPr/>
        <w:t>항에서 정의된 파생상품의 거래로서</w:t>
      </w:r>
      <w:r>
        <w:rPr/>
        <w:t xml:space="preserve">, (1) </w:t>
      </w:r>
      <w:r>
        <w:rPr/>
        <w:t>기초자산이나 기초자산의 가격</w:t>
      </w:r>
      <w:r>
        <w:rPr/>
        <w:t>·</w:t>
      </w:r>
      <w:r>
        <w:rPr/>
        <w:t>이자율</w:t>
      </w:r>
      <w:r>
        <w:rPr/>
        <w:t>·</w:t>
      </w:r>
      <w:r>
        <w:rPr/>
        <w:t>지표</w:t>
      </w:r>
      <w:r>
        <w:rPr/>
        <w:t>·</w:t>
      </w:r>
      <w:r>
        <w:rPr/>
        <w:t>단위 또는 이를 기초로 하는 지수 등에 의하여 산출된 금전 등을 장래의 특정 시점에 인도할 것으로 약정한 거래</w:t>
      </w:r>
      <w:r>
        <w:rPr/>
        <w:t xml:space="preserve">, (2) </w:t>
      </w:r>
      <w:r>
        <w:rPr/>
        <w:t>당사자 어느 한쪽의 의사표시에 의하여 기초자산이나 기초자산의 가격</w:t>
      </w:r>
      <w:r>
        <w:rPr/>
        <w:t>·</w:t>
      </w:r>
      <w:r>
        <w:rPr/>
        <w:t>이자율</w:t>
      </w:r>
      <w:r>
        <w:rPr/>
        <w:t>·</w:t>
      </w:r>
      <w:r>
        <w:rPr/>
        <w:t>지표</w:t>
      </w:r>
      <w:r>
        <w:rPr/>
        <w:t>·</w:t>
      </w:r>
      <w:r>
        <w:rPr/>
        <w:t xml:space="preserve">단위 또는 이를 기초로 하는 지수 등에 의하여 산출된 금전 등을 수수하는 거래를 성립시킬 수 있는 권리를 부여하는 것을 약정한 거래 또는 </w:t>
      </w:r>
      <w:r>
        <w:rPr/>
        <w:t xml:space="preserve">(3) </w:t>
      </w:r>
      <w:r>
        <w:rPr/>
        <w:t>장래의 일정기간 동안 미리 정한 가격으로 기초자산이나 기초자산의 가격</w:t>
      </w:r>
      <w:r>
        <w:rPr/>
        <w:t>·</w:t>
      </w:r>
      <w:r>
        <w:rPr/>
        <w:t>이자율</w:t>
      </w:r>
      <w:r>
        <w:rPr/>
        <w:t>·</w:t>
      </w:r>
      <w:r>
        <w:rPr/>
        <w:t>지표</w:t>
      </w:r>
      <w:r>
        <w:rPr/>
        <w:t>·</w:t>
      </w:r>
      <w:r>
        <w:rPr/>
        <w:t>단위 또는 이를 기초로 하는 지수 등에 의하여 산출된 금전 등을 교환할 것으로 약정한 거래를 말한다</w:t>
      </w:r>
      <w:r>
        <w:rPr/>
        <w:t>.</w:t>
      </w:r>
    </w:p>
    <w:p>
      <w:pPr>
        <w:pStyle w:val="BodyText"/>
        <w:rPr/>
      </w:pPr>
      <w:r>
        <w:rPr/>
        <w:t>서</w:t>
      </w:r>
      <w:r>
        <w:rPr/>
        <w:t xml:space="preserve">. </w:t>
      </w:r>
      <w:r>
        <w:rPr/>
        <w:t>「포지션」이라 함은 외국통화의 매매차액</w:t>
      </w:r>
      <w:r>
        <w:rPr/>
        <w:t>(</w:t>
      </w:r>
      <w:r>
        <w:rPr/>
        <w:t>외환포지션</w:t>
      </w:r>
      <w:r>
        <w:rPr/>
        <w:t xml:space="preserve">) </w:t>
      </w:r>
      <w:r>
        <w:rPr/>
        <w:t>및 청산 또는 헤지되지 아니한 파생상품거래의 잔액</w:t>
      </w:r>
      <w:r>
        <w:rPr/>
        <w:t>(</w:t>
      </w:r>
      <w:r>
        <w:rPr/>
        <w:t>파생상품 포지션</w:t>
      </w:r>
      <w:r>
        <w:rPr/>
        <w:t>)</w:t>
      </w:r>
      <w:r>
        <w:rPr/>
        <w:t>을 말한다</w:t>
      </w:r>
      <w:r>
        <w:rPr/>
        <w:t>.</w:t>
      </w:r>
    </w:p>
    <w:p>
      <w:pPr>
        <w:pStyle w:val="BodyText"/>
        <w:rPr/>
      </w:pPr>
      <w:r>
        <w:rPr/>
        <w:t>어</w:t>
      </w:r>
      <w:r>
        <w:rPr/>
        <w:t xml:space="preserve">. </w:t>
      </w:r>
      <w:r>
        <w:rPr/>
        <w:t>「헤지</w:t>
      </w:r>
      <w:r>
        <w:rPr/>
        <w:t>(Hedge)</w:t>
      </w:r>
      <w:r>
        <w:rPr/>
        <w:t>거래」라 함은 현재 보유하고 있거나 장래 보유가 확실시되는 기초자산의 가격 변동으로 인한 손실을 제거하거나 감소시키기 위한 거래를 말한다</w:t>
      </w:r>
      <w:r>
        <w:rPr/>
        <w:t>.</w:t>
      </w:r>
    </w:p>
    <w:p>
      <w:pPr>
        <w:pStyle w:val="BodyText"/>
        <w:rPr/>
      </w:pPr>
      <w:r>
        <w:rPr/>
        <w:t>저</w:t>
      </w:r>
      <w:r>
        <w:rPr/>
        <w:t xml:space="preserve">. </w:t>
      </w:r>
      <w:r>
        <w:rPr/>
        <w:t>「</w:t>
      </w:r>
      <w:r>
        <w:rPr/>
        <w:t>Book</w:t>
      </w:r>
      <w:r>
        <w:rPr/>
        <w:t>」이라 함은 리스크 발생 요인은 유사하나 유형이 다양한 거래의 집합체를 말하며 각종 한도관리</w:t>
      </w:r>
      <w:r>
        <w:rPr/>
        <w:t xml:space="preserve">, </w:t>
      </w:r>
      <w:r>
        <w:rPr/>
        <w:t>손익 측정의 기준단위가 될 수 있다</w:t>
      </w:r>
      <w:r>
        <w:rPr/>
        <w:t>.</w:t>
      </w:r>
    </w:p>
    <w:p>
      <w:pPr>
        <w:pStyle w:val="BodyText"/>
        <w:rPr/>
      </w:pPr>
      <w:r>
        <w:rPr/>
        <w:t>처</w:t>
      </w:r>
      <w:r>
        <w:rPr/>
        <w:t xml:space="preserve">. </w:t>
      </w:r>
      <w:r>
        <w:rPr/>
        <w:t>「</w:t>
      </w:r>
      <w:r>
        <w:rPr/>
        <w:t>ISDA(</w:t>
      </w:r>
      <w:r>
        <w:rPr/>
        <w:t>국제스왑파생상품협회</w:t>
      </w:r>
      <w:r>
        <w:rPr/>
        <w:t>, International Swaps and Derivatives Association)</w:t>
      </w:r>
      <w:r>
        <w:rPr/>
        <w:t>」라 함은 장외파생상품거래에 관한 표준 계약 관계서류 양식의 제정과 보급 및 그와 관련한 제반 법적인 문제점에 관한 자문</w:t>
      </w:r>
      <w:r>
        <w:rPr/>
        <w:t xml:space="preserve">, </w:t>
      </w:r>
      <w:r>
        <w:rPr/>
        <w:t>홍보</w:t>
      </w:r>
      <w:r>
        <w:rPr/>
        <w:t xml:space="preserve">, </w:t>
      </w:r>
      <w:r>
        <w:rPr/>
        <w:t>교육 등의 일을 하는 미국 뉴욕 소재 협회를 말한다</w:t>
      </w:r>
      <w:r>
        <w:rPr/>
        <w:t>.</w:t>
      </w:r>
    </w:p>
    <w:p>
      <w:pPr>
        <w:pStyle w:val="BodyText"/>
        <w:rPr/>
      </w:pPr>
      <w:r>
        <w:rPr/>
        <w:t>커</w:t>
      </w:r>
      <w:r>
        <w:rPr/>
        <w:t xml:space="preserve">. </w:t>
      </w:r>
      <w:r>
        <w:rPr/>
        <w:t xml:space="preserve">본 지침에서 달리 정의되지 아니하고 사용되는 용어는 장외파생금융상품 거래와 관련하여 </w:t>
      </w:r>
      <w:r>
        <w:rPr/>
        <w:t>ISDA</w:t>
      </w:r>
      <w:r>
        <w:rPr/>
        <w:t xml:space="preserve">의 </w:t>
      </w:r>
      <w:r>
        <w:rPr/>
        <w:t xml:space="preserve">2006 </w:t>
      </w:r>
      <w:r>
        <w:rPr/>
        <w:t>용어정의</w:t>
      </w:r>
      <w:r>
        <w:rPr/>
        <w:t xml:space="preserve">(2006 ISDADefinitions), 1998 </w:t>
      </w:r>
      <w:r>
        <w:rPr/>
        <w:t>외환 및 통화옵션 용어정의</w:t>
      </w:r>
      <w:r>
        <w:rPr/>
        <w:t xml:space="preserve">(1998 FX and Currency Option Definitions), 2002 ISDA Equity Derivatives Definitions </w:t>
      </w:r>
      <w:r>
        <w:rPr/>
        <w:t>및 이에 대한 그 이후의 보충본</w:t>
      </w:r>
      <w:r>
        <w:rPr/>
        <w:t>(Supplements)</w:t>
      </w:r>
      <w:r>
        <w:rPr/>
        <w:t>에서 정의하고 있는 해당 영문용어와 같은 의미로 해석한다</w:t>
      </w:r>
      <w:r>
        <w:rPr/>
        <w:t>.</w:t>
      </w:r>
    </w:p>
    <w:p>
      <w:pPr>
        <w:pStyle w:val="BodyText"/>
        <w:rPr/>
      </w:pPr>
      <w:r>
        <w:rPr/>
        <w:t>터</w:t>
      </w:r>
      <w:r>
        <w:rPr/>
        <w:t xml:space="preserve">. </w:t>
      </w:r>
      <w:r>
        <w:rPr/>
        <w:t>「일중선결제한도」란 통화간 교환이 수반되는 외환 및 장외파생상품 거래중 결제일 당일 최종 수취확인이 이루어지는 거래로서</w:t>
      </w:r>
      <w:r>
        <w:rPr/>
        <w:t xml:space="preserve">, </w:t>
      </w:r>
      <w:r>
        <w:rPr/>
        <w:t>거래상대방 결제의무 이행 확인 전 결제</w:t>
      </w:r>
      <w:r>
        <w:rPr/>
        <w:t>(</w:t>
      </w:r>
      <w:r>
        <w:rPr/>
        <w:t>지급</w:t>
      </w:r>
      <w:r>
        <w:rPr/>
        <w:t>)</w:t>
      </w:r>
      <w:r>
        <w:rPr/>
        <w:t>를 실행할 수 있는 최대 한도를 말한다</w:t>
      </w:r>
      <w:r>
        <w:rPr/>
        <w:t>.</w:t>
      </w:r>
    </w:p>
    <w:p>
      <w:pPr>
        <w:pStyle w:val="Compact"/>
        <w:numPr>
          <w:ilvl w:val="0"/>
          <w:numId w:val="147"/>
        </w:numPr>
        <w:rPr/>
      </w:pPr>
      <w:r>
        <w:rPr/>
        <w:t>업무 대상 거래</w:t>
      </w:r>
    </w:p>
    <w:p>
      <w:pPr>
        <w:pStyle w:val="FirstParagraph"/>
        <w:rPr/>
      </w:pPr>
      <w:r>
        <w:rPr/>
        <w:t>이 지침에서 정하는 외환 및 파생상품거래업무 대상 거래는 다음 각 호와 같다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외환매매거래</w:t>
      </w:r>
      <w:r>
        <w:rPr/>
        <w:t xml:space="preserve">: </w:t>
      </w:r>
      <w:r>
        <w:rPr/>
        <w:t>국내외 외환시장에서 거래당사자간에 내국통화와 외국통화 또는 서로 다른 외국통화를 당일결제</w:t>
      </w:r>
      <w:r>
        <w:rPr/>
        <w:t xml:space="preserve">(Value Today), </w:t>
      </w:r>
      <w:r>
        <w:rPr/>
        <w:t>익영업일결제</w:t>
      </w:r>
      <w:r>
        <w:rPr/>
        <w:t xml:space="preserve">(Value Tom) </w:t>
      </w:r>
      <w:r>
        <w:rPr/>
        <w:t>혹은 익익영업일결제</w:t>
      </w:r>
      <w:r>
        <w:rPr/>
        <w:t>(Value Spot)</w:t>
      </w:r>
      <w:r>
        <w:rPr/>
        <w:t>로 약정한 환율에 의하여 매매하는 현물환거래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파생상품거래</w:t>
      </w:r>
    </w:p>
    <w:p>
      <w:pPr>
        <w:pStyle w:val="Normal"/>
        <w:numPr>
          <w:ilvl w:val="0"/>
          <w:numId w:val="148"/>
        </w:numPr>
        <w:rPr/>
      </w:pPr>
      <w:r>
        <w:rPr/>
        <w:t>선도금리거래</w:t>
      </w:r>
      <w:r>
        <w:rPr/>
        <w:t xml:space="preserve">: </w:t>
      </w:r>
      <w:r>
        <w:rPr/>
        <w:t>명목상 원금에 대하여 장래의 특정기간 동안 적용할 금리를 사전에 약정하고 이행일에는 명목상 원금의 교환없이 계약조건에 따라 시장금리와 계약금리와의 차액만을 정산</w:t>
      </w:r>
      <w:r>
        <w:rPr/>
        <w:t>·</w:t>
      </w:r>
      <w:r>
        <w:rPr/>
        <w:t>결제할 것을 약정하는 거래</w:t>
      </w:r>
    </w:p>
    <w:p>
      <w:pPr>
        <w:pStyle w:val="Normal"/>
        <w:numPr>
          <w:ilvl w:val="0"/>
          <w:numId w:val="149"/>
        </w:numPr>
        <w:rPr/>
      </w:pPr>
      <w:r>
        <w:rPr/>
        <w:t>선물거래</w:t>
      </w:r>
      <w:r>
        <w:rPr/>
        <w:t xml:space="preserve">: </w:t>
      </w:r>
      <w:r>
        <w:rPr/>
        <w:t>거래소가 정하는 기준 및 방법에 따라 표준화되어 있는 특정한 기초자산을 계약일 당시 약정된 가격으로 장래의 특정일에 인수</w:t>
      </w:r>
      <w:r>
        <w:rPr/>
        <w:t>·</w:t>
      </w:r>
      <w:r>
        <w:rPr/>
        <w:t>인도하거나 차액을 정산하기로 하는 장내거래</w:t>
      </w:r>
    </w:p>
    <w:p>
      <w:pPr>
        <w:pStyle w:val="Normal"/>
        <w:numPr>
          <w:ilvl w:val="0"/>
          <w:numId w:val="150"/>
        </w:numPr>
        <w:rPr/>
      </w:pPr>
      <w:r>
        <w:rPr/>
        <w:t>선물환거래</w:t>
      </w:r>
      <w:r>
        <w:rPr/>
        <w:t xml:space="preserve">: </w:t>
      </w:r>
      <w:r>
        <w:rPr/>
        <w:t>내국통화와 외국통화 또는 서로 다른 외국통화를 거래일의 익익영업일을 초과하는 장래의 특정일 또는 특정기간 내에 특정한 환율로 매매할 것을 약정하는 거래</w:t>
      </w:r>
    </w:p>
    <w:p>
      <w:pPr>
        <w:pStyle w:val="Normal"/>
        <w:numPr>
          <w:ilvl w:val="0"/>
          <w:numId w:val="151"/>
        </w:numPr>
        <w:rPr/>
      </w:pPr>
      <w:r>
        <w:rPr/>
        <w:t>신용파생상품거래</w:t>
      </w:r>
      <w:r>
        <w:rPr/>
        <w:t xml:space="preserve">: </w:t>
      </w:r>
      <w:r>
        <w:rPr/>
        <w:t>거래상대방 또는 제</w:t>
      </w:r>
      <w:r>
        <w:rPr/>
        <w:t>3</w:t>
      </w:r>
      <w:r>
        <w:rPr/>
        <w:t>자의 신용위험과 연계한 파생거래</w:t>
      </w:r>
    </w:p>
    <w:p>
      <w:pPr>
        <w:pStyle w:val="Normal"/>
        <w:numPr>
          <w:ilvl w:val="0"/>
          <w:numId w:val="152"/>
        </w:numPr>
        <w:rPr/>
      </w:pPr>
      <w:r>
        <w:rPr/>
        <w:t>옵션거래</w:t>
      </w:r>
      <w:r>
        <w:rPr/>
        <w:t xml:space="preserve">: </w:t>
      </w:r>
      <w:r>
        <w:rPr/>
        <w:t>일정기간 동안 또는 특정일에 특정한 행사가격으로 특정한 기초자산을 사거나 팔 수 있는 권리를 매매하는 거래</w:t>
      </w:r>
    </w:p>
    <w:p>
      <w:pPr>
        <w:pStyle w:val="Normal"/>
        <w:numPr>
          <w:ilvl w:val="0"/>
          <w:numId w:val="153"/>
        </w:numPr>
        <w:rPr/>
      </w:pPr>
      <w:r>
        <w:rPr/>
        <w:t>이자율스왑거래</w:t>
      </w:r>
      <w:r>
        <w:rPr/>
        <w:t xml:space="preserve">: </w:t>
      </w:r>
      <w:r>
        <w:rPr/>
        <w:t>동종 통화간의 거래로 약정된 이자를 지급일에 서로 교환하는 거래</w:t>
      </w:r>
    </w:p>
    <w:p>
      <w:pPr>
        <w:pStyle w:val="Normal"/>
        <w:numPr>
          <w:ilvl w:val="0"/>
          <w:numId w:val="154"/>
        </w:numPr>
        <w:rPr/>
      </w:pPr>
      <w:r>
        <w:rPr/>
        <w:t>외환스왑거래</w:t>
      </w:r>
      <w:r>
        <w:rPr/>
        <w:t xml:space="preserve">: </w:t>
      </w:r>
      <w:r>
        <w:rPr/>
        <w:t>서로 다른 만기일의 현물환 또는 선물환거래가 서로 반대 방향으로 하나의 계약에 의해 동시에 체결되는 거래</w:t>
      </w:r>
    </w:p>
    <w:p>
      <w:pPr>
        <w:pStyle w:val="Normal"/>
        <w:numPr>
          <w:ilvl w:val="0"/>
          <w:numId w:val="155"/>
        </w:numPr>
        <w:rPr/>
      </w:pPr>
      <w:r>
        <w:rPr/>
        <w:t>통화스왑거래</w:t>
      </w:r>
      <w:r>
        <w:rPr/>
        <w:t xml:space="preserve">: </w:t>
      </w:r>
      <w:r>
        <w:rPr/>
        <w:t>이종통화간의 거래로 약정된 계약금액 및 이자를 지급일에 서로 교환하는 거래를 말하며</w:t>
      </w:r>
      <w:r>
        <w:rPr/>
        <w:t xml:space="preserve">, </w:t>
      </w:r>
      <w:r>
        <w:rPr/>
        <w:t>이자교환 시 적용되는 이자율이 고정금리냐 변동금리냐에 따라 ① 변동금리</w:t>
      </w:r>
      <w:r>
        <w:rPr/>
        <w:t>/</w:t>
      </w:r>
      <w:r>
        <w:rPr/>
        <w:t>변동금리 통화스왑</w:t>
      </w:r>
      <w:r>
        <w:rPr/>
        <w:t xml:space="preserve">(Cross Currency Basis Swap) ② </w:t>
      </w:r>
      <w:r>
        <w:rPr/>
        <w:t>고정금리</w:t>
      </w:r>
      <w:r>
        <w:rPr/>
        <w:t>/</w:t>
      </w:r>
      <w:r>
        <w:rPr/>
        <w:t>고정금리 통화스왑</w:t>
      </w:r>
      <w:r>
        <w:rPr/>
        <w:t xml:space="preserve">(Cross Currency Swap) ③ </w:t>
      </w:r>
      <w:r>
        <w:rPr/>
        <w:t>고정금리</w:t>
      </w:r>
      <w:r>
        <w:rPr/>
        <w:t>/</w:t>
      </w:r>
      <w:r>
        <w:rPr/>
        <w:t>변동금리 통화스왑</w:t>
      </w:r>
      <w:r>
        <w:rPr/>
        <w:t>(Cross Currency Interest Rate Swap)</w:t>
      </w:r>
      <w:r>
        <w:rPr/>
        <w:t>의 세가지 형태</w:t>
      </w:r>
    </w:p>
    <w:p>
      <w:pPr>
        <w:pStyle w:val="Normal"/>
        <w:numPr>
          <w:ilvl w:val="0"/>
          <w:numId w:val="156"/>
        </w:numPr>
        <w:rPr/>
      </w:pPr>
      <w:r>
        <w:rPr/>
        <w:t>통화옵션거래</w:t>
      </w:r>
      <w:r>
        <w:rPr/>
        <w:t xml:space="preserve">: </w:t>
      </w:r>
      <w:r>
        <w:rPr/>
        <w:t>당사자간에 일정금액의 특정통화</w:t>
      </w:r>
      <w:r>
        <w:rPr/>
        <w:t>(“</w:t>
      </w:r>
      <w:r>
        <w:rPr/>
        <w:t>계약통화”</w:t>
      </w:r>
      <w:r>
        <w:rPr/>
        <w:t>)</w:t>
      </w:r>
      <w:r>
        <w:rPr/>
        <w:t>를 행사가격에 따른 다른 통화</w:t>
      </w:r>
      <w:r>
        <w:rPr/>
        <w:t>(“</w:t>
      </w:r>
      <w:r>
        <w:rPr/>
        <w:t>상대통화”</w:t>
      </w:r>
      <w:r>
        <w:rPr/>
        <w:t>)</w:t>
      </w:r>
      <w:r>
        <w:rPr/>
        <w:t>의 일정금액을 대가로 하여 장래의 약정한 기일 또는 약정한 기일 이내에 매입할 수 있는 권리</w:t>
      </w:r>
      <w:r>
        <w:rPr/>
        <w:t>(“</w:t>
      </w:r>
      <w:r>
        <w:rPr/>
        <w:t>콜옵션”</w:t>
      </w:r>
      <w:r>
        <w:rPr/>
        <w:t xml:space="preserve">) </w:t>
      </w:r>
      <w:r>
        <w:rPr/>
        <w:t>또는 매도할 수 있는 권리</w:t>
      </w:r>
      <w:r>
        <w:rPr/>
        <w:t>(“</w:t>
      </w:r>
      <w:r>
        <w:rPr/>
        <w:t>풋옵션”</w:t>
      </w:r>
      <w:r>
        <w:rPr/>
        <w:t>)</w:t>
      </w:r>
      <w:r>
        <w:rPr/>
        <w:t>를 매매하는 거래</w:t>
      </w:r>
    </w:p>
    <w:p>
      <w:pPr>
        <w:pStyle w:val="Normal"/>
        <w:numPr>
          <w:ilvl w:val="0"/>
          <w:numId w:val="157"/>
        </w:numPr>
        <w:rPr/>
      </w:pPr>
      <w:r>
        <w:rPr/>
        <w:t>합성거래</w:t>
      </w:r>
      <w:r>
        <w:rPr/>
        <w:t xml:space="preserve">: </w:t>
      </w:r>
      <w:r>
        <w:rPr/>
        <w:t>위 “</w:t>
      </w:r>
      <w:r>
        <w:rPr/>
        <w:t>(1)”</w:t>
      </w:r>
      <w:r>
        <w:rPr/>
        <w:t>부터 “</w:t>
      </w:r>
      <w:r>
        <w:rPr/>
        <w:t>(9)”</w:t>
      </w:r>
      <w:r>
        <w:rPr/>
        <w:t>의 거래나 거래조건이 결합되거나 변형된 비정형거래</w:t>
      </w:r>
    </w:p>
    <w:p>
      <w:pPr>
        <w:pStyle w:val="Compact"/>
        <w:numPr>
          <w:ilvl w:val="0"/>
          <w:numId w:val="158"/>
        </w:numPr>
        <w:rPr/>
      </w:pPr>
      <w:r>
        <w:rPr/>
        <w:t>업무의 분장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주무부서는 정해진 한도 내에서 국내외 외국환은행 등과의 외환매매거래 및 파생상품거래를 수행하고 당행의 외환 및 파생상품거래 포지션</w:t>
      </w:r>
      <w:r>
        <w:rPr/>
        <w:t xml:space="preserve">, </w:t>
      </w:r>
      <w:r>
        <w:rPr/>
        <w:t>대고객 파생상품거래 및 관련 은행간거래를 조정</w:t>
      </w:r>
      <w:r>
        <w:rPr/>
        <w:t>·</w:t>
      </w:r>
      <w:r>
        <w:rPr/>
        <w:t>통제한다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대고객거래는 외국환취급부점에서</w:t>
      </w:r>
      <w:r>
        <w:rPr/>
        <w:t xml:space="preserve">, </w:t>
      </w:r>
      <w:r>
        <w:rPr/>
        <w:t>은행간거래는 주무부서에서 취급함을 원칙으로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외환직접거래업체와의 거래</w:t>
      </w:r>
      <w:r>
        <w:rPr/>
        <w:t xml:space="preserve">, </w:t>
      </w:r>
      <w:r>
        <w:rPr/>
        <w:t>집합투자기구와의 거래 등 필요한 경우에는 주무부서에서 직접 대고객 외환 및 파생상품거래를 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외환 및 파생상품거래 시 회계처리</w:t>
      </w:r>
      <w:r>
        <w:rPr/>
        <w:t xml:space="preserve">, </w:t>
      </w:r>
      <w:r>
        <w:rPr/>
        <w:t>결제처리</w:t>
      </w:r>
      <w:r>
        <w:rPr/>
        <w:t xml:space="preserve">, </w:t>
      </w:r>
      <w:r>
        <w:rPr/>
        <w:t>거래대사</w:t>
      </w:r>
      <w:r>
        <w:rPr/>
        <w:t xml:space="preserve">, </w:t>
      </w:r>
      <w:r>
        <w:rPr/>
        <w:t>보고서 작성 등 제반사후관리 및 지원업무를 수행하는 사후관리부문</w:t>
      </w:r>
      <w:r>
        <w:rPr/>
        <w:t>(Back Office)</w:t>
      </w:r>
      <w:r>
        <w:rPr/>
        <w:t>과 외환매매 및 파생상품 취급과 관련하여 시장</w:t>
      </w:r>
      <w:r>
        <w:rPr/>
        <w:t>,·</w:t>
      </w:r>
      <w:r>
        <w:rPr/>
        <w:t>신용</w:t>
      </w:r>
      <w:r>
        <w:rPr/>
        <w:t xml:space="preserve">, </w:t>
      </w:r>
      <w:r>
        <w:rPr/>
        <w:t>운영 및 유동성리스크 등을 관리하는 리스크관리부문</w:t>
      </w:r>
      <w:r>
        <w:rPr/>
        <w:t>(Middle Office)</w:t>
      </w:r>
      <w:r>
        <w:rPr/>
        <w:t>은 거래실행부문</w:t>
      </w:r>
      <w:r>
        <w:rPr/>
        <w:t>(Front Office)</w:t>
      </w:r>
      <w:r>
        <w:rPr/>
        <w:t>과 기능간 독립성을 유지하여야 한다</w:t>
      </w:r>
      <w:r>
        <w:rPr/>
        <w:t>.</w:t>
      </w:r>
    </w:p>
    <w:p>
      <w:pPr>
        <w:pStyle w:val="Compact"/>
        <w:numPr>
          <w:ilvl w:val="0"/>
          <w:numId w:val="159"/>
        </w:numPr>
        <w:rPr/>
      </w:pPr>
      <w:r>
        <w:rPr/>
        <w:t>준용</w:t>
      </w:r>
    </w:p>
    <w:p>
      <w:pPr>
        <w:pStyle w:val="FirstParagraph"/>
        <w:rPr/>
      </w:pPr>
      <w:r>
        <w:rPr/>
        <w:t>이 지침에서 정하지 아니한 사항은「국제금융규정」</w:t>
      </w:r>
      <w:r>
        <w:rPr/>
        <w:t xml:space="preserve">, </w:t>
      </w:r>
      <w:r>
        <w:rPr/>
        <w:t>「</w:t>
      </w:r>
      <w:r>
        <w:rPr/>
        <w:t>Middle·Back Office</w:t>
      </w:r>
      <w:r>
        <w:rPr/>
        <w:t>업무지침」</w:t>
      </w:r>
      <w:r>
        <w:rPr/>
        <w:t xml:space="preserve">, </w:t>
      </w:r>
      <w:r>
        <w:rPr/>
        <w:t>「가격적정성 점검지침」</w:t>
      </w:r>
      <w:r>
        <w:rPr/>
        <w:t xml:space="preserve">, </w:t>
      </w:r>
      <w:r>
        <w:rPr/>
        <w:t>「국제금융 및 파생상품 리스크관리지침」</w:t>
      </w:r>
      <w:r>
        <w:rPr/>
        <w:t xml:space="preserve">, </w:t>
      </w:r>
      <w:r>
        <w:rPr/>
        <w:t>「원화파생상품거래 운용지침」</w:t>
      </w:r>
      <w:r>
        <w:rPr/>
        <w:t xml:space="preserve">, </w:t>
      </w:r>
      <w:r>
        <w:rPr/>
        <w:t>「비예금 금융상품 판매 지침」</w:t>
      </w:r>
      <w:r>
        <w:rPr/>
        <w:t xml:space="preserve">, </w:t>
      </w:r>
      <w:r>
        <w:rPr/>
        <w:t>「고난도 금융투자상품 판매에 관한 영업행위 지침」</w:t>
      </w:r>
      <w:r>
        <w:rPr/>
        <w:t xml:space="preserve">, </w:t>
      </w:r>
      <w:r>
        <w:rPr/>
        <w:t>「금융소비자보호규정」</w:t>
      </w:r>
      <w:r>
        <w:rPr/>
        <w:t xml:space="preserve">, </w:t>
      </w:r>
      <w:r>
        <w:rPr/>
        <w:t>「금융소비자보호에 관한 내부통제규정」 등 관계내규와 「외국환거래법」</w:t>
      </w:r>
      <w:r>
        <w:rPr/>
        <w:t xml:space="preserve">, </w:t>
      </w:r>
      <w:r>
        <w:rPr/>
        <w:t>「자본시장법」</w:t>
      </w:r>
      <w:r>
        <w:rPr/>
        <w:t xml:space="preserve">, </w:t>
      </w:r>
      <w:r>
        <w:rPr/>
        <w:t>「금융소비자 보호에 관한 법률」 등 관련법규 및 국내외 금융시장의 관행에 따른다</w:t>
      </w:r>
      <w:r>
        <w:rPr/>
        <w:t>.</w:t>
      </w:r>
      <w:bookmarkEnd w:id="1"/>
    </w:p>
    <w:p>
      <w:pPr>
        <w:pStyle w:val="Heading2"/>
        <w:rPr/>
      </w:pPr>
      <w:bookmarkStart w:id="2" w:name="제2장-환율-금리-및-포지션"/>
      <w:r>
        <w:rPr/>
        <w:t>제</w:t>
      </w:r>
      <w:r>
        <w:rPr/>
        <w:t>2</w:t>
      </w:r>
      <w:r>
        <w:rPr/>
        <w:t>장 환율</w:t>
      </w:r>
      <w:r>
        <w:rPr/>
        <w:t xml:space="preserve">, </w:t>
      </w:r>
      <w:r>
        <w:rPr/>
        <w:t>금리 및 포지션</w:t>
      </w:r>
    </w:p>
    <w:p>
      <w:pPr>
        <w:pStyle w:val="Compact"/>
        <w:numPr>
          <w:ilvl w:val="0"/>
          <w:numId w:val="160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장은 금리 및 환율의 결정</w:t>
      </w:r>
      <w:r>
        <w:rPr/>
        <w:t xml:space="preserve">, </w:t>
      </w:r>
      <w:r>
        <w:rPr/>
        <w:t>고시 및 이의 적용과 포지션에 관한 세부사항을 정함을 목적으로 한다</w:t>
      </w:r>
      <w:r>
        <w:rPr/>
        <w:t>.</w:t>
      </w:r>
    </w:p>
    <w:p>
      <w:pPr>
        <w:pStyle w:val="Compact"/>
        <w:numPr>
          <w:ilvl w:val="0"/>
          <w:numId w:val="161"/>
        </w:numPr>
        <w:rPr/>
      </w:pPr>
      <w:r>
        <w:rPr/>
        <w:t>환율의 종류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「</w:t>
      </w:r>
      <w:r>
        <w:rPr/>
        <w:t>1</w:t>
      </w:r>
      <w:r>
        <w:rPr/>
        <w:t>회차고시 매매기준율」이라 함은 직전 영업일에 외국환중개회사를 통해 외환매매거래된 미달러화의 시장가중평균환율을 사용하여 응당 영업일에 최초 고시하는 환율을 말한다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「매매기준율」이라 함은 대고객 외국환매매율의 산출기준이 되는 환율로서 현재 외환시장에서 형성된 시장환율</w:t>
      </w:r>
      <w:r>
        <w:rPr/>
        <w:t xml:space="preserve">, </w:t>
      </w:r>
      <w:r>
        <w:rPr/>
        <w:t>유동성 등을 감안하여 주무부서장이 고시하는 환율을 말하며 「기준환율」이라고도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「대고객 외국환매매마진율」이라 함은 대고객 외국환매매율의 산정 시 적용할 거래별 매매마진율로서 외국환업무 담당 부서장이 결정한다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「대고객 외국환매매율」이라 함은 매매기준율에 대고객 외국환매매마진율을 곱하여 산출된 금액을 매매기준율에 가감한 환율로서 대고객 외환매매거래시 적용하며 다음과 같이 구분한다</w:t>
      </w:r>
      <w:r>
        <w:rPr/>
        <w:t xml:space="preserve">. </w:t>
      </w:r>
      <w:r>
        <w:rPr/>
        <w:t xml:space="preserve">이의 계산시 미달러화 전신환매매율은 </w:t>
      </w:r>
      <w:r>
        <w:rPr/>
        <w:t>10</w:t>
      </w:r>
      <w:r>
        <w:rPr/>
        <w:t>전미만 절사</w:t>
      </w:r>
      <w:r>
        <w:rPr/>
        <w:t xml:space="preserve">, </w:t>
      </w:r>
      <w:r>
        <w:rPr/>
        <w:t>이외 전단위 미만 절사하여 계산한다</w:t>
      </w:r>
      <w:r>
        <w:rPr/>
        <w:t>.</w:t>
      </w:r>
    </w:p>
    <w:p>
      <w:pPr>
        <w:pStyle w:val="Normal"/>
        <w:numPr>
          <w:ilvl w:val="0"/>
          <w:numId w:val="162"/>
        </w:numPr>
        <w:rPr/>
      </w:pPr>
      <w:r>
        <w:rPr/>
        <w:t>현찰매입율</w:t>
      </w:r>
    </w:p>
    <w:p>
      <w:pPr>
        <w:pStyle w:val="Normal"/>
        <w:numPr>
          <w:ilvl w:val="0"/>
          <w:numId w:val="163"/>
        </w:numPr>
        <w:rPr/>
      </w:pPr>
      <w:r>
        <w:rPr/>
        <w:t>현찰매도율</w:t>
      </w:r>
    </w:p>
    <w:p>
      <w:pPr>
        <w:pStyle w:val="Normal"/>
        <w:numPr>
          <w:ilvl w:val="0"/>
          <w:numId w:val="164"/>
        </w:numPr>
        <w:rPr/>
      </w:pPr>
      <w:r>
        <w:rPr/>
        <w:t>전신환매입율</w:t>
      </w:r>
    </w:p>
    <w:p>
      <w:pPr>
        <w:pStyle w:val="Normal"/>
        <w:numPr>
          <w:ilvl w:val="0"/>
          <w:numId w:val="165"/>
        </w:numPr>
        <w:rPr/>
      </w:pPr>
      <w:r>
        <w:rPr/>
        <w:t>전신환매도율</w:t>
      </w:r>
    </w:p>
    <w:p>
      <w:pPr>
        <w:pStyle w:val="Normal"/>
        <w:numPr>
          <w:ilvl w:val="0"/>
          <w:numId w:val="166"/>
        </w:numPr>
        <w:rPr/>
      </w:pPr>
      <w:r>
        <w:rPr/>
        <w:t>여행자수표매도율</w:t>
      </w:r>
    </w:p>
    <w:p>
      <w:pPr>
        <w:pStyle w:val="FirstParagraph"/>
        <w:rPr/>
      </w:pPr>
      <w:r>
        <w:rPr/>
        <w:t>마</w:t>
      </w:r>
      <w:r>
        <w:rPr/>
        <w:t xml:space="preserve">. </w:t>
      </w:r>
      <w:r>
        <w:rPr/>
        <w:t xml:space="preserve">「대미환산율」은 해당통화의 재정환율을 미달러화 매매기준율로 나누어서 산출하며 소수점 이하 </w:t>
      </w:r>
      <w:r>
        <w:rPr/>
        <w:t>5</w:t>
      </w:r>
      <w:r>
        <w:rPr/>
        <w:t>자리에서 반올림한다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「재정된 매매기준율」이라 함은 최근 주요 국제금융시장에서 형성된 미달러화 이외의 통화와 미달러화와의 매매기준율을 재정한 환율을 말한다</w:t>
      </w:r>
      <w:r>
        <w:rPr/>
        <w:t>.</w:t>
      </w:r>
    </w:p>
    <w:p>
      <w:pPr>
        <w:pStyle w:val="Compact"/>
        <w:numPr>
          <w:ilvl w:val="0"/>
          <w:numId w:val="167"/>
        </w:numPr>
        <w:rPr/>
      </w:pPr>
      <w:r>
        <w:rPr/>
        <w:t>환율 및 금리의 고시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주무부서장은 결정된 당일의 환율 및 금리 등을 고시하여야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환율을 고시 할 때는 매매기준율 및 대고객 외국환매매율을 고시하여야 하며</w:t>
      </w:r>
      <w:r>
        <w:rPr/>
        <w:t xml:space="preserve">, </w:t>
      </w:r>
      <w:r>
        <w:rPr/>
        <w:t>외환시장의 환율변동상황을 감안하여 일중 재고시할 수 있다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 xml:space="preserve">최초 환율고시는 </w:t>
      </w:r>
      <w:r>
        <w:rPr/>
        <w:t>1</w:t>
      </w:r>
      <w:r>
        <w:rPr/>
        <w:t>회차고시 매매기준율을 기준으로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각 외국환취급점은 주무부서장이 고시한 환율 및 금리 등을 영업점 내에 게시하여야 한다</w:t>
      </w:r>
      <w:r>
        <w:rPr/>
        <w:t>.</w:t>
      </w:r>
    </w:p>
    <w:p>
      <w:pPr>
        <w:pStyle w:val="Compact"/>
        <w:numPr>
          <w:ilvl w:val="0"/>
          <w:numId w:val="168"/>
        </w:numPr>
        <w:rPr/>
      </w:pPr>
      <w:r>
        <w:rPr/>
        <w:t>환율의 적용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대고객거래는 당해 거래의 전산입력을 완료하는 시점의 고시된 환율을 적용한다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주무부서로부터 개별환율을 승인받은 경우에는 승인받은 환율을 적용한다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대고객거래로 발생한 포지션을 주무부서로 취결할 경우에는 당해 거래에 적용된 매매기준율을 적용한다</w:t>
      </w:r>
      <w:r>
        <w:rPr/>
        <w:t>.</w:t>
      </w:r>
    </w:p>
    <w:p>
      <w:pPr>
        <w:pStyle w:val="Compact"/>
        <w:numPr>
          <w:ilvl w:val="0"/>
          <w:numId w:val="169"/>
        </w:numPr>
        <w:rPr/>
      </w:pPr>
      <w:r>
        <w:rPr/>
        <w:t>개별환율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외국환취급부점이 다음 각호의 개별환율을 적용하고자 할 경우에는 사전에 주무부서로 개별환율을 신청하여야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해외사업장 등 별도포지션 보유한도 부여 부점은 시장상황을 고려하여 별도로 정할 수 있다</w:t>
      </w:r>
      <w:r>
        <w:rPr/>
        <w:t>.</w:t>
      </w:r>
    </w:p>
    <w:p>
      <w:pPr>
        <w:pStyle w:val="Compact"/>
        <w:numPr>
          <w:ilvl w:val="0"/>
          <w:numId w:val="170"/>
        </w:numPr>
        <w:rPr/>
      </w:pPr>
      <w:r>
        <w:rPr/>
        <w:t>개별환율 적용대상 거래</w:t>
      </w:r>
    </w:p>
    <w:p>
      <w:pPr>
        <w:pStyle w:val="FirstParagraph"/>
        <w:rPr/>
      </w:pPr>
      <w:r>
        <w:rPr/>
        <w:t>다음 각 호의 경우에는 개별환율을 적용하여야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외화부기 원화내국신용장과 관련된 거래는 개별환율을 적용하지 아니한다</w:t>
      </w:r>
      <w:r>
        <w:rPr/>
        <w:t>.</w:t>
      </w:r>
    </w:p>
    <w:p>
      <w:pPr>
        <w:pStyle w:val="BodyText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 xml:space="preserve">미달러화 </w:t>
      </w:r>
      <w:r>
        <w:rPr/>
        <w:t>30</w:t>
      </w:r>
      <w:r>
        <w:rPr/>
        <w:t>만불 상당액 이상의 현물환거래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 xml:space="preserve">미달러화 </w:t>
      </w:r>
      <w:r>
        <w:rPr/>
        <w:t>30</w:t>
      </w:r>
      <w:r>
        <w:rPr/>
        <w:t>만불 상당액 미만의 현물환거래 중 외국환취급부점장의 전결권을 초과하여 환율을 우대 적용하고자 하는 경우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외환직접거래에 의한 현물환거래</w:t>
      </w:r>
    </w:p>
    <w:p>
      <w:pPr>
        <w:pStyle w:val="BodyText"/>
        <w:rPr/>
      </w:pPr>
      <w:r>
        <w:rPr/>
        <w:t>(</w:t>
      </w:r>
      <w:r>
        <w:rPr/>
        <w:t>라</w:t>
      </w:r>
      <w:r>
        <w:rPr/>
        <w:t xml:space="preserve">) </w:t>
      </w:r>
      <w:r>
        <w:rPr/>
        <w:t>환율고시 전 외국환취급부점의 요청에 의한 현물환거래</w:t>
      </w:r>
    </w:p>
    <w:p>
      <w:pPr>
        <w:pStyle w:val="Compact"/>
        <w:numPr>
          <w:ilvl w:val="0"/>
          <w:numId w:val="171"/>
        </w:numPr>
        <w:rPr/>
      </w:pPr>
      <w:r>
        <w:rPr/>
        <w:t>기타 주무부서장이 개별환율 적용이 필요하다고 인정하는 거래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주무부서는 외국환취급부점으로부터 개별환율 신청을 접수한 경우 접수시점의 시장환율과 개별환율 신청내용 등을 감안하여 개별환율을 승인한다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고객이 외국환취급점을 통하지 않고 주무부서와 직접 유선 등으로 적용환율을 먼저 확정하고 동 거래에 따라 외국환취급점이 사후에 처리할 경우</w:t>
      </w:r>
      <w:r>
        <w:rPr/>
        <w:t>(</w:t>
      </w:r>
      <w:r>
        <w:rPr/>
        <w:t>「외환직접거래」</w:t>
      </w:r>
      <w:r>
        <w:rPr/>
        <w:t xml:space="preserve">) </w:t>
      </w:r>
      <w:r>
        <w:rPr/>
        <w:t>주무부서는 거래내역을 해당 고객의 외국환취급점 앞으로 통보하여야 하며</w:t>
      </w:r>
      <w:r>
        <w:rPr/>
        <w:t xml:space="preserve">, </w:t>
      </w:r>
      <w:r>
        <w:rPr/>
        <w:t>해당 외국환취급점은 개별환율 처리절차에 따라 업무를 처리하여야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사후관리</w:t>
      </w:r>
    </w:p>
    <w:p>
      <w:pPr>
        <w:pStyle w:val="Normal"/>
        <w:numPr>
          <w:ilvl w:val="0"/>
          <w:numId w:val="172"/>
        </w:numPr>
        <w:rPr/>
      </w:pPr>
      <w:r>
        <w:rPr/>
        <w:t>주무부서는 업무착오 및 오류방지를 위하여 개별환율 신청접수 및 승인기록을 관리하여야 한다</w:t>
      </w:r>
      <w:r>
        <w:rPr/>
        <w:t>.</w:t>
      </w:r>
    </w:p>
    <w:p>
      <w:pPr>
        <w:pStyle w:val="Normal"/>
        <w:numPr>
          <w:ilvl w:val="0"/>
          <w:numId w:val="173"/>
        </w:numPr>
        <w:rPr/>
      </w:pPr>
      <w:r>
        <w:rPr/>
        <w:t>외국환취급부점은 매영업일 업무종료 후 당일의 개별환율 적용명세를 출력하여 부점장의 결재를 받아야 한다</w:t>
      </w:r>
      <w:r>
        <w:rPr/>
        <w:t>.</w:t>
      </w:r>
    </w:p>
    <w:p>
      <w:pPr>
        <w:pStyle w:val="FirstParagraph"/>
        <w:rPr/>
      </w:pPr>
      <w:r>
        <w:rPr/>
        <w:t>마</w:t>
      </w:r>
      <w:r>
        <w:rPr/>
        <w:t xml:space="preserve">. </w:t>
      </w:r>
      <w:r>
        <w:rPr/>
        <w:t>당행</w:t>
      </w:r>
      <w:r>
        <w:rPr/>
        <w:t xml:space="preserve">, </w:t>
      </w:r>
      <w:r>
        <w:rPr/>
        <w:t>당행의 금융지주 및 소속 계열사 명의로 지급</w:t>
      </w:r>
      <w:r>
        <w:rPr/>
        <w:t>(</w:t>
      </w:r>
      <w:r>
        <w:rPr/>
        <w:t>송금</w:t>
      </w:r>
      <w:r>
        <w:rPr/>
        <w:t>)</w:t>
      </w:r>
      <w:r>
        <w:rPr/>
        <w:t>하는 경우와 그 임직원에 대한 국외출장여비 및 해외여행 경비의 지급</w:t>
      </w:r>
      <w:r>
        <w:rPr/>
        <w:t>(</w:t>
      </w:r>
      <w:r>
        <w:rPr/>
        <w:t>송금</w:t>
      </w:r>
      <w:r>
        <w:rPr/>
        <w:t>)</w:t>
      </w:r>
      <w:r>
        <w:rPr/>
        <w:t>시 적용환율은 취급시점의 「매매기준율」을 적용하며</w:t>
      </w:r>
      <w:r>
        <w:rPr/>
        <w:t xml:space="preserve">, </w:t>
      </w:r>
      <w:r>
        <w:rPr/>
        <w:t>해외여행경비 지급</w:t>
      </w:r>
      <w:r>
        <w:rPr/>
        <w:t>(</w:t>
      </w:r>
      <w:r>
        <w:rPr/>
        <w:t>송금</w:t>
      </w:r>
      <w:r>
        <w:rPr/>
        <w:t>)</w:t>
      </w:r>
      <w:r>
        <w:rPr/>
        <w:t>의 경우 여행계약서</w:t>
      </w:r>
      <w:r>
        <w:rPr/>
        <w:t xml:space="preserve">, </w:t>
      </w:r>
      <w:r>
        <w:rPr/>
        <w:t>항공권 사본 등 본인의 여행을 증빙할 수 있는 서류를 개별환율명세표에 첨부하여 보관하여야 한다</w:t>
      </w:r>
      <w:r>
        <w:rPr/>
        <w:t>.</w:t>
      </w:r>
    </w:p>
    <w:p>
      <w:pPr>
        <w:pStyle w:val="Compact"/>
        <w:numPr>
          <w:ilvl w:val="0"/>
          <w:numId w:val="174"/>
        </w:numPr>
        <w:rPr/>
      </w:pPr>
      <w:r>
        <w:rPr/>
        <w:t>우대환율 운용</w:t>
      </w:r>
    </w:p>
    <w:p>
      <w:pPr>
        <w:pStyle w:val="FirstParagraph"/>
        <w:rPr/>
      </w:pPr>
      <w:r>
        <w:rPr/>
        <w:t>외국환취급부점이 특정고객에 대해 일정기간 동안 동일한 매매마진</w:t>
      </w:r>
      <w:r>
        <w:rPr/>
        <w:t>(</w:t>
      </w:r>
      <w:r>
        <w:rPr/>
        <w:t>또는 매매마진율</w:t>
      </w:r>
      <w:r>
        <w:rPr/>
        <w:t>)</w:t>
      </w:r>
      <w:r>
        <w:rPr/>
        <w:t>을 우대하여 적용코자 하거나</w:t>
      </w:r>
      <w:r>
        <w:rPr/>
        <w:t xml:space="preserve">, </w:t>
      </w:r>
      <w:r>
        <w:rPr/>
        <w:t>지역별 부점별로 대고객 외국환매매마진율에 대한 부점장 전결권을 달리 적용코자 할 경우 외환사업부의 승인을 받아야 한다</w:t>
      </w:r>
      <w:r>
        <w:rPr/>
        <w:t xml:space="preserve">. </w:t>
      </w:r>
      <w:r>
        <w:rPr/>
        <w:t>이 경우에도 「</w:t>
      </w:r>
      <w:r>
        <w:rPr/>
        <w:t>5-</w:t>
      </w:r>
      <w:r>
        <w:rPr/>
        <w:t>가</w:t>
      </w:r>
      <w:r>
        <w:rPr/>
        <w:t xml:space="preserve">-(1) </w:t>
      </w:r>
      <w:r>
        <w:rPr/>
        <w:t>개별환율 적용대상 거래」에 해당할 경우 주무부서로 개별환율을 신청하여야 한다</w:t>
      </w:r>
      <w:r>
        <w:rPr/>
        <w:t>.</w:t>
      </w:r>
    </w:p>
    <w:p>
      <w:pPr>
        <w:pStyle w:val="Compact"/>
        <w:numPr>
          <w:ilvl w:val="0"/>
          <w:numId w:val="175"/>
        </w:numPr>
        <w:rPr/>
      </w:pPr>
      <w:r>
        <w:rPr/>
        <w:t>선물환율의 결정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선물환율의 결정</w:t>
      </w:r>
      <w:r>
        <w:rPr/>
        <w:t xml:space="preserve">, </w:t>
      </w:r>
      <w:r>
        <w:rPr/>
        <w:t>선물환포지션 커버거래</w:t>
      </w:r>
      <w:r>
        <w:rPr/>
        <w:t xml:space="preserve">, </w:t>
      </w:r>
      <w:r>
        <w:rPr/>
        <w:t>기타 선물환거래에 따른 제반 업무는 주무부서에서 관장한다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선물환율은 고객과의 거래로 인해 발생하는 선물환포지션</w:t>
      </w:r>
      <w:r>
        <w:rPr/>
        <w:t xml:space="preserve">, </w:t>
      </w:r>
      <w:r>
        <w:rPr/>
        <w:t>시장에서 고시되는 선물환율</w:t>
      </w:r>
      <w:r>
        <w:rPr/>
        <w:t xml:space="preserve">, </w:t>
      </w:r>
      <w:r>
        <w:rPr/>
        <w:t>통화간 금리차</w:t>
      </w:r>
      <w:r>
        <w:rPr/>
        <w:t xml:space="preserve">, </w:t>
      </w:r>
      <w:r>
        <w:rPr/>
        <w:t>유동성</w:t>
      </w:r>
      <w:r>
        <w:rPr/>
        <w:t xml:space="preserve">, </w:t>
      </w:r>
      <w:r>
        <w:rPr/>
        <w:t>현물환율 변동추이 등을 감안하여 결정한다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고객에게 적용할 선물환매매율은 위 “가”부터 “나”에 의해 결정된 선물환율에 당행의 마진을 더하여 결정한다</w:t>
      </w:r>
      <w:r>
        <w:rPr/>
        <w:t>.</w:t>
      </w:r>
    </w:p>
    <w:p>
      <w:pPr>
        <w:pStyle w:val="Compact"/>
        <w:numPr>
          <w:ilvl w:val="0"/>
          <w:numId w:val="176"/>
        </w:numPr>
        <w:rPr/>
      </w:pPr>
      <w:r>
        <w:rPr/>
        <w:t>포지션의 집중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외국환취급부점은 대고객거래로 발생한 포지션을 거래 당일 주무부서로 집중시키는 것을 원칙으로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외국환취급부점은 원칙적으로 포지션을 보유할 수 없다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부득이한 경우에는 당일 중 주무부서에 유선으로 보고하고 익영업일 중으로 취결하여야 한다</w:t>
      </w:r>
      <w:r>
        <w:rPr/>
        <w:t>.</w:t>
      </w:r>
    </w:p>
    <w:p>
      <w:pPr>
        <w:pStyle w:val="Compact"/>
        <w:numPr>
          <w:ilvl w:val="0"/>
          <w:numId w:val="177"/>
        </w:numPr>
        <w:rPr/>
      </w:pPr>
      <w:r>
        <w:rPr/>
        <w:t>포지션거래의 취소 및 변경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포지션거래는 원칙적으로 취소 또는 변경할 수 없다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부득이 하다고 인정하는 경우에 한하여 다음과 같이 취소 또는 변경할 수 있다</w:t>
      </w:r>
      <w:r>
        <w:rPr/>
        <w:t>.</w:t>
      </w:r>
    </w:p>
    <w:p>
      <w:pPr>
        <w:pStyle w:val="Normal"/>
        <w:numPr>
          <w:ilvl w:val="0"/>
          <w:numId w:val="178"/>
        </w:numPr>
        <w:rPr/>
      </w:pPr>
      <w:r>
        <w:rPr/>
        <w:t xml:space="preserve">미달러화 </w:t>
      </w:r>
      <w:r>
        <w:rPr/>
        <w:t>30</w:t>
      </w:r>
      <w:r>
        <w:rPr/>
        <w:t>만불 상당액 이상의 포지션거래로서</w:t>
      </w:r>
      <w:r>
        <w:rPr/>
        <w:t xml:space="preserve">, </w:t>
      </w:r>
      <w:r>
        <w:rPr/>
        <w:t>영업점 취급자의 오조작인 경우에 한하여 주무부서의 승인을 득한 경우</w:t>
      </w:r>
    </w:p>
    <w:p>
      <w:pPr>
        <w:pStyle w:val="Normal"/>
        <w:numPr>
          <w:ilvl w:val="0"/>
          <w:numId w:val="179"/>
        </w:numPr>
        <w:rPr/>
      </w:pPr>
      <w:r>
        <w:rPr/>
        <w:t xml:space="preserve">미달러화 </w:t>
      </w:r>
      <w:r>
        <w:rPr/>
        <w:t>30</w:t>
      </w:r>
      <w:r>
        <w:rPr/>
        <w:t>만불 상당액 미만의 포지션거래로서</w:t>
      </w:r>
      <w:r>
        <w:rPr/>
        <w:t xml:space="preserve">, </w:t>
      </w:r>
      <w:r>
        <w:rPr/>
        <w:t>외국환취급부점장의 결재를 득한 경우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개별환율 적용거래를 포함한 포지션거래를 취소 또는 변경할 경우 주무부서장은 취소 또는 변경에 따른 손실을 외국환취급부점에 역환하여 보전할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외국환취급부점은 매영업일 업무종료 후 당일의 포지션거래 취소명세를 출력하여 부점장의 결재를 받아야 한다</w:t>
      </w:r>
      <w:r>
        <w:rPr/>
        <w:t>.</w:t>
      </w:r>
    </w:p>
    <w:p>
      <w:pPr>
        <w:pStyle w:val="Compact"/>
        <w:numPr>
          <w:ilvl w:val="0"/>
          <w:numId w:val="180"/>
        </w:numPr>
        <w:rPr/>
      </w:pPr>
      <w:r>
        <w:rPr/>
        <w:t>포지션 관리</w:t>
      </w:r>
    </w:p>
    <w:p>
      <w:pPr>
        <w:pStyle w:val="FirstParagraph"/>
        <w:rPr/>
      </w:pPr>
      <w:r>
        <w:rPr/>
        <w:t>주무부서는 대고객거래에서 발생한 포지션을 통화별로 집계하여 국내외 외환시장을 통해 당일 중으로 반대매매함을 원칙으로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시장상황 등을 감안하여 포지션을 보유하는 것이 유리하다고 판단되거나 해당 포지션이 거래가능 최소금액에 이르지 못하는 등의 사유가 있는 경우에는 관련 내규에서 정한 한도 범위 내에서 포지션을 보유할 수 있다</w:t>
      </w:r>
      <w:r>
        <w:rPr/>
        <w:t>.</w:t>
      </w:r>
      <w:bookmarkEnd w:id="2"/>
    </w:p>
    <w:p>
      <w:pPr>
        <w:pStyle w:val="Heading2"/>
        <w:rPr/>
      </w:pPr>
      <w:bookmarkStart w:id="3" w:name="제3장-주무부서의-외환-및-파생상품거래업무"/>
      <w:r>
        <w:rPr/>
        <w:t>제</w:t>
      </w:r>
      <w:r>
        <w:rPr/>
        <w:t>3</w:t>
      </w:r>
      <w:r>
        <w:rPr/>
        <w:t>장 주무부서의 외환 및 파생상품거래업무</w:t>
      </w:r>
    </w:p>
    <w:p>
      <w:pPr>
        <w:pStyle w:val="Compact"/>
        <w:numPr>
          <w:ilvl w:val="0"/>
          <w:numId w:val="181"/>
        </w:numPr>
        <w:rPr/>
      </w:pPr>
      <w:r>
        <w:rPr/>
        <w:t>거래의 구분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외환 및 파생상품거래는 은행간거래와 대고객거래로 구분한다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파생상품거래는 장내거래와 장외거래로 구분하며</w:t>
      </w:r>
      <w:r>
        <w:rPr/>
        <w:t xml:space="preserve">, </w:t>
      </w:r>
      <w:r>
        <w:rPr/>
        <w:t>거래 성격에 따라 커버</w:t>
      </w:r>
      <w:r>
        <w:rPr/>
        <w:t>(Cover)</w:t>
      </w:r>
      <w:r>
        <w:rPr/>
        <w:t>거래</w:t>
      </w:r>
      <w:r>
        <w:rPr/>
        <w:t xml:space="preserve">, </w:t>
      </w:r>
      <w:r>
        <w:rPr/>
        <w:t>헤지</w:t>
      </w:r>
      <w:r>
        <w:rPr/>
        <w:t>(Hedge)</w:t>
      </w:r>
      <w:r>
        <w:rPr/>
        <w:t>거래</w:t>
      </w:r>
      <w:r>
        <w:rPr/>
        <w:t xml:space="preserve">, </w:t>
      </w:r>
      <w:r>
        <w:rPr/>
        <w:t>트레이딩</w:t>
      </w:r>
      <w:r>
        <w:rPr/>
        <w:t>(Trading)</w:t>
      </w:r>
      <w:r>
        <w:rPr/>
        <w:t>거래로 구분한다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파생상품거래는 거래목적에 따라 위험회피목적거래와 매매목적거래로 구분관리하고</w:t>
      </w:r>
      <w:r>
        <w:rPr/>
        <w:t xml:space="preserve">, </w:t>
      </w:r>
      <w:r>
        <w:rPr/>
        <w:t>위험회피목적거래에 대해서는 거래장표 등에 위험회피 대상항목의 내용을 기록</w:t>
      </w:r>
      <w:r>
        <w:rPr/>
        <w:t>·</w:t>
      </w:r>
      <w:r>
        <w:rPr/>
        <w:t>관리하여야 한다</w:t>
      </w:r>
      <w:r>
        <w:rPr/>
        <w:t>.</w:t>
      </w:r>
    </w:p>
    <w:p>
      <w:pPr>
        <w:pStyle w:val="Compact"/>
        <w:numPr>
          <w:ilvl w:val="0"/>
          <w:numId w:val="182"/>
        </w:numPr>
        <w:rPr/>
      </w:pPr>
      <w:r>
        <w:rPr/>
        <w:t>거래원칙 및 검토사항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외환거래업무는 다음 각 호의 원칙에 부합되게 취급하여야 한다</w:t>
      </w:r>
      <w:r>
        <w:rPr/>
        <w:t>.</w:t>
      </w:r>
    </w:p>
    <w:p>
      <w:pPr>
        <w:pStyle w:val="Normal"/>
        <w:numPr>
          <w:ilvl w:val="0"/>
          <w:numId w:val="183"/>
        </w:numPr>
        <w:rPr/>
      </w:pPr>
      <w:r>
        <w:rPr/>
        <w:t>외화자산 및 부채에 대한 환리스크의 효율적 관리</w:t>
      </w:r>
    </w:p>
    <w:p>
      <w:pPr>
        <w:pStyle w:val="Normal"/>
        <w:numPr>
          <w:ilvl w:val="0"/>
          <w:numId w:val="184"/>
        </w:numPr>
        <w:rPr/>
      </w:pPr>
      <w:r>
        <w:rPr/>
        <w:t>수익증대 및 외환수익원의 능동적 개발</w:t>
      </w:r>
    </w:p>
    <w:p>
      <w:pPr>
        <w:pStyle w:val="Normal"/>
        <w:numPr>
          <w:ilvl w:val="0"/>
          <w:numId w:val="185"/>
        </w:numPr>
        <w:rPr/>
      </w:pPr>
      <w:r>
        <w:rPr/>
        <w:t>거래처에 대한 외환 및 자금거래 서비스 제공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외환거래시에는 다음 각 호의 사항을 검토하여야 한다</w:t>
      </w:r>
      <w:r>
        <w:rPr/>
        <w:t>.</w:t>
      </w:r>
    </w:p>
    <w:p>
      <w:pPr>
        <w:pStyle w:val="Normal"/>
        <w:numPr>
          <w:ilvl w:val="0"/>
          <w:numId w:val="186"/>
        </w:numPr>
        <w:rPr/>
      </w:pPr>
      <w:r>
        <w:rPr/>
        <w:t>시장의 예측</w:t>
      </w:r>
    </w:p>
    <w:p>
      <w:pPr>
        <w:pStyle w:val="Normal"/>
        <w:numPr>
          <w:ilvl w:val="0"/>
          <w:numId w:val="187"/>
        </w:numPr>
        <w:rPr/>
      </w:pPr>
      <w:r>
        <w:rPr/>
        <w:t>딜러 자신의 거래건별 목표손익</w:t>
      </w:r>
    </w:p>
    <w:p>
      <w:pPr>
        <w:pStyle w:val="Normal"/>
        <w:numPr>
          <w:ilvl w:val="0"/>
          <w:numId w:val="188"/>
        </w:numPr>
        <w:rPr/>
      </w:pPr>
      <w:r>
        <w:rPr/>
        <w:t>당해 외환거래의 유동성</w:t>
      </w:r>
    </w:p>
    <w:p>
      <w:pPr>
        <w:pStyle w:val="Normal"/>
        <w:numPr>
          <w:ilvl w:val="0"/>
          <w:numId w:val="189"/>
        </w:numPr>
        <w:rPr/>
      </w:pPr>
      <w:r>
        <w:rPr/>
        <w:t>거래의 적정규모</w:t>
      </w:r>
    </w:p>
    <w:p>
      <w:pPr>
        <w:pStyle w:val="Normal"/>
        <w:numPr>
          <w:ilvl w:val="0"/>
          <w:numId w:val="190"/>
        </w:numPr>
        <w:rPr/>
      </w:pPr>
      <w:r>
        <w:rPr/>
        <w:t>거래상대방에 대한 신용위험</w:t>
      </w:r>
    </w:p>
    <w:p>
      <w:pPr>
        <w:pStyle w:val="Normal"/>
        <w:numPr>
          <w:ilvl w:val="0"/>
          <w:numId w:val="191"/>
        </w:numPr>
        <w:rPr/>
      </w:pPr>
      <w:r>
        <w:rPr/>
        <w:t>국내외 금융시장 동향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파생금융 거래시에는 시장리스크</w:t>
      </w:r>
      <w:r>
        <w:rPr/>
        <w:t xml:space="preserve">, </w:t>
      </w:r>
      <w:r>
        <w:rPr/>
        <w:t>신용리스크</w:t>
      </w:r>
      <w:r>
        <w:rPr/>
        <w:t xml:space="preserve">, </w:t>
      </w:r>
      <w:r>
        <w:rPr/>
        <w:t>유동성리스크</w:t>
      </w:r>
      <w:r>
        <w:rPr/>
        <w:t xml:space="preserve">, </w:t>
      </w:r>
      <w:r>
        <w:rPr/>
        <w:t>법률리스크 및 운영리스크를 사전에 고려하여야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비정형파생상품거래를 취급하고자 하는 경우에는 업무 취급 전에 다음 사항을 검토하여야 하며</w:t>
      </w:r>
      <w:r>
        <w:rPr/>
        <w:t xml:space="preserve">, </w:t>
      </w:r>
      <w:r>
        <w:rPr/>
        <w:t>신상품일 경우 「신상품 개발 체크리스트」에 따른 절차를 준수하여야 한다</w:t>
      </w:r>
      <w:r>
        <w:rPr/>
        <w:t>.</w:t>
      </w:r>
    </w:p>
    <w:p>
      <w:pPr>
        <w:pStyle w:val="Normal"/>
        <w:numPr>
          <w:ilvl w:val="0"/>
          <w:numId w:val="192"/>
        </w:numPr>
        <w:rPr/>
      </w:pPr>
      <w:r>
        <w:rPr/>
        <w:t>업무에 따른 리스크의 내용</w:t>
      </w:r>
    </w:p>
    <w:p>
      <w:pPr>
        <w:pStyle w:val="Normal"/>
        <w:numPr>
          <w:ilvl w:val="0"/>
          <w:numId w:val="193"/>
        </w:numPr>
        <w:rPr/>
      </w:pPr>
      <w:r>
        <w:rPr/>
        <w:t>리스크의 측정</w:t>
      </w:r>
      <w:r>
        <w:rPr/>
        <w:t>·</w:t>
      </w:r>
      <w:r>
        <w:rPr/>
        <w:t>감시 및 내부통제의 방법 및 절차</w:t>
      </w:r>
    </w:p>
    <w:p>
      <w:pPr>
        <w:pStyle w:val="Normal"/>
        <w:numPr>
          <w:ilvl w:val="0"/>
          <w:numId w:val="194"/>
        </w:numPr>
        <w:rPr/>
      </w:pPr>
      <w:r>
        <w:rPr/>
        <w:t>전반적인 리스크허용한도를 감안한 업무취급 타당성 및 규모의 적정성</w:t>
      </w:r>
    </w:p>
    <w:p>
      <w:pPr>
        <w:pStyle w:val="Normal"/>
        <w:numPr>
          <w:ilvl w:val="0"/>
          <w:numId w:val="195"/>
        </w:numPr>
        <w:rPr/>
      </w:pPr>
      <w:r>
        <w:rPr/>
        <w:t>업무 취급을 위한 시장 여건 및 영업전략</w:t>
      </w:r>
    </w:p>
    <w:p>
      <w:pPr>
        <w:pStyle w:val="Normal"/>
        <w:numPr>
          <w:ilvl w:val="0"/>
          <w:numId w:val="196"/>
        </w:numPr>
        <w:rPr/>
      </w:pPr>
      <w:r>
        <w:rPr/>
        <w:t>기타 회계처리기준 등</w:t>
      </w:r>
    </w:p>
    <w:p>
      <w:pPr>
        <w:pStyle w:val="Compact"/>
        <w:numPr>
          <w:ilvl w:val="0"/>
          <w:numId w:val="197"/>
        </w:numPr>
        <w:rPr/>
      </w:pPr>
      <w:r>
        <w:rPr/>
        <w:t>외환 및 파생상품담당 딜링룸 및 딜러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주무부서장은 외환매매거래 및 파생상품거래에 필요한 통신시설 및 시장정보매체시설을 구비하고 해당거래 등을 수행할 수 있는 딜러를 배치하여 딜링룸을 조직</w:t>
      </w:r>
      <w:r>
        <w:rPr/>
        <w:t>·</w:t>
      </w:r>
      <w:r>
        <w:rPr/>
        <w:t>운영할 수 있다</w:t>
      </w:r>
      <w:r>
        <w:rPr/>
        <w:t xml:space="preserve">. </w:t>
      </w:r>
      <w:r>
        <w:rPr/>
        <w:t>딜링룸은 출입 제한구역으로 지정하여야 하며</w:t>
      </w:r>
      <w:r>
        <w:rPr/>
        <w:t xml:space="preserve">, </w:t>
      </w:r>
      <w:r>
        <w:rPr/>
        <w:t>제</w:t>
      </w:r>
      <w:r>
        <w:rPr/>
        <w:t>3</w:t>
      </w:r>
      <w:r>
        <w:rPr/>
        <w:t>자의 출입을 통제할 수 있는 장치를 설치하여야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딜러는 주무부서장이 지정하며</w:t>
      </w:r>
      <w:r>
        <w:rPr/>
        <w:t xml:space="preserve">, </w:t>
      </w:r>
      <w:r>
        <w:rPr/>
        <w:t>딜러의 신규 지정 및 변경에 따른 운용계좌</w:t>
      </w:r>
      <w:r>
        <w:rPr/>
        <w:t>(Book)</w:t>
      </w:r>
      <w:r>
        <w:rPr/>
        <w:t>의 개설</w:t>
      </w:r>
      <w:r>
        <w:rPr/>
        <w:t xml:space="preserve">, </w:t>
      </w:r>
      <w:r>
        <w:rPr/>
        <w:t xml:space="preserve">변경 시 </w:t>
      </w:r>
      <w:r>
        <w:rPr/>
        <w:t xml:space="preserve">Back Office </w:t>
      </w:r>
      <w:r>
        <w:rPr/>
        <w:t xml:space="preserve">및 </w:t>
      </w:r>
      <w:r>
        <w:rPr/>
        <w:t xml:space="preserve">Middle Office </w:t>
      </w:r>
      <w:r>
        <w:rPr/>
        <w:t>담당부서에 통보하여야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딜러의 의무</w:t>
      </w:r>
    </w:p>
    <w:p>
      <w:pPr>
        <w:pStyle w:val="Normal"/>
        <w:numPr>
          <w:ilvl w:val="0"/>
          <w:numId w:val="198"/>
        </w:numPr>
        <w:rPr/>
      </w:pPr>
      <w:r>
        <w:rPr/>
        <w:t>딜러는 국내외 외환시장 및 파생상품시장에 참여하여 정보를 수집</w:t>
      </w:r>
      <w:r>
        <w:rPr/>
        <w:t xml:space="preserve">, </w:t>
      </w:r>
      <w:r>
        <w:rPr/>
        <w:t>분석하고 시장을 예측하여 위임된 권한 범위 내에서 본인의 판단 하에 거래에 대한 의사결정과 대외 의사표시를 행함으로써 외환매매거래 및 파생상품거래업무를 수행하고 예기치 못한 자산의 가격변동위험에 대비함으로써 안정적인 수익증대에 노력하여야 한다</w:t>
      </w:r>
      <w:r>
        <w:rPr/>
        <w:t>.</w:t>
      </w:r>
    </w:p>
    <w:p>
      <w:pPr>
        <w:pStyle w:val="Normal"/>
        <w:numPr>
          <w:ilvl w:val="0"/>
          <w:numId w:val="199"/>
        </w:numPr>
        <w:rPr/>
      </w:pPr>
      <w:r>
        <w:rPr/>
        <w:t>선임딜러는 위 ‘</w:t>
      </w:r>
      <w:r>
        <w:rPr/>
        <w:t>(1)’</w:t>
      </w:r>
      <w:r>
        <w:rPr/>
        <w:t>이외에 다음 각 호의 업무를 담당한다</w:t>
      </w:r>
      <w:r>
        <w:rPr/>
        <w:t>.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딜러의 외환매매거래 및 파생상품거래에 대한 통제</w:t>
      </w:r>
      <w:r>
        <w:rPr/>
        <w:t xml:space="preserve">, </w:t>
      </w:r>
      <w:r>
        <w:rPr/>
        <w:t>감독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장단기 거래전략 수립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기타 딜링룸 운영에 관하여 주무부서장이 지시하는 사항</w:t>
      </w:r>
    </w:p>
    <w:p>
      <w:pPr>
        <w:pStyle w:val="Compact"/>
        <w:numPr>
          <w:ilvl w:val="0"/>
          <w:numId w:val="200"/>
        </w:numPr>
        <w:rPr/>
      </w:pPr>
      <w:r>
        <w:rPr/>
        <w:t>딜러는 거래한도 및 손실한도를 준수하여야 한다</w:t>
      </w:r>
      <w:r>
        <w:rPr/>
        <w:t>.</w:t>
      </w:r>
    </w:p>
    <w:p>
      <w:pPr>
        <w:pStyle w:val="Compact"/>
        <w:numPr>
          <w:ilvl w:val="0"/>
          <w:numId w:val="201"/>
        </w:numPr>
        <w:rPr/>
      </w:pPr>
      <w:r>
        <w:rPr/>
        <w:t>거래상대기관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외환 및 파생상품거래시 거래상대기관은 최근 발간된 국제금융전문지</w:t>
      </w:r>
      <w:r>
        <w:rPr/>
        <w:t>(</w:t>
      </w:r>
      <w:r>
        <w:rPr/>
        <w:t>「</w:t>
      </w:r>
      <w:r>
        <w:rPr/>
        <w:t>The Banker</w:t>
      </w:r>
      <w:r>
        <w:rPr/>
        <w:t>」</w:t>
      </w:r>
      <w:r>
        <w:rPr/>
        <w:t>)</w:t>
      </w:r>
      <w:r>
        <w:rPr/>
        <w:t xml:space="preserve">에 의하여 자산 또는 자본금 기준 </w:t>
      </w:r>
      <w:r>
        <w:rPr/>
        <w:t>500</w:t>
      </w:r>
      <w:r>
        <w:rPr/>
        <w:t>위 이내인 해외 금융기관 또는 국내 외환시장 참여 금융회사 중에서 다음 사항을 고려하여 선정한다</w:t>
      </w:r>
      <w:r>
        <w:rPr/>
        <w:t>.</w:t>
      </w:r>
    </w:p>
    <w:p>
      <w:pPr>
        <w:pStyle w:val="Normal"/>
        <w:numPr>
          <w:ilvl w:val="0"/>
          <w:numId w:val="202"/>
        </w:numPr>
        <w:rPr/>
      </w:pPr>
      <w:r>
        <w:rPr/>
        <w:t>결제리스크를 포함한 거래상대방 리스크</w:t>
      </w:r>
      <w:r>
        <w:rPr/>
        <w:t>(Counterparty Risk)</w:t>
      </w:r>
    </w:p>
    <w:p>
      <w:pPr>
        <w:pStyle w:val="Normal"/>
        <w:numPr>
          <w:ilvl w:val="0"/>
          <w:numId w:val="203"/>
        </w:numPr>
        <w:rPr/>
      </w:pPr>
      <w:r>
        <w:rPr/>
        <w:t>당행에 제공되는 국내외 외환시장에 대한 시장정보 및 기타 서비스 등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딜러는 외환매매거래 및 파생상품거래가 특정거래 상대방에게 편중되지 않도록 적절히 관리하여야 한다</w:t>
      </w:r>
      <w:r>
        <w:rPr/>
        <w:t>.</w:t>
      </w:r>
    </w:p>
    <w:p>
      <w:pPr>
        <w:pStyle w:val="Compact"/>
        <w:numPr>
          <w:ilvl w:val="0"/>
          <w:numId w:val="204"/>
        </w:numPr>
        <w:rPr/>
      </w:pPr>
      <w:r>
        <w:rPr/>
        <w:t>거래한도 및 손실한도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한도의 구분</w:t>
      </w:r>
    </w:p>
    <w:p>
      <w:pPr>
        <w:pStyle w:val="Normal"/>
        <w:numPr>
          <w:ilvl w:val="0"/>
          <w:numId w:val="205"/>
        </w:numPr>
        <w:rPr/>
      </w:pPr>
      <w:r>
        <w:rPr/>
        <w:t>거래한도는 일중포지션보유한도</w:t>
      </w:r>
      <w:r>
        <w:rPr/>
        <w:t xml:space="preserve">(Intraday Limit), </w:t>
      </w:r>
      <w:r>
        <w:rPr/>
        <w:t>이월포지션보유한도</w:t>
      </w:r>
      <w:r>
        <w:rPr/>
        <w:t>(Carry over Limit)</w:t>
      </w:r>
      <w:r>
        <w:rPr/>
        <w:t>로 구분한다</w:t>
      </w:r>
      <w:r>
        <w:rPr/>
        <w:t>.</w:t>
      </w:r>
    </w:p>
    <w:p>
      <w:pPr>
        <w:pStyle w:val="Normal"/>
        <w:numPr>
          <w:ilvl w:val="0"/>
          <w:numId w:val="206"/>
        </w:numPr>
        <w:rPr/>
      </w:pPr>
      <w:r>
        <w:rPr/>
        <w:t>손실한도는 일중손실한도</w:t>
      </w:r>
      <w:r>
        <w:rPr/>
        <w:t xml:space="preserve">, </w:t>
      </w:r>
      <w:r>
        <w:rPr/>
        <w:t>월중손실한도</w:t>
      </w:r>
      <w:r>
        <w:rPr/>
        <w:t xml:space="preserve">, </w:t>
      </w:r>
      <w:r>
        <w:rPr/>
        <w:t>기중손실한도로 구분한다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한도의 설정 및 관리</w:t>
      </w:r>
    </w:p>
    <w:p>
      <w:pPr>
        <w:pStyle w:val="Normal"/>
        <w:numPr>
          <w:ilvl w:val="0"/>
          <w:numId w:val="207"/>
        </w:numPr>
        <w:rPr/>
      </w:pPr>
      <w:r>
        <w:rPr/>
        <w:t>딜러별 거래한도 및 손실한도는 주무부서장이 정하되 위험관리위원회에서 정한 당해년도 리스크허용한도를 초과하여 적용할 수 없다</w:t>
      </w:r>
      <w:r>
        <w:rPr/>
        <w:t>.</w:t>
      </w:r>
    </w:p>
    <w:p>
      <w:pPr>
        <w:pStyle w:val="Normal"/>
        <w:numPr>
          <w:ilvl w:val="0"/>
          <w:numId w:val="208"/>
        </w:numPr>
        <w:rPr/>
      </w:pPr>
      <w:r>
        <w:rPr/>
        <w:t>대고객거래 및 헤지거래의 거래건당한도</w:t>
      </w:r>
      <w:r>
        <w:rPr/>
        <w:t xml:space="preserve">, </w:t>
      </w:r>
      <w:r>
        <w:rPr/>
        <w:t>딜러자체포지션을 포함한 은행 전체 포지션보유한도는 관계법규에서 정해진 한도 내에서 직무전결규정의 전결권자의 결재를 받아야 한다</w:t>
      </w:r>
      <w:r>
        <w:rPr/>
        <w:t>.</w:t>
      </w:r>
    </w:p>
    <w:p>
      <w:pPr>
        <w:pStyle w:val="Normal"/>
        <w:numPr>
          <w:ilvl w:val="0"/>
          <w:numId w:val="209"/>
        </w:numPr>
        <w:rPr/>
      </w:pPr>
      <w:r>
        <w:rPr/>
        <w:t>딜러 또는 딜링룸 전체에서 급박한 시장상황 등에 따라 부득이 손실발생 한도를 초과한 경우에는 그 사유를 객관적인 자료를 첨부하여 주무부서장에게 보고하여야 한다</w:t>
      </w:r>
      <w:r>
        <w:rPr/>
        <w:t>.</w:t>
      </w:r>
    </w:p>
    <w:p>
      <w:pPr>
        <w:pStyle w:val="Normal"/>
        <w:numPr>
          <w:ilvl w:val="0"/>
          <w:numId w:val="210"/>
        </w:numPr>
        <w:rPr/>
      </w:pPr>
      <w:r>
        <w:rPr/>
        <w:t xml:space="preserve">일중손실한도를 초과한 경우에는 </w:t>
      </w:r>
      <w:r>
        <w:rPr/>
        <w:t>10</w:t>
      </w:r>
      <w:r>
        <w:rPr/>
        <w:t>일간</w:t>
      </w:r>
      <w:r>
        <w:rPr/>
        <w:t xml:space="preserve">, </w:t>
      </w:r>
      <w:r>
        <w:rPr/>
        <w:t xml:space="preserve">월중손실한도를 초과한 경우에는 해당월의 말일 또는 </w:t>
      </w:r>
      <w:r>
        <w:rPr/>
        <w:t>20</w:t>
      </w:r>
      <w:r>
        <w:rPr/>
        <w:t>일간 중 긴 기간까지 거래를 중지하여야 한다</w:t>
      </w:r>
      <w:r>
        <w:rPr/>
        <w:t>.</w:t>
      </w:r>
    </w:p>
    <w:p>
      <w:pPr>
        <w:pStyle w:val="Normal"/>
        <w:numPr>
          <w:ilvl w:val="0"/>
          <w:numId w:val="211"/>
        </w:numPr>
        <w:rPr/>
      </w:pPr>
      <w:r>
        <w:rPr/>
        <w:t>딜러가 거래한도를 초과한 경우 초과분을 반대매매 등을 통하여 즉시 한도 이내가 되도록 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유동성 부족 등의 사유로 즉시 반대매매가 곤란한 경우에는 다음 영업일 장종료시까지 한도 이내가 되도록 하여야 한다</w:t>
      </w:r>
      <w:r>
        <w:rPr/>
        <w:t>.</w:t>
      </w:r>
    </w:p>
    <w:p>
      <w:pPr>
        <w:pStyle w:val="Normal"/>
        <w:numPr>
          <w:ilvl w:val="0"/>
          <w:numId w:val="212"/>
        </w:numPr>
        <w:rPr/>
      </w:pPr>
      <w:r>
        <w:rPr/>
        <w:t>위 “</w:t>
      </w:r>
      <w:r>
        <w:rPr/>
        <w:t>(5)”</w:t>
      </w:r>
      <w:r>
        <w:rPr/>
        <w:t>의 다음 영업일 장종료시까지 한도초과가 해소되지 않을 경우 한도초과 딜러의 신규거래를 중지하고 관련 내용과 처리방안을 담당 그룹장에게 보고 및 승인을 득하여야 한다</w:t>
      </w:r>
      <w:r>
        <w:rPr/>
        <w:t>.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대고객거래에서 발생한 포지션은 커버거래를 실행하여 스퀘어포지션을 유지하는 것을 원칙으로 하되</w:t>
      </w:r>
      <w:r>
        <w:rPr/>
        <w:t xml:space="preserve">, </w:t>
      </w:r>
      <w:r>
        <w:rPr/>
        <w:t>대상상품의 특성 또는 시장여건 등을 감안하여 부득이 한 경우 또는 커버거래를 실행하지 않는 것이 유리하다고 판단되는 경우에는 예외로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선물환 및 외환스왑을 제외한 파생상품의 건별거래가 다음 각호에 해당하는 경우 위험관리위원회의 승인을 받아야 하며 신용파생상품 등 신용리스크와 직접적인 관련이 있는 거래의 경우에는 여신협의회의 승인을 동시에 득하여야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당행 혹은 대고객 위험회피목적의 거래는 위험관리위원회의 승인을 생략할 수 있다</w:t>
      </w:r>
      <w:r>
        <w:rPr/>
        <w:t>.</w:t>
      </w:r>
    </w:p>
    <w:p>
      <w:pPr>
        <w:pStyle w:val="Normal"/>
        <w:numPr>
          <w:ilvl w:val="0"/>
          <w:numId w:val="213"/>
        </w:numPr>
        <w:rPr/>
      </w:pPr>
      <w:r>
        <w:rPr/>
        <w:t xml:space="preserve">미달러화 </w:t>
      </w:r>
      <w:r>
        <w:rPr/>
        <w:t>10</w:t>
      </w:r>
      <w:r>
        <w:rPr/>
        <w:t>백만불 이상 거래</w:t>
      </w:r>
    </w:p>
    <w:p>
      <w:pPr>
        <w:pStyle w:val="Normal"/>
        <w:numPr>
          <w:ilvl w:val="0"/>
          <w:numId w:val="214"/>
        </w:numPr>
        <w:rPr/>
      </w:pPr>
      <w:r>
        <w:rPr/>
        <w:t>파생상품거래를 합성하거나 거래조건을 복잡하게 변형시킨 비정형거래</w:t>
      </w:r>
    </w:p>
    <w:p>
      <w:pPr>
        <w:pStyle w:val="Compact"/>
        <w:numPr>
          <w:ilvl w:val="0"/>
          <w:numId w:val="215"/>
        </w:numPr>
        <w:rPr/>
      </w:pPr>
      <w:r>
        <w:rPr/>
        <w:t>계약체결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은행간거래의 체결방법은 국내외 금융시장에서 당해 거래에 대하여 일반적으로 사용되는 방법에 의한다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전화 등 구두로 체결한 경우에는 사후에 지체없이 서면 또는 기타 방법으로 거래내용을 확인하여야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장외파생상품거래의 경우에는 거래상대은행과 「</w:t>
      </w:r>
      <w:r>
        <w:rPr/>
        <w:t>ISDA Master Agreement</w:t>
      </w:r>
      <w:r>
        <w:rPr/>
        <w:t>」를 체결하고 개별 거래마다 거래확인서를 교환한다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나중에 약정을 체결할 것으로 확실시되는 경우에는 개별거래를 먼저 할 수 있으며</w:t>
      </w:r>
      <w:r>
        <w:rPr/>
        <w:t xml:space="preserve">, </w:t>
      </w:r>
      <w:r>
        <w:rPr/>
        <w:t>이 경우 가능한 한 빠른 시일 내에 약정을 체결하도록 한다</w:t>
      </w:r>
      <w:r>
        <w:rPr/>
        <w:t>.</w:t>
      </w:r>
    </w:p>
    <w:p>
      <w:pPr>
        <w:pStyle w:val="Compact"/>
        <w:numPr>
          <w:ilvl w:val="0"/>
          <w:numId w:val="216"/>
        </w:numPr>
        <w:rPr/>
      </w:pPr>
      <w:r>
        <w:rPr/>
        <w:t>업무처리절차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거래입력 및 관리</w:t>
      </w:r>
    </w:p>
    <w:p>
      <w:pPr>
        <w:pStyle w:val="BodyText"/>
        <w:rPr/>
      </w:pPr>
      <w:r>
        <w:rPr/>
        <w:t xml:space="preserve">딜러는 거래 후 즉시 전산시스템에 접속하여 거래내용을 입력하고 </w:t>
      </w:r>
      <w:r>
        <w:rPr/>
        <w:t>Back Office</w:t>
      </w:r>
      <w:r>
        <w:rPr/>
        <w:t>담당자가 거래내역을 확인할 수 있도록 해야한다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기록유지 등</w:t>
      </w:r>
    </w:p>
    <w:p>
      <w:pPr>
        <w:pStyle w:val="Normal"/>
        <w:numPr>
          <w:ilvl w:val="0"/>
          <w:numId w:val="217"/>
        </w:numPr>
        <w:rPr/>
      </w:pPr>
      <w:r>
        <w:rPr/>
        <w:t>딜러는 거래 내용을 정확하게 기록</w:t>
      </w:r>
      <w:r>
        <w:rPr/>
        <w:t xml:space="preserve">, </w:t>
      </w:r>
      <w:r>
        <w:rPr/>
        <w:t>유지하여야 한다</w:t>
      </w:r>
      <w:r>
        <w:rPr/>
        <w:t>.</w:t>
      </w:r>
    </w:p>
    <w:p>
      <w:pPr>
        <w:pStyle w:val="Normal"/>
        <w:numPr>
          <w:ilvl w:val="0"/>
          <w:numId w:val="218"/>
        </w:numPr>
        <w:rPr/>
      </w:pPr>
      <w:r>
        <w:rPr/>
        <w:t>딜러는 사후감사 및 분쟁 발생 시 증빙을 위하여 환율</w:t>
      </w:r>
      <w:r>
        <w:rPr/>
        <w:t xml:space="preserve">, </w:t>
      </w:r>
      <w:r>
        <w:rPr/>
        <w:t>이자율의 변동사항 및 특기사항 등 거래를 위한 각종 자료를 보관하여야 한다</w:t>
      </w:r>
      <w:r>
        <w:rPr/>
        <w:t>.</w:t>
      </w:r>
    </w:p>
    <w:p>
      <w:pPr>
        <w:pStyle w:val="Normal"/>
        <w:numPr>
          <w:ilvl w:val="0"/>
          <w:numId w:val="219"/>
        </w:numPr>
        <w:rPr/>
      </w:pPr>
      <w:r>
        <w:rPr/>
        <w:t>거래입력은 거래발생 순서대로 입력하여야 하며</w:t>
      </w:r>
      <w:r>
        <w:rPr/>
        <w:t xml:space="preserve">, </w:t>
      </w:r>
      <w:r>
        <w:rPr/>
        <w:t xml:space="preserve">입력이 지연될 경우 수기로 관리하는 거래기록부에 지연사유를 표기하여 차상위 책임자의 승인을 받은 후 </w:t>
      </w:r>
      <w:r>
        <w:rPr/>
        <w:t>Back Office</w:t>
      </w:r>
      <w:r>
        <w:rPr/>
        <w:t>에 전달하여야 한다</w:t>
      </w:r>
      <w:r>
        <w:rPr/>
        <w:t>.</w:t>
      </w:r>
    </w:p>
    <w:p>
      <w:pPr>
        <w:pStyle w:val="Normal"/>
        <w:numPr>
          <w:ilvl w:val="0"/>
          <w:numId w:val="220"/>
        </w:numPr>
        <w:rPr/>
      </w:pPr>
      <w:r>
        <w:rPr/>
        <w:t>딜러는 반드시 정보통신사의 딜링 장비</w:t>
      </w:r>
      <w:r>
        <w:rPr/>
        <w:t xml:space="preserve">, </w:t>
      </w:r>
      <w:r>
        <w:rPr/>
        <w:t>지정된 유선전화 및 메신저</w:t>
      </w:r>
      <w:r>
        <w:rPr/>
        <w:t xml:space="preserve">, </w:t>
      </w:r>
      <w:r>
        <w:rPr/>
        <w:t>외국은행 등 시장조성자가 제공하는 딜링플랫폼 등을 통하여 거래하여야 하며</w:t>
      </w:r>
      <w:r>
        <w:rPr/>
        <w:t xml:space="preserve">, </w:t>
      </w:r>
      <w:r>
        <w:rPr/>
        <w:t>지정된 유선전화의 통화내역과 메신저의 정보교환 내역은 녹취하여야 한다</w:t>
      </w:r>
      <w:r>
        <w:rPr/>
        <w:t>.</w:t>
      </w:r>
    </w:p>
    <w:p>
      <w:pPr>
        <w:pStyle w:val="Normal"/>
        <w:numPr>
          <w:ilvl w:val="0"/>
          <w:numId w:val="221"/>
        </w:numPr>
        <w:rPr/>
      </w:pPr>
      <w:r>
        <w:rPr/>
        <w:t>딜러는 인가되지 않은 무선통신기기</w:t>
      </w:r>
      <w:r>
        <w:rPr/>
        <w:t>(</w:t>
      </w:r>
      <w:r>
        <w:rPr/>
        <w:t>개인 휴대전화 포함</w:t>
      </w:r>
      <w:r>
        <w:rPr/>
        <w:t>)</w:t>
      </w:r>
      <w:r>
        <w:rPr/>
        <w:t>를 통하여 매매를 할 수 없으며</w:t>
      </w:r>
      <w:r>
        <w:rPr/>
        <w:t xml:space="preserve">, </w:t>
      </w:r>
      <w:r>
        <w:rPr/>
        <w:t>외환시장 거래 시간 동안에는 무선통신기기를 수거하여 관리하도록 하여야 한다</w:t>
      </w:r>
      <w:r>
        <w:rPr/>
        <w:t>.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야간 딜링</w:t>
      </w:r>
    </w:p>
    <w:p>
      <w:pPr>
        <w:pStyle w:val="Normal"/>
        <w:numPr>
          <w:ilvl w:val="0"/>
          <w:numId w:val="222"/>
        </w:numPr>
        <w:rPr/>
      </w:pPr>
      <w:r>
        <w:rPr/>
        <w:t xml:space="preserve">야간딜링이라 함은 오후 </w:t>
      </w:r>
      <w:r>
        <w:rPr/>
        <w:t>6</w:t>
      </w:r>
      <w:r>
        <w:rPr/>
        <w:t>시부터 익일 서울외환시장 폐장 시간까지의 외환 및 파생상품거래를 말하며 “야간딜링 인력운용기준”에 따라 인력을 운용하여야 한다</w:t>
      </w:r>
      <w:r>
        <w:rPr/>
        <w:t>.</w:t>
      </w:r>
    </w:p>
    <w:p>
      <w:pPr>
        <w:pStyle w:val="Normal"/>
        <w:numPr>
          <w:ilvl w:val="0"/>
          <w:numId w:val="223"/>
        </w:numPr>
        <w:rPr/>
      </w:pPr>
      <w:r>
        <w:rPr/>
        <w:t xml:space="preserve">딜러가 </w:t>
      </w:r>
      <w:r>
        <w:rPr/>
        <w:t>Order Deal</w:t>
      </w:r>
      <w:r>
        <w:rPr/>
        <w:t xml:space="preserve">을 하는 경우 </w:t>
      </w:r>
      <w:r>
        <w:rPr/>
        <w:t xml:space="preserve">Order Deal </w:t>
      </w:r>
      <w:r>
        <w:rPr/>
        <w:t xml:space="preserve">주문 후 주문 및 체결 내역을 주문기록부 </w:t>
      </w:r>
      <w:r>
        <w:rPr/>
        <w:t>(Order Book)</w:t>
      </w:r>
      <w:r>
        <w:rPr/>
        <w:t>에 내역을 기재하고</w:t>
      </w:r>
      <w:r>
        <w:rPr/>
        <w:t xml:space="preserve">, </w:t>
      </w:r>
      <w:r>
        <w:rPr/>
        <w:t xml:space="preserve">즉시 </w:t>
      </w:r>
      <w:r>
        <w:rPr/>
        <w:t xml:space="preserve">Back Office </w:t>
      </w:r>
      <w:r>
        <w:rPr/>
        <w:t>담당부서에 통보하여야 하며</w:t>
      </w:r>
      <w:r>
        <w:rPr/>
        <w:t xml:space="preserve">, </w:t>
      </w:r>
      <w:r>
        <w:rPr/>
        <w:t>부득이한 경우 익영업일 즉시 통보하여야 한다</w:t>
      </w:r>
      <w:r>
        <w:rPr/>
        <w:t>.</w:t>
      </w:r>
    </w:p>
    <w:p>
      <w:pPr>
        <w:pStyle w:val="Normal"/>
        <w:numPr>
          <w:ilvl w:val="0"/>
          <w:numId w:val="224"/>
        </w:numPr>
        <w:rPr/>
      </w:pPr>
      <w:r>
        <w:rPr/>
        <w:t xml:space="preserve">야간딜링의 인력은 최소 </w:t>
      </w:r>
      <w:r>
        <w:rPr/>
        <w:t>2</w:t>
      </w:r>
      <w:r>
        <w:rPr/>
        <w:t xml:space="preserve">인이상 운용하여야 하며 근무인원 중 </w:t>
      </w:r>
      <w:r>
        <w:rPr/>
        <w:t>1</w:t>
      </w:r>
      <w:r>
        <w:rPr/>
        <w:t>인이상은 외화포지션 및 손실한도 등이 부여되어야 한다</w:t>
      </w:r>
      <w:r>
        <w:rPr/>
        <w:t xml:space="preserve">. </w:t>
      </w:r>
      <w:r>
        <w:rPr/>
        <w:t>단 외규에서 정한 바가 있으면 그에 따른다</w:t>
      </w:r>
      <w:r>
        <w:rPr/>
        <w:t>.</w:t>
      </w:r>
    </w:p>
    <w:p>
      <w:pPr>
        <w:pStyle w:val="Normal"/>
        <w:numPr>
          <w:ilvl w:val="0"/>
          <w:numId w:val="225"/>
        </w:numPr>
        <w:rPr/>
      </w:pPr>
      <w:r>
        <w:rPr/>
        <w:t xml:space="preserve">야간딜링 시 딜러는 주간과 동일한 내부통제 활동 시행 및 리스크관리에 </w:t>
      </w:r>
      <w:r>
        <w:rPr/>
        <w:t>1</w:t>
      </w:r>
      <w:r>
        <w:rPr/>
        <w:t>차적인 책임을 지며 근무직원은 외규 및 당행 내규에 대한 위반사항이 발생하지 않도록 상호간 상시 모니터링 한다</w:t>
      </w:r>
      <w:r>
        <w:rPr/>
        <w:t>.</w:t>
      </w:r>
    </w:p>
    <w:p>
      <w:pPr>
        <w:pStyle w:val="Compact"/>
        <w:numPr>
          <w:ilvl w:val="0"/>
          <w:numId w:val="226"/>
        </w:numPr>
        <w:rPr/>
      </w:pPr>
      <w:r>
        <w:rPr/>
        <w:t>선물거래계좌 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선물거래 계좌는 청산회원</w:t>
      </w:r>
      <w:r>
        <w:rPr/>
        <w:t>(Clearing Broker)</w:t>
      </w:r>
      <w:r>
        <w:rPr/>
        <w:t>인 선물거래중개사에 개설한다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국내 선물거래의 경우 거래소 회원에 개설할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선물거래계좌는 거래담당자의 요청에 의하여 </w:t>
      </w:r>
      <w:r>
        <w:rPr/>
        <w:t>Back Office</w:t>
      </w:r>
      <w:r>
        <w:rPr/>
        <w:t>업무 담당자가 관리한다</w:t>
      </w:r>
      <w:r>
        <w:rPr/>
        <w:t>.</w:t>
      </w:r>
    </w:p>
    <w:p>
      <w:pPr>
        <w:pStyle w:val="Compact"/>
        <w:numPr>
          <w:ilvl w:val="0"/>
          <w:numId w:val="227"/>
        </w:numPr>
        <w:rPr/>
      </w:pPr>
      <w:r>
        <w:rPr/>
        <w:t>불건전거래 금지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파생상품을 이용한 다음 유형의 불건전거래는 할 수 없다</w:t>
      </w:r>
      <w:r>
        <w:rPr/>
        <w:t>.</w:t>
      </w:r>
    </w:p>
    <w:p>
      <w:pPr>
        <w:pStyle w:val="Normal"/>
        <w:numPr>
          <w:ilvl w:val="0"/>
          <w:numId w:val="228"/>
        </w:numPr>
        <w:rPr/>
      </w:pPr>
      <w:r>
        <w:rPr/>
        <w:t>기 체결된 파생상품거래를 변경</w:t>
      </w:r>
      <w:r>
        <w:rPr/>
        <w:t xml:space="preserve">, </w:t>
      </w:r>
      <w:r>
        <w:rPr/>
        <w:t>취소 또는 종료하면서 기존거래에서 발생한 손익을 새로운 파생상품거래의 가격에 반영하는 거래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한국은행 신고 등 적법한 승인절차를 거친 경우는 제외함</w:t>
      </w:r>
      <w:r>
        <w:rPr/>
        <w:t>.</w:t>
      </w:r>
    </w:p>
    <w:p>
      <w:pPr>
        <w:pStyle w:val="Normal"/>
        <w:numPr>
          <w:ilvl w:val="0"/>
          <w:numId w:val="229"/>
        </w:numPr>
        <w:rPr/>
      </w:pPr>
      <w:r>
        <w:rPr/>
        <w:t>손익의 은폐 또는 조작 등의 목적으로 시장가격과 다른 조정가격에 의한 파생상품을 거래하는 행위</w:t>
      </w:r>
    </w:p>
    <w:p>
      <w:pPr>
        <w:pStyle w:val="Normal"/>
        <w:numPr>
          <w:ilvl w:val="0"/>
          <w:numId w:val="230"/>
        </w:numPr>
        <w:rPr/>
      </w:pPr>
      <w:r>
        <w:rPr/>
        <w:t>손익은폐 또는 조작 등의 목적으로 은행의 보유자산이나 외환포지션 또는 스왑포지션 등을 고객계정이나 가명계좌</w:t>
      </w:r>
      <w:r>
        <w:rPr/>
        <w:t xml:space="preserve">, </w:t>
      </w:r>
      <w:r>
        <w:rPr/>
        <w:t>신탁계정 등에 은닉하는 행위</w:t>
      </w:r>
    </w:p>
    <w:p>
      <w:pPr>
        <w:pStyle w:val="Normal"/>
        <w:numPr>
          <w:ilvl w:val="0"/>
          <w:numId w:val="231"/>
        </w:numPr>
        <w:rPr/>
      </w:pPr>
      <w:r>
        <w:rPr/>
        <w:t>고의적으로 상기 “</w:t>
      </w:r>
      <w:r>
        <w:rPr/>
        <w:t>(1)”</w:t>
      </w:r>
      <w:r>
        <w:rPr/>
        <w:t>부터 “</w:t>
      </w:r>
      <w:r>
        <w:rPr/>
        <w:t>(3)”</w:t>
      </w:r>
      <w:r>
        <w:rPr/>
        <w:t>거래의 상대방이 되는 행위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파생상품거래 담당자는 관계법령에서 허용하는 경우를 제외하고는 거래자 명의에 상관없이 자기의 계산으로 파생상품에 대한 매매거래 또는 위탁거래를 할 수 없다</w:t>
      </w:r>
      <w:r>
        <w:rPr/>
        <w:t>.</w:t>
      </w:r>
    </w:p>
    <w:p>
      <w:pPr>
        <w:pStyle w:val="Compact"/>
        <w:numPr>
          <w:ilvl w:val="0"/>
          <w:numId w:val="232"/>
        </w:numPr>
        <w:rPr/>
      </w:pPr>
      <w:r>
        <w:rPr/>
        <w:t>보고</w:t>
      </w:r>
    </w:p>
    <w:p>
      <w:pPr>
        <w:pStyle w:val="FirstParagraph"/>
        <w:rPr/>
      </w:pPr>
      <w:r>
        <w:rPr/>
        <w:t>딜러는 매영업일 영업시간 종료 후 거래내역을 주무부서장에게 보고하여야 한다</w:t>
      </w:r>
      <w:r>
        <w:rPr/>
        <w:t>.</w:t>
      </w:r>
      <w:bookmarkEnd w:id="3"/>
    </w:p>
    <w:p>
      <w:pPr>
        <w:pStyle w:val="Heading2"/>
        <w:rPr/>
      </w:pPr>
      <w:bookmarkStart w:id="4" w:name="제4장-대고객-외환-및-파생상품거래업무"/>
      <w:r>
        <w:rPr/>
        <w:t>제</w:t>
      </w:r>
      <w:r>
        <w:rPr/>
        <w:t>4</w:t>
      </w:r>
      <w:r>
        <w:rPr/>
        <w:t>장 대고객 외환 및 파생상품거래업무</w:t>
      </w:r>
    </w:p>
    <w:p>
      <w:pPr>
        <w:pStyle w:val="Heading3"/>
        <w:rPr/>
      </w:pPr>
      <w:bookmarkStart w:id="5" w:name="제1절-총칙"/>
      <w:r>
        <w:rPr/>
        <w:t>제</w:t>
      </w:r>
      <w:r>
        <w:rPr/>
        <w:t>1</w:t>
      </w:r>
      <w:r>
        <w:rPr/>
        <w:t>절 총칙</w:t>
      </w:r>
    </w:p>
    <w:p>
      <w:pPr>
        <w:pStyle w:val="Compact"/>
        <w:numPr>
          <w:ilvl w:val="0"/>
          <w:numId w:val="233"/>
        </w:numPr>
        <w:rPr/>
      </w:pPr>
      <w:r>
        <w:rPr/>
        <w:t>목 적</w:t>
      </w:r>
    </w:p>
    <w:p>
      <w:pPr>
        <w:pStyle w:val="FirstParagraph"/>
        <w:rPr/>
      </w:pPr>
      <w:r>
        <w:rPr/>
        <w:t>이 장은 대고객 외환매매거래 및 파생상품거래를 취급함에 있어 필요한 기본원칙과 기준을 제시하고 그에 수반되는 리스크를 적절히 관리함을 목적으로 한다</w:t>
      </w:r>
      <w:r>
        <w:rPr/>
        <w:t>.</w:t>
      </w:r>
    </w:p>
    <w:p>
      <w:pPr>
        <w:pStyle w:val="Compact"/>
        <w:numPr>
          <w:ilvl w:val="0"/>
          <w:numId w:val="234"/>
        </w:numPr>
        <w:rPr/>
      </w:pPr>
      <w:r>
        <w:rPr/>
        <w:t>취급원칙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대고객 외환 및 파생상품거래 업무</w:t>
      </w:r>
      <w:r>
        <w:rPr/>
        <w:t>(</w:t>
      </w:r>
      <w:r>
        <w:rPr/>
        <w:t>이하 “외환ㆍ파생상품거래”라 한다</w:t>
      </w:r>
      <w:r>
        <w:rPr/>
        <w:t>)</w:t>
      </w:r>
      <w:r>
        <w:rPr/>
        <w:t>는 「국제금융업무규정」</w:t>
      </w:r>
      <w:r>
        <w:rPr/>
        <w:t xml:space="preserve">, </w:t>
      </w:r>
      <w:r>
        <w:rPr/>
        <w:t>본 지침 및 각 상품별 「장외파생상품 업무매뉴얼」에 의한다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외환ㆍ파생상품거래에 관한 외규</w:t>
      </w:r>
      <w:r>
        <w:rPr/>
        <w:t>(</w:t>
      </w:r>
      <w:r>
        <w:rPr/>
        <w:t>법령 또는 은행감독규정 등</w:t>
      </w:r>
      <w:r>
        <w:rPr/>
        <w:t xml:space="preserve">) </w:t>
      </w:r>
      <w:r>
        <w:rPr/>
        <w:t>및 외규에 의한 지시는 본 지침 등 관련 규정에 우선하여 적용한다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외환ㆍ파생상품거래에 관하여 본 지침에 규정된 것을 제외하고는 여신에 준하여 당행 내규 및 당행 여신거래기본약관이 정하는 바에 의한다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외환ㆍ파생상품거래에 관하여 위 “나”에서도 정하지 않은 사항은 국내외 금융시장의 관행에 따라 운영한다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외환ㆍ파생상품거래 약정 및 개별거래 체결은 영업점이 취급하는 것을 원칙으로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별도로 정한 경우에는 그에 따른다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동일 고객과의 외환ㆍ파생상품거래 약정은 하나의 영업점에서만 할 수 있다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현물환거래 약정과 파생결합금융상품은 예외로 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여러개의 사업자등록증으로 다수의 개인기업을 영위하는 개인사업자의 경우 매출이 가장 큰 사업자번호를 거래상대방으로 지정하여 거래한다</w:t>
      </w:r>
      <w:r>
        <w:rPr/>
        <w:t>.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대고객 신용리스크는 외환ㆍ파생상품거래 영업점에서 관리하는 것을 원칙으로 한다</w:t>
      </w:r>
      <w:r>
        <w:rPr/>
        <w:t>.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현물환거래시 장외파생상품거래 기본계약서 또는 현물환거래 약정서를 거래 사전에 체결하여야하며</w:t>
      </w:r>
      <w:r>
        <w:rPr/>
        <w:t xml:space="preserve">, </w:t>
      </w:r>
      <w:r>
        <w:rPr/>
        <w:t xml:space="preserve">동 계약서 </w:t>
      </w:r>
      <w:r>
        <w:rPr/>
        <w:t>20</w:t>
      </w:r>
      <w:r>
        <w:rPr/>
        <w:t xml:space="preserve">조 특별조건 또는 동 약정서의 </w:t>
      </w:r>
      <w:r>
        <w:rPr/>
        <w:t>15</w:t>
      </w:r>
      <w:r>
        <w:rPr/>
        <w:t>조 특별조건을 운용하는 경우 준법감시부의 사전감시를 받아야한다</w:t>
      </w:r>
      <w:r>
        <w:rPr/>
        <w:t>.</w:t>
      </w:r>
    </w:p>
    <w:p>
      <w:pPr>
        <w:pStyle w:val="Compact"/>
        <w:numPr>
          <w:ilvl w:val="0"/>
          <w:numId w:val="235"/>
        </w:numPr>
        <w:rPr/>
      </w:pPr>
      <w:r>
        <w:rPr/>
        <w:t>개별거래 취급기준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영업점에서 개별거래를 취급하기 위해서는 사전에 주무부서로 해당 상품 및 개별거래 별로 개별가격을 신청하여야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다음 각호의 경우에는 개별가격 신청없이 취급 시점 고시된 가격을 기준으로 처리할 수 있다</w:t>
      </w:r>
      <w:r>
        <w:rPr/>
        <w:t>.</w:t>
      </w:r>
    </w:p>
    <w:p>
      <w:pPr>
        <w:pStyle w:val="Normal"/>
        <w:numPr>
          <w:ilvl w:val="0"/>
          <w:numId w:val="236"/>
        </w:numPr>
        <w:rPr/>
      </w:pPr>
      <w:r>
        <w:rPr/>
        <w:t xml:space="preserve">외환거래 중 외국환취급부점장의 전결권 범위내이고 미달러화 </w:t>
      </w:r>
      <w:r>
        <w:rPr/>
        <w:t>30</w:t>
      </w:r>
      <w:r>
        <w:rPr/>
        <w:t>만불 상당액 미만인 현물환거래</w:t>
      </w:r>
    </w:p>
    <w:p>
      <w:pPr>
        <w:pStyle w:val="Normal"/>
        <w:numPr>
          <w:ilvl w:val="0"/>
          <w:numId w:val="237"/>
        </w:numPr>
        <w:rPr/>
      </w:pPr>
      <w:r>
        <w:rPr/>
        <w:t>기타 주무부서장이 필요하다고 사전에 인정한 거래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개별거래의 만기일은 해당 상품 및 개별거래 별로 정하여야하며</w:t>
      </w:r>
      <w:r>
        <w:rPr/>
        <w:t xml:space="preserve">, </w:t>
      </w:r>
      <w:r>
        <w:rPr/>
        <w:t>선물환거래의 경우 다음 각호의 방식에 따라 정할 수 있다</w:t>
      </w:r>
      <w:r>
        <w:rPr/>
        <w:t>.</w:t>
      </w:r>
    </w:p>
    <w:p>
      <w:pPr>
        <w:pStyle w:val="Compact"/>
        <w:numPr>
          <w:ilvl w:val="0"/>
          <w:numId w:val="238"/>
        </w:numPr>
        <w:rPr/>
      </w:pPr>
      <w:r>
        <w:rPr/>
        <w:t>확정일 방식</w:t>
      </w:r>
    </w:p>
    <w:p>
      <w:pPr>
        <w:pStyle w:val="FirstParagraph"/>
        <w:rPr/>
      </w:pPr>
      <w:r>
        <w:rPr/>
        <w:t>선물환거래의 만기일을 특정일로 정한 경우 그 해당일을 만기일로 한다</w:t>
      </w:r>
      <w:r>
        <w:rPr/>
        <w:t>.</w:t>
      </w:r>
    </w:p>
    <w:p>
      <w:pPr>
        <w:pStyle w:val="Compact"/>
        <w:numPr>
          <w:ilvl w:val="0"/>
          <w:numId w:val="239"/>
        </w:numPr>
        <w:rPr/>
      </w:pPr>
      <w:r>
        <w:rPr/>
        <w:t>만기일을 월단위로 약정한 경우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거래체결일의 익익영업일로부터 기산하여 해당월의 해당일을 만기일로 한다</w:t>
      </w:r>
      <w:r>
        <w:rPr/>
        <w:t>.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해당월의 해당일이 없거나</w:t>
      </w:r>
      <w:r>
        <w:rPr/>
        <w:t xml:space="preserve">, </w:t>
      </w:r>
      <w:r>
        <w:rPr/>
        <w:t>또는 영업일이 아닌 경우에는 익영업일을 만기일로 한다</w:t>
      </w:r>
      <w:r>
        <w:rPr/>
        <w:t>.</w:t>
      </w:r>
    </w:p>
    <w:p>
      <w:pPr>
        <w:pStyle w:val="Compact"/>
        <w:numPr>
          <w:ilvl w:val="0"/>
          <w:numId w:val="240"/>
        </w:numPr>
        <w:rPr/>
      </w:pPr>
      <w:r>
        <w:rPr/>
        <w:t>선택일</w:t>
      </w:r>
      <w:r>
        <w:rPr/>
        <w:t xml:space="preserve">(Option) </w:t>
      </w:r>
      <w:r>
        <w:rPr/>
        <w:t>방식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선물환거래의 만기일을 특정일로 정하지 않고 고객이 선택한 특정기간 중의 임의일로 한다</w:t>
      </w:r>
      <w:r>
        <w:rPr/>
        <w:t>.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선택일 방식에 의한 선물환거래의 경우 외국환취급점은 만기일로 확정하고자 하는 날을 특정기간 전까지 주무부서에 이를 통지하여야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위험회피목적거래를 체결하는 경우 위험회피대상의 기일 이내로 만기일을 정하여야한다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거래는 고객</w:t>
      </w:r>
      <w:r>
        <w:rPr/>
        <w:t xml:space="preserve">, </w:t>
      </w:r>
      <w:r>
        <w:rPr/>
        <w:t>영업점 및 주무부서 상호간에 전화</w:t>
      </w:r>
      <w:r>
        <w:rPr/>
        <w:t xml:space="preserve">, </w:t>
      </w:r>
      <w:r>
        <w:rPr/>
        <w:t>메신저</w:t>
      </w:r>
      <w:r>
        <w:rPr/>
        <w:t xml:space="preserve">, </w:t>
      </w:r>
      <w:r>
        <w:rPr/>
        <w:t>계정계</w:t>
      </w:r>
      <w:r>
        <w:rPr/>
        <w:t xml:space="preserve">, </w:t>
      </w:r>
      <w:r>
        <w:rPr/>
        <w:t>기타의 방법으로 거래 조건에 합의하는 시점에서 성립한다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거래가 성립된 후에는 이를 변경하거나 취소할 수 없다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자금운용부서와 사전협의</w:t>
      </w:r>
      <w:r>
        <w:rPr/>
        <w:t xml:space="preserve">, </w:t>
      </w:r>
      <w:r>
        <w:rPr/>
        <w:t>승인을 얻은 다음 각호의 경우에는 그러하지 아니한다</w:t>
      </w:r>
      <w:r>
        <w:rPr/>
        <w:t>.</w:t>
      </w:r>
    </w:p>
    <w:p>
      <w:pPr>
        <w:pStyle w:val="Normal"/>
        <w:numPr>
          <w:ilvl w:val="0"/>
          <w:numId w:val="241"/>
        </w:numPr>
        <w:rPr/>
      </w:pPr>
      <w:r>
        <w:rPr/>
        <w:t>커버거래를 실행하기 전인 경우</w:t>
      </w:r>
    </w:p>
    <w:p>
      <w:pPr>
        <w:pStyle w:val="Normal"/>
        <w:numPr>
          <w:ilvl w:val="0"/>
          <w:numId w:val="242"/>
        </w:numPr>
        <w:rPr/>
      </w:pPr>
      <w:r>
        <w:rPr/>
        <w:t>영업점 취급자의 오조작인 경우에 한하여 주무부서장의 승인을 득한 경우</w:t>
      </w:r>
    </w:p>
    <w:p>
      <w:pPr>
        <w:pStyle w:val="FirstParagraph"/>
        <w:rPr/>
      </w:pPr>
      <w:r>
        <w:rPr/>
        <w:t>바</w:t>
      </w:r>
      <w:r>
        <w:rPr/>
        <w:t xml:space="preserve">. </w:t>
      </w:r>
      <w:r>
        <w:rPr/>
        <w:t>상기 “마”의 단서에 의한 변경 및 취소로 인하여 손실이 발생한 경우 영업점은 해당손실액을 고객으로부터 보전받아야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자금운용부서에서 고객과 직거래한 경우에는 자금운용부서장이 정하는 바에 따른다</w:t>
      </w:r>
      <w:r>
        <w:rPr/>
        <w:t>.</w:t>
      </w:r>
    </w:p>
    <w:p>
      <w:pPr>
        <w:pStyle w:val="Compact"/>
        <w:numPr>
          <w:ilvl w:val="0"/>
          <w:numId w:val="243"/>
        </w:numPr>
        <w:rPr/>
      </w:pPr>
      <w:r>
        <w:rPr/>
        <w:t>계약의 불이행 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고객에게 장외파생상품거래 기본계약서 또는 약정서 등에서 정한 계약불이행</w:t>
      </w:r>
      <w:r>
        <w:rPr/>
        <w:t xml:space="preserve">, </w:t>
      </w:r>
      <w:r>
        <w:rPr/>
        <w:t>거래종료사유 발생 또는 기한 전의 채무변제의무 사유 발생시에는 추가 개별거래 체결을 중지하고</w:t>
      </w:r>
      <w:r>
        <w:rPr/>
        <w:t xml:space="preserve">, </w:t>
      </w:r>
      <w:r>
        <w:rPr/>
        <w:t>약정서의 조치사항을 확인하여 객관적이고 타당한 사유를 제외하고는 동 내용에 따라 통지</w:t>
      </w:r>
      <w:r>
        <w:rPr/>
        <w:t xml:space="preserve">, </w:t>
      </w:r>
      <w:r>
        <w:rPr/>
        <w:t>반대거래 등을 수행하여야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영업점에서는 상기 “가”의 사유 발생 즉시 주무부서에 동 내용을 유선으로 통지한 후 채권금액 확정을 위한 반대거래 필요시 기한전 거래 종료일을 지정하여 문서로 요청하여야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주무부서는 만기일 또는 지급일에 계약불이행에 따른 정산차액 부족 시 또는 영업점의 반대거래 요청에 따라 반대거래 등을 수행 시 영업점에 그 계산 내역을 제공한 후 </w:t>
      </w:r>
      <w:r>
        <w:rPr/>
        <w:t>Back office</w:t>
      </w:r>
      <w:r>
        <w:rPr/>
        <w:t>를 통해 영업점으로부터 전금 또는 역환으로 자금을 정산한다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영업점은 고객의 계약불이행 등에 따라 발생한 또는 역환 받은 금액을 원화미수금으로 대체 기표하고 여신에 준하여 연체채권으로 분류하여 자산건전성분류</w:t>
      </w:r>
      <w:r>
        <w:rPr/>
        <w:t xml:space="preserve">, </w:t>
      </w:r>
      <w:r>
        <w:rPr/>
        <w:t>대손충당금 적립 및 채권관리 등의 사후관리를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지연배상금은 약정서에서 정한 연체이율을 적용하여 수기로 계산 후 기타수입잡이자 계정으로 징구한다</w:t>
      </w:r>
      <w:r>
        <w:rPr/>
        <w:t>.</w:t>
      </w:r>
      <w:bookmarkEnd w:id="5"/>
    </w:p>
    <w:p>
      <w:pPr>
        <w:pStyle w:val="Heading3"/>
        <w:rPr/>
      </w:pPr>
      <w:bookmarkStart w:id="6" w:name="제2절-대고객-파생상품거래-개요-및-주의사항"/>
      <w:r>
        <w:rPr/>
        <w:t>제</w:t>
      </w:r>
      <w:r>
        <w:rPr/>
        <w:t>2</w:t>
      </w:r>
      <w:r>
        <w:rPr/>
        <w:t>절 대고객 파생상품거래 개요 및 주의사항</w:t>
      </w:r>
    </w:p>
    <w:p>
      <w:pPr>
        <w:pStyle w:val="Compact"/>
        <w:numPr>
          <w:ilvl w:val="0"/>
          <w:numId w:val="244"/>
        </w:numPr>
        <w:rPr/>
      </w:pPr>
      <w:r>
        <w:rPr/>
        <w:t>대고객 파생상품거래 개요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파생상품은 「자본시장법 제</w:t>
      </w:r>
      <w:r>
        <w:rPr/>
        <w:t>3</w:t>
      </w:r>
      <w:r>
        <w:rPr/>
        <w:t>조」 및 「금소법」에 따라 각각 “금융투자상품” 및 “투자성 상품”으로 분류되며</w:t>
      </w:r>
      <w:r>
        <w:rPr/>
        <w:t xml:space="preserve">, </w:t>
      </w:r>
      <w:r>
        <w:rPr/>
        <w:t>이를 취급하는 금융투자업자 및 금융상품 판매업자에 해당하는 당행은 동 법률 및 「은행업감독규정」 등의 파생상품 관련 규정에서 정의한 사항에 따라 고객과 파생상품 거래를 진행함에 있어 다음과 같은 업무를 처리하여야 한다</w:t>
      </w:r>
      <w:r>
        <w:rPr/>
        <w:t>.</w:t>
      </w:r>
    </w:p>
    <w:p>
      <w:pPr>
        <w:pStyle w:val="Compact"/>
        <w:numPr>
          <w:ilvl w:val="0"/>
          <w:numId w:val="245"/>
        </w:numPr>
        <w:rPr/>
      </w:pPr>
      <w:r>
        <w:rPr/>
        <w:t>투자자 유형 확인 및 투자자정보 확인 등</w:t>
      </w:r>
    </w:p>
    <w:p>
      <w:pPr>
        <w:pStyle w:val="FirstParagraph"/>
        <w:rPr/>
      </w:pPr>
      <w:r>
        <w:rPr/>
        <w:t>파생상품을 거래하고자 하는 고객의 투자자 유형을 분류하여야 하며</w:t>
      </w:r>
      <w:r>
        <w:rPr/>
        <w:t xml:space="preserve">. </w:t>
      </w:r>
      <w:r>
        <w:rPr/>
        <w:t>만약</w:t>
      </w:r>
      <w:r>
        <w:rPr/>
        <w:t xml:space="preserve">, </w:t>
      </w:r>
      <w:r>
        <w:rPr/>
        <w:t>해당고객이 일반금융소비자에 해당할 경우 계약체결 권유 유무에 따라 절차를 달리한다</w:t>
      </w:r>
      <w:r>
        <w:rPr/>
        <w:t>.</w:t>
      </w:r>
    </w:p>
    <w:p>
      <w:pPr>
        <w:pStyle w:val="BodyText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계약체결을 권유하는 경우</w:t>
      </w:r>
      <w:r>
        <w:rPr/>
        <w:t xml:space="preserve">: </w:t>
      </w:r>
      <w:r>
        <w:rPr/>
        <w:t>투자자 정보 확인 후 투자자 등급을 부여하고</w:t>
      </w:r>
      <w:r>
        <w:rPr/>
        <w:t xml:space="preserve">, </w:t>
      </w:r>
      <w:r>
        <w:rPr/>
        <w:t>고객에게 적합한 파생상품을 권유하여야 한다</w:t>
      </w:r>
      <w:r>
        <w:rPr/>
        <w:t>.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계약체결을 권유하지 않는 경우</w:t>
      </w:r>
      <w:r>
        <w:rPr/>
        <w:t xml:space="preserve">: </w:t>
      </w:r>
      <w:r>
        <w:rPr/>
        <w:t>투자자 정보 확인 후 투자자 등급을 부여하고</w:t>
      </w:r>
      <w:r>
        <w:rPr/>
        <w:t xml:space="preserve">, </w:t>
      </w:r>
      <w:r>
        <w:rPr/>
        <w:t>해당 파생상품이 고객에게 부적정한 상품일 경우 해당 고객에게 부적정한 상품임을 알려야 한다</w:t>
      </w:r>
      <w:r>
        <w:rPr/>
        <w:t>.</w:t>
      </w:r>
    </w:p>
    <w:p>
      <w:pPr>
        <w:pStyle w:val="Compact"/>
        <w:numPr>
          <w:ilvl w:val="0"/>
          <w:numId w:val="246"/>
        </w:numPr>
        <w:rPr/>
      </w:pPr>
      <w:r>
        <w:rPr/>
        <w:t>실수요한도 확인</w:t>
      </w:r>
    </w:p>
    <w:p>
      <w:pPr>
        <w:pStyle w:val="FirstParagraph"/>
        <w:rPr/>
      </w:pPr>
      <w:r>
        <w:rPr/>
        <w:t>일반투자자의 파생상품 거래와 기업투자자의 외환파생상품 거래는 위험회피목적거래로 제한되며</w:t>
      </w:r>
      <w:r>
        <w:rPr/>
        <w:t xml:space="preserve">, </w:t>
      </w:r>
      <w:r>
        <w:rPr/>
        <w:t>거래 전에 증빙자료 등을 토대로 실수요한도 부여 후 위험회피비율을 산출하여 위험회피목적거래인지 여부를 확인하여야 한다</w:t>
      </w:r>
      <w:r>
        <w:rPr/>
        <w:t>.</w:t>
      </w:r>
    </w:p>
    <w:p>
      <w:pPr>
        <w:pStyle w:val="Compact"/>
        <w:numPr>
          <w:ilvl w:val="0"/>
          <w:numId w:val="247"/>
        </w:numPr>
        <w:rPr/>
      </w:pPr>
      <w:r>
        <w:rPr/>
        <w:t>기본계약서 및 담보제공약정 체결</w:t>
      </w:r>
    </w:p>
    <w:p>
      <w:pPr>
        <w:pStyle w:val="FirstParagraph"/>
        <w:rPr/>
      </w:pPr>
      <w:r>
        <w:rPr/>
        <w:t>기본계약서는 고객과 파생상품거래 진행 시 개별거래 성립 및 지급 조건</w:t>
      </w:r>
      <w:r>
        <w:rPr/>
        <w:t xml:space="preserve">, </w:t>
      </w:r>
      <w:r>
        <w:rPr/>
        <w:t>거래종료사유</w:t>
      </w:r>
      <w:r>
        <w:rPr/>
        <w:t xml:space="preserve">, </w:t>
      </w:r>
      <w:r>
        <w:rPr/>
        <w:t>지연배상금 등 거래 전반에 대한 사항을 정의하고 있으므로 거래 전에 체결해야하며</w:t>
      </w:r>
      <w:r>
        <w:rPr/>
        <w:t xml:space="preserve">, </w:t>
      </w:r>
      <w:r>
        <w:rPr/>
        <w:t>기본계약서 체결 후에는 거래상대방의 신용도 등을 감안하여 담보제공약정을 체결하여야 한다</w:t>
      </w:r>
      <w:r>
        <w:rPr/>
        <w:t xml:space="preserve">. </w:t>
      </w:r>
      <w:r>
        <w:rPr/>
        <w:t>장외파생상품 거래는 장내파생상품 거래와는 달리 거래소와 같은 청산기관을 통한 증거금 정산이 없기 때문에 결제이행을 담보하기 위해 고객에게 계약이행보증금 적립</w:t>
      </w:r>
      <w:r>
        <w:rPr/>
        <w:t xml:space="preserve">, </w:t>
      </w:r>
      <w:r>
        <w:rPr/>
        <w:t>면제 기준에 따라 해당 한도 내에서 개별거래를 하게 된다</w:t>
      </w:r>
      <w:r>
        <w:rPr/>
        <w:t>.</w:t>
      </w:r>
    </w:p>
    <w:p>
      <w:pPr>
        <w:pStyle w:val="Compact"/>
        <w:numPr>
          <w:ilvl w:val="0"/>
          <w:numId w:val="248"/>
        </w:numPr>
        <w:rPr/>
      </w:pPr>
      <w:r>
        <w:rPr/>
        <w:t>개별거래 체결 시 상품 설명의무</w:t>
      </w:r>
    </w:p>
    <w:p>
      <w:pPr>
        <w:pStyle w:val="FirstParagraph"/>
        <w:rPr/>
      </w:pPr>
      <w:r>
        <w:rPr/>
        <w:t>투자자 유형 확인 업무 단계에서 일반금융소비자로 분류된 고객에 대해 당행이 계약체결을 권유하는 경우 또는 해당 고객이 설명을 요청하는 경우</w:t>
      </w:r>
      <w:r>
        <w:rPr/>
        <w:t xml:space="preserve">, </w:t>
      </w:r>
      <w:r>
        <w:rPr/>
        <w:t>담당자는 거래하고자 하는 장외파생상품의 내용</w:t>
      </w:r>
      <w:r>
        <w:rPr/>
        <w:t xml:space="preserve">, </w:t>
      </w:r>
      <w:r>
        <w:rPr/>
        <w:t>위험 등을 설명해야하며</w:t>
      </w:r>
      <w:r>
        <w:rPr/>
        <w:t xml:space="preserve">, </w:t>
      </w:r>
      <w:r>
        <w:rPr/>
        <w:t>고객이 설명내용을 이해하였음을 서명</w:t>
      </w:r>
      <w:r>
        <w:rPr/>
        <w:t xml:space="preserve">, </w:t>
      </w:r>
      <w:r>
        <w:rPr/>
        <w:t>기명날인</w:t>
      </w:r>
      <w:r>
        <w:rPr/>
        <w:t xml:space="preserve">, </w:t>
      </w:r>
      <w:r>
        <w:rPr/>
        <w:t>녹취 등의 방법으로 확인 받아야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대고객 파생상품거래 순서는 다음과 같다</w:t>
      </w:r>
      <w:r>
        <w:rPr/>
        <w:t>.</w:t>
      </w:r>
    </w:p>
    <w:p>
      <w:pPr>
        <w:pStyle w:val="Compact"/>
        <w:numPr>
          <w:ilvl w:val="0"/>
          <w:numId w:val="249"/>
        </w:numPr>
        <w:rPr/>
      </w:pPr>
      <w:r>
        <w:rPr/>
        <w:t>단계별 절차</w:t>
      </w:r>
    </w:p>
    <w:p>
      <w:pPr>
        <w:pStyle w:val="FirstParagraph"/>
        <w:rPr/>
      </w:pPr>
      <w:r>
        <w:rPr/>
        <w:t>1</w:t>
      </w:r>
      <w:r>
        <w:rPr/>
        <w:t>단계</w:t>
      </w:r>
      <w:r>
        <w:rPr/>
        <w:t xml:space="preserve">: </w:t>
      </w:r>
      <w:r>
        <w:rPr/>
        <w:t>투자자 유형 확인</w:t>
      </w:r>
    </w:p>
    <w:p>
      <w:pPr>
        <w:pStyle w:val="BodyText"/>
        <w:rPr/>
      </w:pPr>
      <w:r>
        <w:rPr/>
        <w:t>2</w:t>
      </w:r>
      <w:r>
        <w:rPr/>
        <w:t>단계</w:t>
      </w:r>
      <w:r>
        <w:rPr/>
        <w:t xml:space="preserve">: </w:t>
      </w:r>
      <w:r>
        <w:rPr/>
        <w:t>일반금융소비자 정보 확인</w:t>
      </w:r>
    </w:p>
    <w:p>
      <w:pPr>
        <w:pStyle w:val="BodyText"/>
        <w:rPr/>
      </w:pPr>
      <w:r>
        <w:rPr/>
        <w:t>3</w:t>
      </w:r>
      <w:r>
        <w:rPr/>
        <w:t>단계</w:t>
      </w:r>
      <w:r>
        <w:rPr/>
        <w:t xml:space="preserve">: </w:t>
      </w:r>
      <w:r>
        <w:rPr/>
        <w:t>거래적합성 평가</w:t>
      </w:r>
    </w:p>
    <w:p>
      <w:pPr>
        <w:pStyle w:val="BodyText"/>
        <w:rPr/>
      </w:pPr>
      <w:r>
        <w:rPr/>
        <w:t>4</w:t>
      </w:r>
      <w:r>
        <w:rPr/>
        <w:t>단계</w:t>
      </w:r>
      <w:r>
        <w:rPr/>
        <w:t xml:space="preserve">: </w:t>
      </w:r>
      <w:r>
        <w:rPr/>
        <w:t>실수요한도 및 위험회피비율 확인</w:t>
      </w:r>
    </w:p>
    <w:p>
      <w:pPr>
        <w:pStyle w:val="BodyText"/>
        <w:rPr/>
      </w:pPr>
      <w:r>
        <w:rPr/>
        <w:t>5</w:t>
      </w:r>
      <w:r>
        <w:rPr/>
        <w:t>단계</w:t>
      </w:r>
      <w:r>
        <w:rPr/>
        <w:t xml:space="preserve">: </w:t>
      </w:r>
      <w:r>
        <w:rPr/>
        <w:t>장외파생상품거래 기본계약서 체결 및 장외파생상품거래에 관한 위험고지 교부</w:t>
      </w:r>
    </w:p>
    <w:p>
      <w:pPr>
        <w:pStyle w:val="BodyText"/>
        <w:rPr/>
      </w:pPr>
      <w:r>
        <w:rPr/>
        <w:t>6</w:t>
      </w:r>
      <w:r>
        <w:rPr/>
        <w:t>단계</w:t>
      </w:r>
      <w:r>
        <w:rPr/>
        <w:t xml:space="preserve">: </w:t>
      </w:r>
      <w:r>
        <w:rPr/>
        <w:t>장외파생상품거래 신용한도 확인 및 부여</w:t>
      </w:r>
    </w:p>
    <w:p>
      <w:pPr>
        <w:pStyle w:val="BodyText"/>
        <w:rPr/>
      </w:pPr>
      <w:r>
        <w:rPr/>
        <w:t>7</w:t>
      </w:r>
      <w:r>
        <w:rPr/>
        <w:t>단계</w:t>
      </w:r>
      <w:r>
        <w:rPr/>
        <w:t xml:space="preserve">: </w:t>
      </w:r>
      <w:r>
        <w:rPr/>
        <w:t>설명의무 이행</w:t>
      </w:r>
    </w:p>
    <w:p>
      <w:pPr>
        <w:pStyle w:val="BodyText"/>
        <w:rPr/>
      </w:pPr>
      <w:r>
        <w:rPr/>
        <w:t>8</w:t>
      </w:r>
      <w:r>
        <w:rPr/>
        <w:t>단계</w:t>
      </w:r>
      <w:r>
        <w:rPr/>
        <w:t xml:space="preserve">: </w:t>
      </w:r>
      <w:r>
        <w:rPr/>
        <w:t>개별거래 체결</w:t>
      </w:r>
    </w:p>
    <w:p>
      <w:pPr>
        <w:pStyle w:val="BodyText"/>
        <w:rPr/>
      </w:pPr>
      <w:r>
        <w:rPr/>
        <w:t>9</w:t>
      </w:r>
      <w:r>
        <w:rPr/>
        <w:t>단계</w:t>
      </w:r>
      <w:r>
        <w:rPr/>
        <w:t xml:space="preserve">: </w:t>
      </w:r>
      <w:r>
        <w:rPr/>
        <w:t>사후관리</w:t>
      </w:r>
    </w:p>
    <w:p>
      <w:pPr>
        <w:pStyle w:val="Compact"/>
        <w:numPr>
          <w:ilvl w:val="0"/>
          <w:numId w:val="250"/>
        </w:numPr>
        <w:rPr/>
      </w:pPr>
      <w:r>
        <w:rPr/>
        <w:t>참고사항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>) 1</w:t>
      </w:r>
      <w:r>
        <w:rPr/>
        <w:t xml:space="preserve">단계에서 고객이 장외파생상품 투자권유 거부 시 </w:t>
      </w:r>
      <w:r>
        <w:rPr/>
        <w:t>1</w:t>
      </w:r>
      <w:r>
        <w:rPr/>
        <w:t>개월 후 재권유 가능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 xml:space="preserve">기업투자자는 </w:t>
      </w:r>
      <w:r>
        <w:rPr/>
        <w:t>2, 3, 7</w:t>
      </w:r>
      <w:r>
        <w:rPr/>
        <w:t>단계를 생략하고</w:t>
      </w:r>
      <w:r>
        <w:rPr/>
        <w:t>, 8</w:t>
      </w:r>
      <w:r>
        <w:rPr/>
        <w:t>단계의 경우 녹취 생략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 xml:space="preserve">전문금융소비자는 </w:t>
      </w:r>
      <w:r>
        <w:rPr/>
        <w:t>2, 3, 4, 7</w:t>
      </w:r>
      <w:r>
        <w:rPr/>
        <w:t>단계를 생략하고</w:t>
      </w:r>
      <w:r>
        <w:rPr/>
        <w:t>, 8</w:t>
      </w:r>
      <w:r>
        <w:rPr/>
        <w:t>단계의 경우 실수요한도 재확인 및 녹취 생략</w:t>
      </w:r>
    </w:p>
    <w:p>
      <w:pPr>
        <w:pStyle w:val="Compact"/>
        <w:numPr>
          <w:ilvl w:val="0"/>
          <w:numId w:val="251"/>
        </w:numPr>
        <w:rPr/>
      </w:pPr>
      <w:r>
        <w:rPr/>
        <w:t>취급 시 주의사항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거래취급 자격</w:t>
      </w:r>
    </w:p>
    <w:p>
      <w:pPr>
        <w:pStyle w:val="Compact"/>
        <w:numPr>
          <w:ilvl w:val="0"/>
          <w:numId w:val="252"/>
        </w:numPr>
        <w:rPr/>
      </w:pPr>
      <w:r>
        <w:rPr/>
        <w:t>파생상품거래를 취급하는 자는 구분에 따라 아래의 자격을 모두 갖추어야 한다</w:t>
      </w:r>
      <w:r>
        <w:rPr/>
        <w:t>.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상품판매 직원</w:t>
      </w:r>
    </w:p>
    <w:p>
      <w:pPr>
        <w:pStyle w:val="BodyText"/>
        <w:rPr/>
      </w:pPr>
      <w:r>
        <w:rPr/>
        <w:t xml:space="preserve">① </w:t>
      </w:r>
      <w:r>
        <w:rPr/>
        <w:t>파생상품투자권유자문인력</w:t>
      </w:r>
      <w:r>
        <w:rPr/>
        <w:t>(</w:t>
      </w:r>
      <w:r>
        <w:rPr/>
        <w:t>舊 파생상품투자상담사</w:t>
      </w:r>
      <w:r>
        <w:rPr/>
        <w:t>)</w:t>
      </w:r>
      <w:r>
        <w:rPr/>
        <w:t>시험에 합격하고 한국금융투자 협회에 금융투자권유자문인력으로 등록</w:t>
      </w:r>
    </w:p>
    <w:p>
      <w:pPr>
        <w:pStyle w:val="BodyText"/>
        <w:rPr/>
      </w:pPr>
      <w:r>
        <w:rPr/>
        <w:t xml:space="preserve">② </w:t>
      </w:r>
      <w:r>
        <w:rPr/>
        <w:t>금융상품숙지의무 장외파생상품 관련 교육 수강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상품판매 결재 직원</w:t>
      </w:r>
    </w:p>
    <w:p>
      <w:pPr>
        <w:pStyle w:val="BodyText"/>
        <w:rPr/>
      </w:pPr>
      <w:r>
        <w:rPr/>
        <w:t xml:space="preserve">① </w:t>
      </w:r>
      <w:r>
        <w:rPr/>
        <w:t>파생상품투자권유자문인력</w:t>
      </w:r>
      <w:r>
        <w:rPr/>
        <w:t>(</w:t>
      </w:r>
      <w:r>
        <w:rPr/>
        <w:t>舊 파생상품투자상담사</w:t>
      </w:r>
      <w:r>
        <w:rPr/>
        <w:t>)</w:t>
      </w:r>
      <w:r>
        <w:rPr/>
        <w:t>시험에 합격하고 한국금융투자 협회에 금융투자권유자문인력으로 등록 또는 한국금융투자협회의 「고난도 금융투자 상품 관련 업무수행을 위한 임직원 자격인정 교육과정」을 이수</w:t>
      </w:r>
    </w:p>
    <w:p>
      <w:pPr>
        <w:pStyle w:val="BodyText"/>
        <w:rPr/>
      </w:pPr>
      <w:r>
        <w:rPr/>
        <w:t xml:space="preserve">② </w:t>
      </w:r>
      <w:r>
        <w:rPr/>
        <w:t>투자권유 자문인력 만이 파생금융상품의 투자권유</w:t>
      </w:r>
      <w:r>
        <w:rPr/>
        <w:t xml:space="preserve">, </w:t>
      </w:r>
      <w:r>
        <w:rPr/>
        <w:t>거래에 따른 위험고지</w:t>
      </w:r>
      <w:r>
        <w:rPr/>
        <w:t xml:space="preserve">, </w:t>
      </w:r>
      <w:r>
        <w:rPr/>
        <w:t>상품설명 및 상품설명서 교부 파생거래 신용한도 약정 설명 및 관련 약정서 작성</w:t>
      </w:r>
      <w:r>
        <w:rPr/>
        <w:t>(</w:t>
      </w:r>
      <w:r>
        <w:rPr/>
        <w:t>파생거래 신용한도 약정시만 해당</w:t>
      </w:r>
      <w:r>
        <w:rPr/>
        <w:t xml:space="preserve">), </w:t>
      </w:r>
      <w:r>
        <w:rPr/>
        <w:t>일반금융소비자 투자자정보 확인서</w:t>
      </w:r>
      <w:r>
        <w:rPr/>
        <w:t>(</w:t>
      </w:r>
      <w:r>
        <w:rPr/>
        <w:t>법인 및 개인사업자용</w:t>
      </w:r>
      <w:r>
        <w:rPr/>
        <w:t xml:space="preserve">) </w:t>
      </w:r>
      <w:r>
        <w:rPr/>
        <w:t>작성</w:t>
      </w:r>
      <w:r>
        <w:rPr/>
        <w:t>(</w:t>
      </w:r>
      <w:r>
        <w:rPr/>
        <w:t>작성시에만 해당</w:t>
      </w:r>
      <w:r>
        <w:rPr/>
        <w:t xml:space="preserve">), </w:t>
      </w:r>
      <w:r>
        <w:rPr/>
        <w:t>기타 약정서 작성 및 이와 관련된 전산조작 등의 업무를 수행할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해당 전문인력으로 등록되어 있어도 방카슈랑스 담당자로 지정되어 있을 경우 장외파생상품 취급이 불가하다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파생상품 영업관리자의 지정 및 계좌 개설시의 준수사항 점검</w:t>
      </w:r>
    </w:p>
    <w:p>
      <w:pPr>
        <w:pStyle w:val="Normal"/>
        <w:numPr>
          <w:ilvl w:val="0"/>
          <w:numId w:val="253"/>
        </w:numPr>
        <w:rPr/>
      </w:pPr>
      <w:r>
        <w:rPr/>
        <w:t>주무부서는 각 영업점의 장</w:t>
      </w:r>
      <w:r>
        <w:rPr/>
        <w:t>(</w:t>
      </w:r>
      <w:r>
        <w:rPr/>
        <w:t>출장소장 및 점장 포함</w:t>
      </w:r>
      <w:r>
        <w:rPr/>
        <w:t>)</w:t>
      </w:r>
      <w:r>
        <w:rPr/>
        <w:t>을 파생상품 영업관리자로 지정한다</w:t>
      </w:r>
      <w:r>
        <w:rPr/>
        <w:t>.</w:t>
      </w:r>
    </w:p>
    <w:p>
      <w:pPr>
        <w:pStyle w:val="Normal"/>
        <w:numPr>
          <w:ilvl w:val="0"/>
          <w:numId w:val="254"/>
        </w:numPr>
        <w:rPr/>
      </w:pPr>
      <w:r>
        <w:rPr/>
        <w:t>파생상품 영업관리자는 고객이 파생상품거래를 위한 계좌를 개설하는 경우 다음 각 호의 사항을 확인하고 투자자 보호에 필요한 조치를 취하여야 한다</w:t>
      </w:r>
      <w:r>
        <w:rPr/>
        <w:t>.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해당 고객이 파생상품거래에 필요한 기초지식을 가지고 있는지 여부</w:t>
      </w:r>
      <w:r>
        <w:rPr/>
        <w:t>(</w:t>
      </w:r>
      <w:r>
        <w:rPr/>
        <w:t>고객으로부터 이에 관한 정보를 얻기 어려운 경우는 제외한다</w:t>
      </w:r>
      <w:r>
        <w:rPr/>
        <w:t>)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해당 고객을 상대로 투자권유를 하는 영업직원의 존재여부 및 해당 직원이 파생상품 투자상담에 필요한 자격을 갖추고 있는지 여부</w:t>
      </w:r>
    </w:p>
    <w:p>
      <w:pPr>
        <w:pStyle w:val="Normal"/>
        <w:numPr>
          <w:ilvl w:val="0"/>
          <w:numId w:val="255"/>
        </w:numPr>
        <w:rPr/>
      </w:pPr>
      <w:r>
        <w:rPr/>
        <w:t>파생상품업무책임자는 당해 파생상품 영업관리자가 부적합하다고 인정하는 경우 해당 영업점의 장에게 다른 임직원을 지정하도록 요구할 수 있다</w:t>
      </w:r>
      <w:r>
        <w:rPr/>
        <w:t>.</w:t>
      </w:r>
    </w:p>
    <w:p>
      <w:pPr>
        <w:pStyle w:val="Normal"/>
        <w:numPr>
          <w:ilvl w:val="0"/>
          <w:numId w:val="256"/>
        </w:numPr>
        <w:rPr/>
      </w:pPr>
      <w:r>
        <w:rPr/>
        <w:t>파생상품 영업관리자는 일반투자자를 상대로 하는 파생상품 영업과 관련하여 다음 각 호의 사항을 주기적으로 점검하여 위법</w:t>
      </w:r>
      <w:r>
        <w:rPr/>
        <w:t>.</w:t>
      </w:r>
      <w:r>
        <w:rPr/>
        <w:t>부당행위가 발생하지 아니하도록 하여야 한다</w:t>
      </w:r>
      <w:r>
        <w:rPr/>
        <w:t>.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거래내용이 고객의 투자목적 등에 비추어 적합한지 여부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파생상품의 거래유형별 규모 및 빈도가 적절한지 여부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계좌에서 발생한 수수료의 과다 여부</w:t>
      </w:r>
    </w:p>
    <w:p>
      <w:pPr>
        <w:pStyle w:val="BodyText"/>
        <w:rPr/>
      </w:pPr>
      <w:r>
        <w:rPr/>
        <w:t>(</w:t>
      </w:r>
      <w:r>
        <w:rPr/>
        <w:t>라</w:t>
      </w:r>
      <w:r>
        <w:rPr/>
        <w:t xml:space="preserve">) </w:t>
      </w:r>
      <w:r>
        <w:rPr/>
        <w:t>계좌의 실현</w:t>
      </w:r>
      <w:r>
        <w:rPr/>
        <w:t xml:space="preserve">, </w:t>
      </w:r>
      <w:r>
        <w:rPr/>
        <w:t>미실현 손익규모</w:t>
      </w:r>
    </w:p>
    <w:p>
      <w:pPr>
        <w:pStyle w:val="BodyText"/>
        <w:rPr/>
      </w:pPr>
      <w:r>
        <w:rPr/>
        <w:t>(</w:t>
      </w:r>
      <w:r>
        <w:rPr/>
        <w:t>마</w:t>
      </w:r>
      <w:r>
        <w:rPr/>
        <w:t xml:space="preserve">) </w:t>
      </w:r>
      <w:r>
        <w:rPr/>
        <w:t>포지션의 과도한 집중여부 등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장외파생상품 투자권유 시 유의사항</w:t>
      </w:r>
    </w:p>
    <w:p>
      <w:pPr>
        <w:pStyle w:val="Compact"/>
        <w:numPr>
          <w:ilvl w:val="0"/>
          <w:numId w:val="257"/>
        </w:numPr>
        <w:rPr/>
      </w:pPr>
      <w:r>
        <w:rPr/>
        <w:t>투자권유 희망 여부 확인</w:t>
      </w:r>
    </w:p>
    <w:p>
      <w:pPr>
        <w:pStyle w:val="FirstParagraph"/>
        <w:rPr/>
      </w:pPr>
      <w:r>
        <w:rPr/>
        <w:t>파생상품 거래를 하고자 하는 일반금융소비자의 경우 투자권유 희망 여부에 관계없이 일반금융소비자 투자자정보 확인 절차를 이행해야 하며</w:t>
      </w:r>
      <w:r>
        <w:rPr/>
        <w:t xml:space="preserve">, </w:t>
      </w:r>
      <w:r>
        <w:rPr/>
        <w:t>「일반금융소비자 투자자정보 확인서」 작성 과정에서 투자권유 희망 여부를 확인한다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상품의 매매</w:t>
      </w:r>
      <w:r>
        <w:rPr/>
        <w:t xml:space="preserve">, </w:t>
      </w:r>
      <w:r>
        <w:rPr/>
        <w:t>계약의 체결 등 투자권유가 수반되지 않은 정보제공의 경우 투자자정보 확인서 작성이 필요없다</w:t>
      </w:r>
      <w:r>
        <w:rPr/>
        <w:t>.</w:t>
      </w:r>
    </w:p>
    <w:p>
      <w:pPr>
        <w:pStyle w:val="Normal"/>
        <w:numPr>
          <w:ilvl w:val="0"/>
          <w:numId w:val="258"/>
        </w:numPr>
        <w:rPr/>
      </w:pPr>
      <w:r>
        <w:rPr/>
        <w:t>고난도금융투자상품으로 분류되는 장외파생상품은 전화</w:t>
      </w:r>
      <w:r>
        <w:rPr/>
        <w:t xml:space="preserve">, </w:t>
      </w:r>
      <w:r>
        <w:rPr/>
        <w:t>팩스</w:t>
      </w:r>
      <w:r>
        <w:rPr/>
        <w:t xml:space="preserve">, </w:t>
      </w:r>
      <w:r>
        <w:rPr/>
        <w:t>이메일</w:t>
      </w:r>
      <w:r>
        <w:rPr/>
        <w:t xml:space="preserve">, </w:t>
      </w:r>
      <w:r>
        <w:rPr/>
        <w:t>문자메시지 등 정보통신망을 통해 투자를 권유해서는 안된다</w:t>
      </w:r>
      <w:r>
        <w:rPr/>
        <w:t>.</w:t>
      </w:r>
    </w:p>
    <w:p>
      <w:pPr>
        <w:pStyle w:val="Normal"/>
        <w:numPr>
          <w:ilvl w:val="0"/>
          <w:numId w:val="259"/>
        </w:numPr>
        <w:rPr/>
      </w:pPr>
      <w:r>
        <w:rPr/>
        <w:t>임직원 등은 투자권유를 함에 있어 다음의 어느 하나에 해당하는 행위를 하여서는 안 된다</w:t>
      </w:r>
      <w:r>
        <w:rPr/>
        <w:t>.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상품의 내용을 사실과 다르게 알리는 행위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불확실한 사항에 대하여 단정적 판단을 제공하거나 확실하다고 오인하게 할 소지가 있는 내용을 알리는 행위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투자자로부터 투자권유의 요청을 받지 아니하고 방문</w:t>
      </w:r>
      <w:r>
        <w:rPr/>
        <w:t>·</w:t>
      </w:r>
      <w:r>
        <w:rPr/>
        <w:t>전화 등 실시간 대화의 방법을 이용하는 행위</w:t>
      </w:r>
    </w:p>
    <w:p>
      <w:pPr>
        <w:pStyle w:val="BodyText"/>
        <w:rPr/>
      </w:pPr>
      <w:r>
        <w:rPr/>
        <w:t>(</w:t>
      </w:r>
      <w:r>
        <w:rPr/>
        <w:t>라</w:t>
      </w:r>
      <w:r>
        <w:rPr/>
        <w:t xml:space="preserve">) </w:t>
      </w:r>
      <w:r>
        <w:rPr/>
        <w:t>투자권유를 받은 투자자가 이를 거부하는 취지의 의사를 표시하였음에도 불구하고 투자권유를 계속하는 행위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다음의 각 행위는 제외한다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 xml:space="preserve">투자권유를 받은 투자자가 이를 거부하는 취지의 의사표시를 한 후 </w:t>
      </w:r>
      <w:r>
        <w:rPr/>
        <w:t>1</w:t>
      </w:r>
      <w:r>
        <w:rPr/>
        <w:t>개월이 지난 후에 다시 투자권유를 하는 행위</w:t>
      </w:r>
    </w:p>
    <w:p>
      <w:pPr>
        <w:pStyle w:val="BodyText"/>
        <w:rPr/>
      </w:pPr>
      <w:r>
        <w:rPr/>
        <w:t xml:space="preserve">② </w:t>
      </w:r>
      <w:r>
        <w:rPr/>
        <w:t>기초자산의 종류 또는 선도</w:t>
      </w:r>
      <w:r>
        <w:rPr/>
        <w:t xml:space="preserve">, </w:t>
      </w:r>
      <w:r>
        <w:rPr/>
        <w:t>스왑</w:t>
      </w:r>
      <w:r>
        <w:rPr/>
        <w:t xml:space="preserve">, </w:t>
      </w:r>
      <w:r>
        <w:rPr/>
        <w:t>옵션 등 상품의 구조가 다를 경우 다른 유형의 상품으로 판단하며</w:t>
      </w:r>
      <w:r>
        <w:rPr/>
        <w:t xml:space="preserve">, </w:t>
      </w:r>
      <w:r>
        <w:rPr/>
        <w:t>거부한 것과 다른 종류의 장외파생상품에 대하여 투자권유를 하는 행위</w:t>
      </w:r>
    </w:p>
    <w:p>
      <w:pPr>
        <w:pStyle w:val="BodyText"/>
        <w:rPr/>
      </w:pPr>
      <w:r>
        <w:rPr/>
        <w:t>(</w:t>
      </w:r>
      <w:r>
        <w:rPr/>
        <w:t>마</w:t>
      </w:r>
      <w:r>
        <w:rPr/>
        <w:t xml:space="preserve">) </w:t>
      </w:r>
      <w:r>
        <w:rPr/>
        <w:t>장외파생상품계약의 체결을 권유하면서 투자자가 요청하지 않은 다른 대출성 상품을 안내하거나 관련 정보를 제공하는 행위</w:t>
      </w:r>
    </w:p>
    <w:p>
      <w:pPr>
        <w:pStyle w:val="BodyText"/>
        <w:rPr/>
      </w:pPr>
      <w:r>
        <w:rPr/>
        <w:t>(</w:t>
      </w:r>
      <w:r>
        <w:rPr/>
        <w:t>바</w:t>
      </w:r>
      <w:r>
        <w:rPr/>
        <w:t xml:space="preserve">) </w:t>
      </w:r>
      <w:r>
        <w:rPr/>
        <w:t>장외파생상품의 가치에 중대한 영향을 미치는 사항을 미리 알고 있으면서 투자자에게 알리지 아니하는 행위 또는 장외파생상품의 가치에 중대한 영향을 미치는 사항을 알면서 그 사실을 투자자에 알리지 않고 상품의 거래를 권유하는 행위</w:t>
      </w:r>
    </w:p>
    <w:p>
      <w:pPr>
        <w:pStyle w:val="BodyText"/>
        <w:rPr/>
      </w:pPr>
      <w:r>
        <w:rPr/>
        <w:t>(</w:t>
      </w:r>
      <w:r>
        <w:rPr/>
        <w:t>사</w:t>
      </w:r>
      <w:r>
        <w:rPr/>
        <w:t xml:space="preserve">) </w:t>
      </w:r>
      <w:r>
        <w:rPr/>
        <w:t>금융상품 내용의 일부에 대하여 비교대상 및 기준을 밝히지 아니하거나 객관적인 근거 없이 다른 금융상품과 비교하여 해당 금융상품이 우수하거나 유리하다고 알리는 행위</w:t>
      </w:r>
    </w:p>
    <w:p>
      <w:pPr>
        <w:pStyle w:val="BodyText"/>
        <w:rPr/>
      </w:pPr>
      <w:r>
        <w:rPr/>
        <w:t>(</w:t>
      </w:r>
      <w:r>
        <w:rPr/>
        <w:t>아</w:t>
      </w:r>
      <w:r>
        <w:rPr/>
        <w:t xml:space="preserve">) </w:t>
      </w:r>
      <w:r>
        <w:rPr/>
        <w:t>자기 또는 제</w:t>
      </w:r>
      <w:r>
        <w:rPr/>
        <w:t>3</w:t>
      </w:r>
      <w:r>
        <w:rPr/>
        <w:t>자가 소유한 투자성 상품의 가치를 높이기 위해 투자자에게 해당 투자성 상품의 취득을 권유하는 행위</w:t>
      </w:r>
    </w:p>
    <w:p>
      <w:pPr>
        <w:pStyle w:val="BodyText"/>
        <w:rPr/>
      </w:pPr>
      <w:r>
        <w:rPr/>
        <w:t>(</w:t>
      </w:r>
      <w:r>
        <w:rPr/>
        <w:t>자</w:t>
      </w:r>
      <w:r>
        <w:rPr/>
        <w:t xml:space="preserve">) </w:t>
      </w:r>
      <w:r>
        <w:rPr/>
        <w:t>투자자가 「자본시장법 제</w:t>
      </w:r>
      <w:r>
        <w:rPr/>
        <w:t>174</w:t>
      </w:r>
      <w:r>
        <w:rPr/>
        <w:t>조</w:t>
      </w:r>
      <w:r>
        <w:rPr/>
        <w:t xml:space="preserve">, </w:t>
      </w:r>
      <w:r>
        <w:rPr/>
        <w:t>제</w:t>
      </w:r>
      <w:r>
        <w:rPr/>
        <w:t>176</w:t>
      </w:r>
      <w:r>
        <w:rPr/>
        <w:t>조 또는 제</w:t>
      </w:r>
      <w:r>
        <w:rPr/>
        <w:t>178</w:t>
      </w:r>
      <w:r>
        <w:rPr/>
        <w:t>조」에 위반되는 매매</w:t>
      </w:r>
      <w:r>
        <w:rPr/>
        <w:t xml:space="preserve">, </w:t>
      </w:r>
      <w:r>
        <w:rPr/>
        <w:t>그 밖의 거래를 하고자 한다는 사실을 알고 그 매매</w:t>
      </w:r>
      <w:r>
        <w:rPr/>
        <w:t xml:space="preserve">, </w:t>
      </w:r>
      <w:r>
        <w:rPr/>
        <w:t>그 밖의 거래를 권유하는 행위</w:t>
      </w:r>
    </w:p>
    <w:p>
      <w:pPr>
        <w:pStyle w:val="BodyText"/>
        <w:rPr/>
      </w:pPr>
      <w:r>
        <w:rPr/>
        <w:t>(</w:t>
      </w:r>
      <w:r>
        <w:rPr/>
        <w:t>차</w:t>
      </w:r>
      <w:r>
        <w:rPr/>
        <w:t xml:space="preserve">) </w:t>
      </w:r>
      <w:r>
        <w:rPr/>
        <w:t>투자자의 사전 동의없이 신용카드를 사용하도록 유도하거나 다른 대출성 상품을 권유하는 행위</w:t>
      </w:r>
    </w:p>
    <w:p>
      <w:pPr>
        <w:pStyle w:val="BodyText"/>
        <w:rPr/>
      </w:pPr>
      <w:r>
        <w:rPr/>
        <w:t>(</w:t>
      </w:r>
      <w:r>
        <w:rPr/>
        <w:t>카</w:t>
      </w:r>
      <w:r>
        <w:rPr/>
        <w:t xml:space="preserve">) </w:t>
      </w:r>
      <w:r>
        <w:rPr/>
        <w:t>「금소법 제</w:t>
      </w:r>
      <w:r>
        <w:rPr/>
        <w:t>17</w:t>
      </w:r>
      <w:r>
        <w:rPr/>
        <w:t>조」를 적용받지 않고 권유하기 위해 투자자로부터 계약 체결의 권유를 원하지 않는다는 의사를 서면 등으로 받는 행위</w:t>
      </w:r>
    </w:p>
    <w:p>
      <w:pPr>
        <w:pStyle w:val="BodyText"/>
        <w:rPr/>
      </w:pPr>
      <w:r>
        <w:rPr/>
        <w:t>(</w:t>
      </w:r>
      <w:r>
        <w:rPr/>
        <w:t>타</w:t>
      </w:r>
      <w:r>
        <w:rPr/>
        <w:t xml:space="preserve">) </w:t>
      </w:r>
      <w:r>
        <w:rPr/>
        <w:t>관계법령등 및 회사가 정한 절차에 따르지 아니하고 금전</w:t>
      </w:r>
      <w:r>
        <w:rPr/>
        <w:t>·</w:t>
      </w:r>
      <w:r>
        <w:rPr/>
        <w:t>물품</w:t>
      </w:r>
      <w:r>
        <w:rPr/>
        <w:t>·</w:t>
      </w:r>
      <w:r>
        <w:rPr/>
        <w:t>편익 등의 재산상 이익을 제공하거나 제공받는 행위</w:t>
      </w:r>
    </w:p>
    <w:p>
      <w:pPr>
        <w:pStyle w:val="BodyText"/>
        <w:rPr/>
      </w:pPr>
      <w:r>
        <w:rPr/>
        <w:t>(</w:t>
      </w:r>
      <w:r>
        <w:rPr/>
        <w:t>파</w:t>
      </w:r>
      <w:r>
        <w:rPr/>
        <w:t xml:space="preserve">) </w:t>
      </w:r>
      <w:r>
        <w:rPr/>
        <w:t>적합하지 않은 것으로 판단되는 장외파생상품을 권유하는 행위</w:t>
      </w:r>
    </w:p>
    <w:p>
      <w:pPr>
        <w:pStyle w:val="BodyText"/>
        <w:rPr/>
      </w:pPr>
      <w:r>
        <w:rPr/>
        <w:t>(</w:t>
      </w:r>
      <w:r>
        <w:rPr/>
        <w:t>하</w:t>
      </w:r>
      <w:r>
        <w:rPr/>
        <w:t xml:space="preserve">) </w:t>
      </w:r>
      <w:r>
        <w:rPr/>
        <w:t>권유과정에서 부적합한 장외파생상품의 목록을 제공한 후 상품을 권유하는 행위</w:t>
      </w:r>
    </w:p>
    <w:p>
      <w:pPr>
        <w:pStyle w:val="BodyText"/>
        <w:rPr/>
      </w:pPr>
      <w:r>
        <w:rPr/>
        <w:t>(</w:t>
      </w:r>
      <w:r>
        <w:rPr/>
        <w:t>거</w:t>
      </w:r>
      <w:r>
        <w:rPr/>
        <w:t xml:space="preserve">) </w:t>
      </w:r>
      <w:r>
        <w:rPr/>
        <w:t>「금소법 제</w:t>
      </w:r>
      <w:r>
        <w:rPr/>
        <w:t>17</w:t>
      </w:r>
      <w:r>
        <w:rPr/>
        <w:t>조제</w:t>
      </w:r>
      <w:r>
        <w:rPr/>
        <w:t>2</w:t>
      </w:r>
      <w:r>
        <w:rPr/>
        <w:t>항」에 따른 일반금융소비자의 정보를 조작하여 권유하는 행위</w:t>
      </w:r>
    </w:p>
    <w:p>
      <w:pPr>
        <w:pStyle w:val="Compact"/>
        <w:numPr>
          <w:ilvl w:val="0"/>
          <w:numId w:val="260"/>
        </w:numPr>
        <w:rPr/>
      </w:pPr>
      <w:r>
        <w:rPr/>
        <w:t>투자권유 금지 대상 거래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기 체결된 파생상품거래를 변경</w:t>
      </w:r>
      <w:r>
        <w:rPr/>
        <w:t xml:space="preserve">, </w:t>
      </w:r>
      <w:r>
        <w:rPr/>
        <w:t>취소 또는 종료하면서 기존거래에서 발생한 손익을 새로운 파생상품거래의 가격에 반영하는 거래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한국은행 신고 등 적법한 승인절차를 거친 경우는 제외함</w:t>
      </w:r>
      <w:r>
        <w:rPr/>
        <w:t>.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손익의 은폐 또는 조작 등의 목적으로 시장가격과 다른 조정가격에 의한 파생상품을 거래하는 행위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손익은폐 또는 조작 등의 목적으로 은행의 보유자산이나 외환포지션 또는 스왑포지션 등을 고객계정이나 가명계좌</w:t>
      </w:r>
      <w:r>
        <w:rPr/>
        <w:t xml:space="preserve">, </w:t>
      </w:r>
      <w:r>
        <w:rPr/>
        <w:t>신탁계정 등에 은닉하는 행위</w:t>
      </w:r>
    </w:p>
    <w:p>
      <w:pPr>
        <w:pStyle w:val="BodyText"/>
        <w:rPr/>
      </w:pPr>
      <w:r>
        <w:rPr/>
        <w:t>(</w:t>
      </w:r>
      <w:r>
        <w:rPr/>
        <w:t>라</w:t>
      </w:r>
      <w:r>
        <w:rPr/>
        <w:t xml:space="preserve">) </w:t>
      </w:r>
      <w:r>
        <w:rPr/>
        <w:t>고의적으로 상기 “</w:t>
      </w:r>
      <w:r>
        <w:rPr/>
        <w:t>(</w:t>
      </w:r>
      <w:r>
        <w:rPr/>
        <w:t>가</w:t>
      </w:r>
      <w:r>
        <w:rPr/>
        <w:t>)”</w:t>
      </w:r>
      <w:r>
        <w:rPr/>
        <w:t>부터 “</w:t>
      </w:r>
      <w:r>
        <w:rPr/>
        <w:t>(</w:t>
      </w:r>
      <w:r>
        <w:rPr/>
        <w:t>다</w:t>
      </w:r>
      <w:r>
        <w:rPr/>
        <w:t>)”</w:t>
      </w:r>
      <w:r>
        <w:rPr/>
        <w:t>거래의 상대방이 되는 행위</w:t>
      </w:r>
    </w:p>
    <w:p>
      <w:pPr>
        <w:pStyle w:val="BodyText"/>
        <w:rPr/>
      </w:pPr>
      <w:r>
        <w:rPr/>
        <w:t>(</w:t>
      </w:r>
      <w:r>
        <w:rPr/>
        <w:t>마</w:t>
      </w:r>
      <w:r>
        <w:rPr/>
        <w:t xml:space="preserve">) </w:t>
      </w:r>
      <w:r>
        <w:rPr/>
        <w:t>고객에게 적합하다고 보기 어려운 거래를 하거나 거래에 내재된 리스크 및 잠재적 손실에 영향을 미치는 중요 요인 등 거래상 중요 정보를 충분하게 고지하지 않는 행위</w:t>
      </w:r>
    </w:p>
    <w:p>
      <w:pPr>
        <w:pStyle w:val="Compact"/>
        <w:numPr>
          <w:ilvl w:val="0"/>
          <w:numId w:val="261"/>
        </w:numPr>
        <w:rPr/>
      </w:pPr>
      <w:r>
        <w:rPr/>
        <w:t>자금운용부서 사전 보고 거래</w:t>
      </w:r>
    </w:p>
    <w:p>
      <w:pPr>
        <w:pStyle w:val="FirstParagraph"/>
        <w:rPr/>
      </w:pPr>
      <w:r>
        <w:rPr/>
        <w:t>다음의 거래는 영업점에서 주무부서에 사전 보고하고 유관부서는 동 사항을 한국은행에 사전 신고하여 신고가 수리된 이후 거래를 체결한다</w:t>
      </w:r>
      <w:r>
        <w:rPr/>
        <w:t>.</w:t>
      </w:r>
    </w:p>
    <w:p>
      <w:pPr>
        <w:pStyle w:val="BodyText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 xml:space="preserve">액면금액의 </w:t>
      </w:r>
      <w:r>
        <w:rPr/>
        <w:t>100</w:t>
      </w:r>
      <w:r>
        <w:rPr/>
        <w:t xml:space="preserve">분의 </w:t>
      </w:r>
      <w:r>
        <w:rPr/>
        <w:t xml:space="preserve">20 </w:t>
      </w:r>
      <w:r>
        <w:rPr/>
        <w:t>이상을 옵션프리미엄 등 선급수수료로 지급하는 거래를 하는 경우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기 체결된 파생상품거래를 변경‧취소 및 종료할 경우 기 체결된 파생상품거래에서 발생한 손실을 새로운 파생상품거래 가격에 반영하는 거래를 하고자 하는 경우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파생상품거래를 자금유출입‧거주자의 비거주자에 대한 원화대출‧거주자의 비거주자로부터의 자금조달 등 거래에 있어 외국환거래법</w:t>
      </w:r>
      <w:r>
        <w:rPr/>
        <w:t xml:space="preserve">, </w:t>
      </w:r>
      <w:r>
        <w:rPr/>
        <w:t>외국환거래법 시행령</w:t>
      </w:r>
      <w:r>
        <w:rPr/>
        <w:t xml:space="preserve">, </w:t>
      </w:r>
      <w:r>
        <w:rPr/>
        <w:t>외국환 거래규정이 정한 신고 등의 절차를 회피하기 위하여 행하는 경우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기타 유의사항</w:t>
      </w:r>
    </w:p>
    <w:p>
      <w:pPr>
        <w:pStyle w:val="Normal"/>
        <w:numPr>
          <w:ilvl w:val="0"/>
          <w:numId w:val="262"/>
        </w:numPr>
        <w:rPr/>
      </w:pPr>
      <w:r>
        <w:rPr/>
        <w:t>고객과의 파생상품 거래 시 신의성실 의무에 따라 고객에 대한 권리행사나 의무이행을 수행하여야 한다</w:t>
      </w:r>
      <w:r>
        <w:rPr/>
        <w:t>.</w:t>
      </w:r>
    </w:p>
    <w:p>
      <w:pPr>
        <w:pStyle w:val="Normal"/>
        <w:numPr>
          <w:ilvl w:val="0"/>
          <w:numId w:val="263"/>
        </w:numPr>
        <w:rPr/>
      </w:pPr>
      <w:r>
        <w:rPr/>
        <w:t>고객에게 직접 또는 간접의 방법으로 파생상품 거래에서 발생하는 손실의 전부 또는 일부를 보전하거나 일정한 이익의 보장 또는 분할을 약속하는 행위를 하여서는 안 된다</w:t>
      </w:r>
      <w:r>
        <w:rPr/>
        <w:t>.</w:t>
      </w:r>
    </w:p>
    <w:p>
      <w:pPr>
        <w:pStyle w:val="Normal"/>
        <w:numPr>
          <w:ilvl w:val="0"/>
          <w:numId w:val="264"/>
        </w:numPr>
        <w:rPr/>
      </w:pPr>
      <w:r>
        <w:rPr/>
        <w:t>고객에게 파생상품 거래와 관련하여 특정 파생상품의 가격 상승 또는 하락에 대하여 단정적이거나 비합리적인 근거를 제공하여 계약체결을 권유하거나 고객의사에 반하여 권유하여서는 안 된다</w:t>
      </w:r>
      <w:r>
        <w:rPr/>
        <w:t>.</w:t>
      </w:r>
    </w:p>
    <w:p>
      <w:pPr>
        <w:pStyle w:val="Normal"/>
        <w:numPr>
          <w:ilvl w:val="0"/>
          <w:numId w:val="265"/>
        </w:numPr>
        <w:rPr/>
      </w:pPr>
      <w:r>
        <w:rPr/>
        <w:t>일반금융소비자자와 파생상품 거래시에는 영업속성</w:t>
      </w:r>
      <w:r>
        <w:rPr/>
        <w:t xml:space="preserve">, </w:t>
      </w:r>
      <w:r>
        <w:rPr/>
        <w:t>재무상황</w:t>
      </w:r>
      <w:r>
        <w:rPr/>
        <w:t xml:space="preserve">, </w:t>
      </w:r>
      <w:r>
        <w:rPr/>
        <w:t>금융거래수준</w:t>
      </w:r>
      <w:r>
        <w:rPr/>
        <w:t xml:space="preserve">, </w:t>
      </w:r>
      <w:r>
        <w:rPr/>
        <w:t>당해 거래의 목적</w:t>
      </w:r>
      <w:r>
        <w:rPr/>
        <w:t xml:space="preserve">, </w:t>
      </w:r>
      <w:r>
        <w:rPr/>
        <w:t>상품에 대한 이해정도 등의 고객 특성을 사전에 확인하여야 한다</w:t>
      </w:r>
      <w:r>
        <w:rPr/>
        <w:t>.</w:t>
      </w:r>
    </w:p>
    <w:p>
      <w:pPr>
        <w:pStyle w:val="Normal"/>
        <w:numPr>
          <w:ilvl w:val="0"/>
          <w:numId w:val="266"/>
        </w:numPr>
        <w:rPr/>
      </w:pPr>
      <w:r>
        <w:rPr/>
        <w:t>일반금융소비자와 파생상품거래를 체결하는 경우 상품에 필요한 설명서를 제공하고 상품의 내용과 위험 등을 동 투자자가 이해할 수 있도록 설명하여야 하며 설명내용을 동 투자자가 이해하였음을 확인하는 서명</w:t>
      </w:r>
      <w:r>
        <w:rPr/>
        <w:t xml:space="preserve">, </w:t>
      </w:r>
      <w:r>
        <w:rPr/>
        <w:t>기명날인</w:t>
      </w:r>
      <w:r>
        <w:rPr/>
        <w:t xml:space="preserve">, </w:t>
      </w:r>
      <w:r>
        <w:rPr/>
        <w:t>녹취로 확인을 받아야 한다</w:t>
      </w:r>
      <w:r>
        <w:rPr/>
        <w:t>.</w:t>
      </w:r>
    </w:p>
    <w:p>
      <w:pPr>
        <w:pStyle w:val="Normal"/>
        <w:numPr>
          <w:ilvl w:val="0"/>
          <w:numId w:val="267"/>
        </w:numPr>
        <w:rPr/>
      </w:pPr>
      <w:r>
        <w:rPr/>
        <w:t>일반금융소비자가 체결하고자 하는 파생상품거래가 동 투자자에게 적절하지 못한 것으로 판단되는 경우 당행은 동 투자자에게 그 의견을 고지하여야 한다</w:t>
      </w:r>
      <w:r>
        <w:rPr/>
        <w:t>.</w:t>
      </w:r>
    </w:p>
    <w:p>
      <w:pPr>
        <w:pStyle w:val="Normal"/>
        <w:numPr>
          <w:ilvl w:val="0"/>
          <w:numId w:val="268"/>
        </w:numPr>
        <w:rPr/>
      </w:pPr>
      <w:r>
        <w:rPr/>
        <w:t>기 체결한 파생상품의 만기연장은 원칙적으로 불가하므로 만기 연장이 필요한 고객은 기존 거래 정산 후 신규거래를 실시한다</w:t>
      </w:r>
      <w:r>
        <w:rPr/>
        <w:t>.</w:t>
      </w:r>
    </w:p>
    <w:p>
      <w:pPr>
        <w:pStyle w:val="Normal"/>
        <w:numPr>
          <w:ilvl w:val="0"/>
          <w:numId w:val="269"/>
        </w:numPr>
        <w:rPr/>
      </w:pPr>
      <w:r>
        <w:rPr/>
        <w:t>일반투자자 및 일반금융소비자에게 파생상품을 판매하기 위해서는 「고난도 금융투자상품 판매에 관한 영업행위 지침」에 따라 관련 심의를 거쳐 이사회 의결로 판매가 결정되어야 거래를 할 수 있다</w:t>
      </w:r>
      <w:r>
        <w:rPr/>
        <w:t>.</w:t>
      </w:r>
    </w:p>
    <w:p>
      <w:pPr>
        <w:pStyle w:val="FirstParagraph"/>
        <w:rPr/>
      </w:pPr>
      <w:r>
        <w:rPr/>
        <w:t>마</w:t>
      </w:r>
      <w:r>
        <w:rPr/>
        <w:t xml:space="preserve">. </w:t>
      </w:r>
      <w:r>
        <w:rPr/>
        <w:t>불공정영업 행위의 금지</w:t>
      </w:r>
    </w:p>
    <w:p>
      <w:pPr>
        <w:pStyle w:val="BodyText"/>
        <w:rPr/>
      </w:pPr>
      <w:r>
        <w:rPr/>
        <w:t>임직원 등은 우월적 지위를 이용하여 금융소비자의 권익을 침해하는 다음의 어느 하나에 해당하는 행위를 해서는 안 된다</w:t>
      </w:r>
      <w:r>
        <w:rPr/>
        <w:t>.</w:t>
      </w:r>
    </w:p>
    <w:p>
      <w:pPr>
        <w:pStyle w:val="Normal"/>
        <w:numPr>
          <w:ilvl w:val="0"/>
          <w:numId w:val="270"/>
        </w:numPr>
        <w:rPr/>
      </w:pPr>
      <w:r>
        <w:rPr/>
        <w:t>업무와 관련하여 편익을 요구하거나 제공받는 행위</w:t>
      </w:r>
    </w:p>
    <w:p>
      <w:pPr>
        <w:pStyle w:val="Normal"/>
        <w:numPr>
          <w:ilvl w:val="0"/>
          <w:numId w:val="271"/>
        </w:numPr>
        <w:rPr/>
      </w:pPr>
      <w:r>
        <w:rPr/>
        <w:t>그 밖에 당행이 우월적 지위를 이용하여 금융소비자의 권익을 침해하는 아래 각호의 행위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금융소비자의 계약의 변경</w:t>
      </w:r>
      <w:r>
        <w:rPr/>
        <w:t>·</w:t>
      </w:r>
      <w:r>
        <w:rPr/>
        <w:t>해지 요구 또는 계약의 변경</w:t>
      </w:r>
      <w:r>
        <w:rPr/>
        <w:t>·</w:t>
      </w:r>
      <w:r>
        <w:rPr/>
        <w:t>해지에 대한 정당한 사유 없이 금전을 요구하거나 그 밖의 불이익을 부과하는 행위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계약 또는 법령에 따른 금융소비자의 이자율 인하 요구에 대해 정당한 사유 없이 이를 거절하거나 그 처리를 지연하는 행위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「금소법 제</w:t>
      </w:r>
      <w:r>
        <w:rPr/>
        <w:t>17</w:t>
      </w:r>
      <w:r>
        <w:rPr/>
        <w:t>조제</w:t>
      </w:r>
      <w:r>
        <w:rPr/>
        <w:t>2</w:t>
      </w:r>
      <w:r>
        <w:rPr/>
        <w:t>항」에 따라 확인한 금융소비자의 정보를 이자율이나 대출 한도 등에 정당한 사유 없이 반영하지 않는 행위</w:t>
      </w:r>
    </w:p>
    <w:p>
      <w:pPr>
        <w:pStyle w:val="BodyText"/>
        <w:rPr/>
      </w:pPr>
      <w:r>
        <w:rPr/>
        <w:t>(</w:t>
      </w:r>
      <w:r>
        <w:rPr/>
        <w:t>라</w:t>
      </w:r>
      <w:r>
        <w:rPr/>
        <w:t xml:space="preserve">) </w:t>
      </w:r>
      <w:r>
        <w:rPr/>
        <w:t>그 밖에 상기 “</w:t>
      </w:r>
      <w:r>
        <w:rPr/>
        <w:t>(</w:t>
      </w:r>
      <w:r>
        <w:rPr/>
        <w:t>가</w:t>
      </w:r>
      <w:r>
        <w:rPr/>
        <w:t>)”</w:t>
      </w:r>
      <w:r>
        <w:rPr/>
        <w:t>부터 “</w:t>
      </w:r>
      <w:r>
        <w:rPr/>
        <w:t>(</w:t>
      </w:r>
      <w:r>
        <w:rPr/>
        <w:t>다</w:t>
      </w:r>
      <w:r>
        <w:rPr/>
        <w:t>)”</w:t>
      </w:r>
      <w:r>
        <w:rPr/>
        <w:t>까지의 행위에 준하는 것으로서 금융위원회가 정하여 고시하는 행위</w:t>
      </w:r>
      <w:bookmarkEnd w:id="6"/>
    </w:p>
    <w:p>
      <w:pPr>
        <w:pStyle w:val="Heading3"/>
        <w:rPr/>
      </w:pPr>
      <w:bookmarkStart w:id="7" w:name="제3절-파생상품-거래절차"/>
      <w:r>
        <w:rPr/>
        <w:t>제</w:t>
      </w:r>
      <w:r>
        <w:rPr/>
        <w:t>3</w:t>
      </w:r>
      <w:r>
        <w:rPr/>
        <w:t>절 파생상품 거래절차</w:t>
      </w:r>
    </w:p>
    <w:p>
      <w:pPr>
        <w:pStyle w:val="FirstParagraph"/>
        <w:rPr/>
      </w:pPr>
      <w:r>
        <w:rPr/>
        <w:t>제</w:t>
      </w:r>
      <w:r>
        <w:rPr/>
        <w:t>1</w:t>
      </w:r>
      <w:r>
        <w:rPr/>
        <w:t>관 투자자유형 확인</w:t>
      </w:r>
    </w:p>
    <w:p>
      <w:pPr>
        <w:pStyle w:val="Compact"/>
        <w:numPr>
          <w:ilvl w:val="0"/>
          <w:numId w:val="272"/>
        </w:numPr>
        <w:rPr/>
      </w:pPr>
      <w:r>
        <w:rPr/>
        <w:t>투자자유형 구분 기준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당행은 투자권유를 하기 전에 고객의 투자자 유형을 구분해야한다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구분 기준</w:t>
      </w:r>
    </w:p>
    <w:p>
      <w:pPr>
        <w:pStyle w:val="BodyText"/>
        <w:rPr/>
      </w:pPr>
      <w:r>
        <w:rPr/>
        <w:t>고객은 「금소법」</w:t>
      </w:r>
      <w:r>
        <w:rPr/>
        <w:t xml:space="preserve">, </w:t>
      </w:r>
      <w:r>
        <w:rPr/>
        <w:t>「자본시장법」</w:t>
      </w:r>
      <w:r>
        <w:rPr/>
        <w:t xml:space="preserve">, </w:t>
      </w:r>
      <w:r>
        <w:rPr/>
        <w:t>「은행업감독업무시행세칙」 등에 따라 일반금융소비자</w:t>
      </w:r>
      <w:r>
        <w:rPr/>
        <w:t xml:space="preserve">, </w:t>
      </w:r>
      <w:r>
        <w:rPr/>
        <w:t>전문금융소비자</w:t>
      </w:r>
      <w:r>
        <w:rPr/>
        <w:t xml:space="preserve">, </w:t>
      </w:r>
      <w:r>
        <w:rPr/>
        <w:t>기업투자자로 구분한다</w:t>
      </w:r>
      <w:r>
        <w:rPr/>
        <w:t>.</w:t>
      </w:r>
    </w:p>
    <w:p>
      <w:pPr>
        <w:pStyle w:val="Compact"/>
        <w:numPr>
          <w:ilvl w:val="0"/>
          <w:numId w:val="273"/>
        </w:numPr>
        <w:rPr/>
      </w:pPr>
      <w:r>
        <w:rPr/>
        <w:t>일반 금융 소비자</w:t>
      </w:r>
    </w:p>
    <w:p>
      <w:pPr>
        <w:pStyle w:val="FirstParagraph"/>
        <w:rPr/>
      </w:pPr>
      <w:r>
        <w:rPr/>
        <w:t xml:space="preserve">① </w:t>
      </w:r>
      <w:r>
        <w:rPr/>
        <w:t>전문금융소비자</w:t>
      </w:r>
      <w:r>
        <w:rPr/>
        <w:t xml:space="preserve">, </w:t>
      </w:r>
      <w:r>
        <w:rPr/>
        <w:t>기업투자자가 아닌 금융소비자</w:t>
      </w:r>
    </w:p>
    <w:p>
      <w:pPr>
        <w:pStyle w:val="BodyText"/>
        <w:rPr/>
      </w:pPr>
      <w:r>
        <w:rPr/>
        <w:t xml:space="preserve">② </w:t>
      </w:r>
      <w:r>
        <w:rPr/>
        <w:t>다음 호에 해당하는 자 중 당행에 「전문투자자 전환신청서」를 제출하지 아니하여 장외파생상품 거래를 하고자 할 경우 일반금융소비자로 의제하여 거래해야 하는 자</w:t>
      </w:r>
    </w:p>
    <w:p>
      <w:pPr>
        <w:pStyle w:val="Normal"/>
        <w:numPr>
          <w:ilvl w:val="0"/>
          <w:numId w:val="73"/>
        </w:numPr>
        <w:rPr/>
      </w:pPr>
      <w:r>
        <w:rPr/>
        <w:t>주권상장법인</w:t>
      </w:r>
    </w:p>
    <w:p>
      <w:pPr>
        <w:pStyle w:val="Normal"/>
        <w:numPr>
          <w:ilvl w:val="0"/>
          <w:numId w:val="73"/>
        </w:numPr>
        <w:rPr/>
      </w:pPr>
      <w:r>
        <w:rPr/>
        <w:t>「금소법 시행령 제</w:t>
      </w:r>
      <w:r>
        <w:rPr/>
        <w:t>2</w:t>
      </w:r>
      <w:r>
        <w:rPr/>
        <w:t>조제</w:t>
      </w:r>
      <w:r>
        <w:rPr/>
        <w:t>10</w:t>
      </w:r>
      <w:r>
        <w:rPr/>
        <w:t>항제</w:t>
      </w:r>
      <w:r>
        <w:rPr/>
        <w:t>3</w:t>
      </w:r>
      <w:r>
        <w:rPr/>
        <w:t>호」에서 정하는 자</w:t>
      </w:r>
    </w:p>
    <w:p>
      <w:pPr>
        <w:pStyle w:val="FirstParagraph"/>
        <w:rPr/>
      </w:pPr>
      <w:r>
        <w:rPr/>
        <w:t>③</w:t>
      </w:r>
      <w:r>
        <w:rPr/>
        <w:t>「일반투자자 전환신청서」를 당행에 제출한 자</w:t>
      </w:r>
    </w:p>
    <w:p>
      <w:pPr>
        <w:pStyle w:val="Compact"/>
        <w:numPr>
          <w:ilvl w:val="0"/>
          <w:numId w:val="274"/>
        </w:numPr>
        <w:rPr/>
      </w:pPr>
      <w:r>
        <w:rPr/>
        <w:t>전문 금융 소비자</w:t>
      </w:r>
    </w:p>
    <w:p>
      <w:pPr>
        <w:pStyle w:val="FirstParagraph"/>
        <w:rPr/>
      </w:pPr>
      <w:r>
        <w:rPr/>
        <w:t xml:space="preserve">① </w:t>
      </w:r>
      <w:r>
        <w:rPr/>
        <w:t>금융상품에 관한 전문성</w:t>
      </w:r>
      <w:r>
        <w:rPr/>
        <w:t xml:space="preserve">, </w:t>
      </w:r>
      <w:r>
        <w:rPr/>
        <w:t>소유자산규모 등을 감안할 때 금융상품 계약에 따른 위험감수능력이 있는 금융소비자</w:t>
      </w:r>
      <w:r>
        <w:rPr/>
        <w:t>(</w:t>
      </w:r>
      <w:r>
        <w:rPr/>
        <w:t>국가</w:t>
      </w:r>
      <w:r>
        <w:rPr/>
        <w:t xml:space="preserve">, </w:t>
      </w:r>
      <w:r>
        <w:rPr/>
        <w:t>금융기관 등</w:t>
      </w:r>
      <w:r>
        <w:rPr/>
        <w:t>)</w:t>
      </w:r>
    </w:p>
    <w:p>
      <w:pPr>
        <w:pStyle w:val="Compact"/>
        <w:numPr>
          <w:ilvl w:val="0"/>
          <w:numId w:val="275"/>
        </w:numPr>
        <w:rPr/>
      </w:pPr>
      <w:r>
        <w:rPr/>
        <w:t>기업투자자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당행에「전문투자자 전환신청서」와 한국금융투자협회에서 발급한「전문투자자 확인증」 </w:t>
      </w:r>
      <w:r>
        <w:rPr/>
        <w:t>(2</w:t>
      </w:r>
      <w:r>
        <w:rPr/>
        <w:t>년 단위 갱신필요</w:t>
      </w:r>
      <w:r>
        <w:rPr/>
        <w:t>)</w:t>
      </w:r>
      <w:r>
        <w:rPr/>
        <w:t>을 제출한 자</w:t>
      </w:r>
    </w:p>
    <w:p>
      <w:pPr>
        <w:pStyle w:val="BodyText"/>
        <w:rPr/>
      </w:pPr>
      <w:r>
        <w:rPr/>
        <w:t xml:space="preserve">② </w:t>
      </w:r>
      <w:r>
        <w:rPr/>
        <w:t>다음 호에 해당하는 자 중 당행에「전문투자자 전환신청서」를 제출한 자</w:t>
      </w:r>
    </w:p>
    <w:p>
      <w:pPr>
        <w:pStyle w:val="Normal"/>
        <w:numPr>
          <w:ilvl w:val="0"/>
          <w:numId w:val="276"/>
        </w:numPr>
        <w:rPr/>
      </w:pPr>
      <w:r>
        <w:rPr/>
        <w:t>주권상장법인</w:t>
      </w:r>
    </w:p>
    <w:p>
      <w:pPr>
        <w:pStyle w:val="Normal"/>
        <w:numPr>
          <w:ilvl w:val="0"/>
          <w:numId w:val="277"/>
        </w:numPr>
        <w:rPr/>
      </w:pPr>
      <w:r>
        <w:rPr/>
        <w:t>해외 증권시장에 상장된 주권을 발행한 국내법인</w:t>
      </w:r>
    </w:p>
    <w:p>
      <w:pPr>
        <w:pStyle w:val="Normal"/>
        <w:numPr>
          <w:ilvl w:val="0"/>
          <w:numId w:val="278"/>
        </w:numPr>
        <w:rPr/>
      </w:pPr>
      <w:r>
        <w:rPr/>
        <w:t xml:space="preserve">금융위원회에 전문투자자로 신고한 후 </w:t>
      </w:r>
      <w:r>
        <w:rPr/>
        <w:t>2</w:t>
      </w:r>
      <w:r>
        <w:rPr/>
        <w:t>년이 지나지 아니한 국내법인</w:t>
      </w:r>
      <w:r>
        <w:rPr/>
        <w:t xml:space="preserve">, </w:t>
      </w:r>
      <w:r>
        <w:rPr/>
        <w:t>단체 또는 외국인</w:t>
      </w:r>
    </w:p>
    <w:p>
      <w:pPr>
        <w:pStyle w:val="Compact"/>
        <w:numPr>
          <w:ilvl w:val="0"/>
          <w:numId w:val="279"/>
        </w:numPr>
        <w:rPr/>
      </w:pPr>
      <w:r>
        <w:rPr/>
        <w:t>투자자유형 전환 기준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전환자격에 따라 투자자 유형을 전환할 수 있다</w:t>
      </w:r>
      <w:r>
        <w:rPr/>
        <w:t>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현재유형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희망유형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필요서류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비고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일반금융소비자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전문금융소비자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전문투자자 전환신청서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일반금융소비자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기업투자자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기업투자자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전문금융소비자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전환 불가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기업투자자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일반금융소비자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일반투자자 전환신청서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전문금융소비자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일반금융소비자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전문금융소비자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기업투자자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전환 불가</w:t>
            </w:r>
          </w:p>
        </w:tc>
      </w:tr>
    </w:tbl>
    <w:p>
      <w:pPr>
        <w:pStyle w:val="Compact"/>
        <w:numPr>
          <w:ilvl w:val="0"/>
          <w:numId w:val="280"/>
        </w:numPr>
        <w:rPr/>
      </w:pPr>
      <w:r>
        <w:rPr/>
        <w:t>한국금융투자협회에서 발급한「전문투자자 확인증」을 제출하여 기업투자자로 전환된 고객은 해당 확인증의 유효기일 만료 시 재수취해야 기업투자자 자격을 유지할 수 있다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주의사항</w:t>
      </w:r>
    </w:p>
    <w:p>
      <w:pPr>
        <w:pStyle w:val="Normal"/>
        <w:numPr>
          <w:ilvl w:val="0"/>
          <w:numId w:val="281"/>
        </w:numPr>
        <w:rPr/>
      </w:pPr>
      <w:r>
        <w:rPr/>
        <w:t>고객의 투자자 유형 변경 요청 시 당행은 고객의 이러한 의사결정에 영향을 미치지 않도록 해야 하며</w:t>
      </w:r>
      <w:r>
        <w:rPr/>
        <w:t xml:space="preserve">, </w:t>
      </w:r>
      <w:r>
        <w:rPr/>
        <w:t>고객이 요청하는 경우 관계법령 등 객관적인 사실만을 설명하여야 한다</w:t>
      </w:r>
      <w:r>
        <w:rPr/>
        <w:t>.</w:t>
      </w:r>
    </w:p>
    <w:p>
      <w:pPr>
        <w:pStyle w:val="Normal"/>
        <w:numPr>
          <w:ilvl w:val="0"/>
          <w:numId w:val="282"/>
        </w:numPr>
        <w:rPr/>
      </w:pPr>
      <w:r>
        <w:rPr/>
        <w:t>전문금융소비자가 일반금융소비자로 전환한 경우 이미 장외파생상품 거래를 하고 있는 고객이라 해도 신규고객에 준하여 업무절차를 다시 수행하여야 한다</w:t>
      </w:r>
      <w:r>
        <w:rPr/>
        <w:t>.</w:t>
      </w:r>
    </w:p>
    <w:p>
      <w:pPr>
        <w:pStyle w:val="FirstParagraph"/>
        <w:rPr/>
      </w:pPr>
      <w:r>
        <w:rPr/>
        <w:t>제</w:t>
      </w:r>
      <w:r>
        <w:rPr/>
        <w:t>2</w:t>
      </w:r>
      <w:r>
        <w:rPr/>
        <w:t>관 일반금융소비자 투자자정보 확인 및 거래적합성 평가</w:t>
      </w:r>
    </w:p>
    <w:p>
      <w:pPr>
        <w:pStyle w:val="Compact"/>
        <w:numPr>
          <w:ilvl w:val="0"/>
          <w:numId w:val="283"/>
        </w:numPr>
        <w:rPr/>
      </w:pPr>
      <w:r>
        <w:rPr/>
        <w:t>일반금융 소비자 투자자 정보 확인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투자자정보 확인 관련 일반사항</w:t>
      </w:r>
    </w:p>
    <w:p>
      <w:pPr>
        <w:pStyle w:val="Normal"/>
        <w:numPr>
          <w:ilvl w:val="0"/>
          <w:numId w:val="284"/>
        </w:numPr>
        <w:rPr/>
      </w:pPr>
      <w:r>
        <w:rPr/>
        <w:t>일반금융소비자로 분류된 고객과 파생상품 거래를 하기 전에 「일반금융소비자 투자자정보 확인서」 등을 통해 재무현황</w:t>
      </w:r>
      <w:r>
        <w:rPr/>
        <w:t xml:space="preserve">, </w:t>
      </w:r>
      <w:r>
        <w:rPr/>
        <w:t>거래목적</w:t>
      </w:r>
      <w:r>
        <w:rPr/>
        <w:t xml:space="preserve">, </w:t>
      </w:r>
      <w:r>
        <w:rPr/>
        <w:t>상품에 대한 이해 수준</w:t>
      </w:r>
      <w:r>
        <w:rPr/>
        <w:t xml:space="preserve">, </w:t>
      </w:r>
      <w:r>
        <w:rPr/>
        <w:t>등을 파악한 후 고객의 서명을 받아 이를 유지‧관리해야 하며</w:t>
      </w:r>
      <w:r>
        <w:rPr/>
        <w:t xml:space="preserve">, </w:t>
      </w:r>
      <w:r>
        <w:rPr/>
        <w:t>해당 내용은 고객에게 지체없이 제공하여야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기업투자자 및 전문금융소비자의 경우 본 절차를 생략한다</w:t>
      </w:r>
      <w:r>
        <w:rPr/>
        <w:t>.</w:t>
      </w:r>
    </w:p>
    <w:p>
      <w:pPr>
        <w:pStyle w:val="Normal"/>
        <w:numPr>
          <w:ilvl w:val="0"/>
          <w:numId w:val="285"/>
        </w:numPr>
        <w:rPr/>
      </w:pPr>
      <w:r>
        <w:rPr/>
        <w:t>당행 임직원은 본 절차가 고객에게 적합한 장외파생상품을 선정하기 위한 절차임을 고객에게 설명하고</w:t>
      </w:r>
      <w:r>
        <w:rPr/>
        <w:t xml:space="preserve">, </w:t>
      </w:r>
      <w:r>
        <w:rPr/>
        <w:t>사실에 근거하여 답변하도록 유도하여야 한다</w:t>
      </w:r>
      <w:r>
        <w:rPr/>
        <w:t xml:space="preserve">. </w:t>
      </w:r>
      <w:r>
        <w:rPr/>
        <w:t>만약 해당 거래가 고객의 요청에 의한 것이라 해도</w:t>
      </w:r>
      <w:r>
        <w:rPr/>
        <w:t>(</w:t>
      </w:r>
      <w:r>
        <w:rPr/>
        <w:t>투자권유를 희망하지 않는 경우에도</w:t>
      </w:r>
      <w:r>
        <w:rPr/>
        <w:t xml:space="preserve">) </w:t>
      </w:r>
      <w:r>
        <w:rPr/>
        <w:t>「금소법 제</w:t>
      </w:r>
      <w:r>
        <w:rPr/>
        <w:t>18</w:t>
      </w:r>
      <w:r>
        <w:rPr/>
        <w:t>조」에 따라 본 절차를 이행해야 함에 유의한다</w:t>
      </w:r>
      <w:r>
        <w:rPr/>
        <w:t>.</w:t>
      </w:r>
    </w:p>
    <w:p>
      <w:pPr>
        <w:pStyle w:val="Normal"/>
        <w:numPr>
          <w:ilvl w:val="0"/>
          <w:numId w:val="286"/>
        </w:numPr>
        <w:rPr/>
      </w:pPr>
      <w:r>
        <w:rPr/>
        <w:t>개인고객 또는 개인사업자의 경우 본 절차는 본인이 직접 진행해야 하며</w:t>
      </w:r>
      <w:r>
        <w:rPr/>
        <w:t xml:space="preserve">, </w:t>
      </w:r>
      <w:r>
        <w:rPr/>
        <w:t>대리인이 대신할 수 없다</w:t>
      </w:r>
      <w:r>
        <w:rPr/>
        <w:t xml:space="preserve">. </w:t>
      </w:r>
      <w:r>
        <w:rPr/>
        <w:t>법인고객의 경우 적법한 절차에 의해 지정한 대리인과 업무를 진행하여야 한다</w:t>
      </w:r>
      <w:r>
        <w:rPr/>
        <w:t>.</w:t>
      </w:r>
    </w:p>
    <w:p>
      <w:pPr>
        <w:pStyle w:val="Normal"/>
        <w:numPr>
          <w:ilvl w:val="0"/>
          <w:numId w:val="287"/>
        </w:numPr>
        <w:rPr/>
      </w:pPr>
      <w:r>
        <w:rPr/>
        <w:t xml:space="preserve">만 </w:t>
      </w:r>
      <w:r>
        <w:rPr/>
        <w:t>65</w:t>
      </w:r>
      <w:r>
        <w:rPr/>
        <w:t>세 이상 고령투자자와 장외파생상품거래를 진행할 경우 거래 전 「고령투자자 금융투자상품 가입 추가 확인서」을 작성 받아 투자권유 적정성을 사전 확인하여야 한다</w:t>
      </w:r>
      <w:r>
        <w:rPr/>
        <w:t xml:space="preserve">. </w:t>
      </w:r>
      <w:r>
        <w:rPr/>
        <w:t>초고령투자자</w:t>
      </w:r>
      <w:r>
        <w:rPr/>
        <w:t>(</w:t>
      </w:r>
      <w:r>
        <w:rPr/>
        <w:t>만</w:t>
      </w:r>
      <w:r>
        <w:rPr/>
        <w:t>80</w:t>
      </w:r>
      <w:r>
        <w:rPr/>
        <w:t>세 이상</w:t>
      </w:r>
      <w:r>
        <w:rPr/>
        <w:t>)</w:t>
      </w:r>
      <w:r>
        <w:rPr/>
        <w:t>의 경우 「초고령투자자 금융투자상품 가입 추가 확인서」에 따라 조력자를 지정한 후 동 서식의 초고령투자자 투자권유 유의 상품 가입 시 확인사항을 이행하여야 파생상품거래를 할 수 있다</w:t>
      </w:r>
      <w:r>
        <w:rPr/>
        <w:t>.</w:t>
      </w:r>
    </w:p>
    <w:p>
      <w:pPr>
        <w:pStyle w:val="Normal"/>
        <w:numPr>
          <w:ilvl w:val="0"/>
          <w:numId w:val="288"/>
        </w:numPr>
        <w:rPr/>
      </w:pPr>
      <w:r>
        <w:rPr/>
        <w:t>고령투자자 및 초고령투자자에게 「일반금융소비자 투자자정보 확인서」와 「고령투자자 금융투자상품 가입 추가 확인서」 또는 「초고령투자자 금융투자상품 가입 추가 확인서」의 내용을 설명하고 작성사항을 확인하는 과정은 반드시 녹취하여야 한다</w:t>
      </w:r>
      <w:r>
        <w:rPr/>
        <w:t>.</w:t>
      </w:r>
    </w:p>
    <w:p>
      <w:pPr>
        <w:pStyle w:val="Normal"/>
        <w:numPr>
          <w:ilvl w:val="0"/>
          <w:numId w:val="289"/>
        </w:numPr>
        <w:rPr/>
      </w:pPr>
      <w:r>
        <w:rPr/>
        <w:t xml:space="preserve">본 절차를 통해 확인한 투자정보의 유효기간은 투자자로부터 별도의 변경 요청이 없으면 투자자정보를 파악한 날로부터 </w:t>
      </w:r>
      <w:r>
        <w:rPr/>
        <w:t>12</w:t>
      </w:r>
      <w:r>
        <w:rPr/>
        <w:t>개월 이다</w:t>
      </w:r>
      <w:r>
        <w:rPr/>
        <w:t xml:space="preserve">. </w:t>
      </w:r>
      <w:r>
        <w:rPr/>
        <w:t>따라서 투자정보 유효기간 만기 이전에는 본 절차를 생략할 수 있으나</w:t>
      </w:r>
      <w:r>
        <w:rPr/>
        <w:t xml:space="preserve">, </w:t>
      </w:r>
      <w:r>
        <w:rPr/>
        <w:t>고객이 위험등급이 다른 상품 또는 동일 등급내 다른 종류의 상품을 거래하고자 하는 경우</w:t>
      </w:r>
      <w:r>
        <w:rPr/>
        <w:t xml:space="preserve">, </w:t>
      </w:r>
      <w:r>
        <w:rPr/>
        <w:t>고객이 본인의 투자정보 변동사항을 당행에 통지할 경우</w:t>
      </w:r>
      <w:r>
        <w:rPr/>
        <w:t xml:space="preserve">, </w:t>
      </w:r>
      <w:r>
        <w:rPr/>
        <w:t>투자정보 유효기간이 경과한 경우 본 절차를 다시 이행하여야 한다</w:t>
      </w:r>
      <w:r>
        <w:rPr/>
        <w:t>.</w:t>
      </w:r>
    </w:p>
    <w:p>
      <w:pPr>
        <w:pStyle w:val="Normal"/>
        <w:numPr>
          <w:ilvl w:val="0"/>
          <w:numId w:val="290"/>
        </w:numPr>
        <w:rPr/>
      </w:pPr>
      <w:r>
        <w:rPr/>
        <w:t>고객이 투자자유형 또는 일반금융소비자 투자자정보 확인을 거부하는 경우 당행과 파생상품 거래를 할 수 없다는 사실을 설명하고 절차를 중단한다</w:t>
      </w:r>
      <w:r>
        <w:rPr/>
        <w:t>.</w:t>
      </w:r>
    </w:p>
    <w:p>
      <w:pPr>
        <w:pStyle w:val="Compact"/>
        <w:numPr>
          <w:ilvl w:val="0"/>
          <w:numId w:val="291"/>
        </w:numPr>
        <w:rPr/>
      </w:pPr>
      <w:r>
        <w:rPr/>
        <w:t>거래적합성 평가</w:t>
      </w:r>
    </w:p>
    <w:p>
      <w:pPr>
        <w:pStyle w:val="FirstParagraph"/>
        <w:rPr/>
      </w:pPr>
      <w:r>
        <w:rPr/>
        <w:t>가 거래적합성 평가 관련 일반사항</w:t>
      </w:r>
    </w:p>
    <w:p>
      <w:pPr>
        <w:pStyle w:val="Normal"/>
        <w:numPr>
          <w:ilvl w:val="0"/>
          <w:numId w:val="292"/>
        </w:numPr>
        <w:rPr/>
      </w:pPr>
      <w:r>
        <w:rPr/>
        <w:t>거래적합성 평가는 사전에 파악한 투자자 정보를 바탕으로 고객의 투자 등급을 분류하고 해당 등급에 적합한 위험 등급의 파생상품을 확인하는 절차이다</w:t>
      </w:r>
      <w:r>
        <w:rPr/>
        <w:t xml:space="preserve">. </w:t>
      </w:r>
      <w:r>
        <w:rPr/>
        <w:t>본 절차는 일반금융소비자를 대상으로 진행하며 기업투자자와 전문금융소비자의 경우 생략한다</w:t>
      </w:r>
      <w:r>
        <w:rPr/>
        <w:t>.</w:t>
      </w:r>
    </w:p>
    <w:p>
      <w:pPr>
        <w:pStyle w:val="Normal"/>
        <w:numPr>
          <w:ilvl w:val="0"/>
          <w:numId w:val="293"/>
        </w:numPr>
        <w:rPr/>
      </w:pPr>
      <w:r>
        <w:rPr/>
        <w:t>고객 투자등급 분류</w:t>
      </w:r>
      <w:r>
        <w:rPr/>
        <w:t>(</w:t>
      </w:r>
      <w:r>
        <w:rPr/>
        <w:t>거래적합성 평가 관련</w:t>
      </w:r>
      <w:r>
        <w:rPr/>
        <w:t>)</w:t>
      </w:r>
      <w:r>
        <w:rPr/>
        <w:t>는 ①거래목적 ②계약기간</w:t>
      </w:r>
      <w:r>
        <w:rPr/>
        <w:t xml:space="preserve">, </w:t>
      </w:r>
      <w:r>
        <w:rPr/>
        <w:t>기대이익 및 기대손실 등을 고려한 위험에 대한 태도 ③금융상품에 대한 이해도 ④재산상황</w:t>
      </w:r>
      <w:r>
        <w:rPr/>
        <w:t>(</w:t>
      </w:r>
      <w:r>
        <w:rPr/>
        <w:t>보유한 자산 중 금융상품의 유형별 비중을 말한다</w:t>
      </w:r>
      <w:r>
        <w:rPr/>
        <w:t>) ⑤</w:t>
      </w:r>
      <w:r>
        <w:rPr/>
        <w:t>투자성 상품을 취득 또는 처분한 경험 ⑥연령을 모두 고려하며</w:t>
      </w:r>
      <w:r>
        <w:rPr/>
        <w:t xml:space="preserve">, </w:t>
      </w:r>
      <w:r>
        <w:rPr/>
        <w:t>점수화 방식과</w:t>
      </w:r>
      <w:r>
        <w:rPr/>
        <w:t xml:space="preserve">(Scoring) </w:t>
      </w:r>
      <w:r>
        <w:rPr/>
        <w:t>추출 방식</w:t>
      </w:r>
      <w:r>
        <w:rPr/>
        <w:t>(Factor-out)</w:t>
      </w:r>
      <w:r>
        <w:rPr/>
        <w:t>을 혼합하여 수행한다</w:t>
      </w:r>
      <w:r>
        <w:rPr/>
        <w:t>.</w:t>
      </w:r>
    </w:p>
    <w:p>
      <w:pPr>
        <w:pStyle w:val="Normal"/>
        <w:numPr>
          <w:ilvl w:val="0"/>
          <w:numId w:val="294"/>
        </w:numPr>
        <w:rPr/>
      </w:pPr>
      <w:r>
        <w:rPr/>
        <w:t>점수화 방식에 따른 고객 투자등급 분류는 본문의 “나”에 따르며</w:t>
      </w:r>
      <w:r>
        <w:rPr/>
        <w:t xml:space="preserve">, </w:t>
      </w:r>
      <w:r>
        <w:rPr/>
        <w:t>고객 점수화 방식 배점 기준과 추출 방식 기준에 관한 상세내용은 「장외파생상품 업무매뉴얼」을 따른다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고객 투자등급 분류 기준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고객분류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점 미만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점 이상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 60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점 이하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점 초과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일반금융소비자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</w:t>
            </w:r>
          </w:p>
        </w:tc>
      </w:tr>
    </w:tbl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상품 위험등급 분류 기준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Ⅰ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단계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저위험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주의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Ⅱ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단계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중위험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경고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Ⅲ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단계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고위험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위험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이자율 스왑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옵션 매수 등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통화스왑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선도거래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옵션 매도 등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기타</w:t>
            </w:r>
          </w:p>
        </w:tc>
      </w:tr>
    </w:tbl>
    <w:p>
      <w:pPr>
        <w:pStyle w:val="BodyText"/>
        <w:rPr/>
      </w:pPr>
      <w:r>
        <w:rPr/>
        <w:t>(1)</w:t>
      </w:r>
      <w:r>
        <w:rPr/>
        <w:t>저위험</w:t>
      </w:r>
      <w:r>
        <w:rPr/>
        <w:t xml:space="preserve">: </w:t>
      </w:r>
      <w:r>
        <w:rPr/>
        <w:t>원금 초과 손실이 가능하나 손실범위가 제한적인 상품</w:t>
      </w:r>
    </w:p>
    <w:p>
      <w:pPr>
        <w:pStyle w:val="BodyText"/>
        <w:rPr/>
      </w:pPr>
      <w:r>
        <w:rPr/>
        <w:t>(2)</w:t>
      </w:r>
      <w:r>
        <w:rPr/>
        <w:t>중위험</w:t>
      </w:r>
      <w:r>
        <w:rPr/>
        <w:t xml:space="preserve">: </w:t>
      </w:r>
      <w:r>
        <w:rPr/>
        <w:t>손실범위가 무제한이나 구조가 단순한 상품</w:t>
      </w:r>
    </w:p>
    <w:p>
      <w:pPr>
        <w:pStyle w:val="BodyText"/>
        <w:rPr/>
      </w:pPr>
      <w:r>
        <w:rPr/>
        <w:t>(3)</w:t>
      </w:r>
      <w:r>
        <w:rPr/>
        <w:t>고위험</w:t>
      </w:r>
      <w:r>
        <w:rPr/>
        <w:t xml:space="preserve">: </w:t>
      </w:r>
      <w:r>
        <w:rPr/>
        <w:t>손실범위가 무제한이나 구조가 복잡한 상품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고객 투자등급에 따른 판매 가능 상품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고객 투자등급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상품 위험등급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Ⅰ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단계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주의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○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○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○</w:t>
            </w:r>
          </w:p>
        </w:tc>
      </w:tr>
    </w:tbl>
    <w:p>
      <w:pPr>
        <w:pStyle w:val="BodyText"/>
        <w:rPr/>
      </w:pPr>
      <w:r>
        <w:rPr/>
        <w:t>제</w:t>
      </w:r>
      <w:r>
        <w:rPr/>
        <w:t>3</w:t>
      </w:r>
      <w:r>
        <w:rPr/>
        <w:t>관 실수요한도 확인</w:t>
      </w:r>
    </w:p>
    <w:p>
      <w:pPr>
        <w:pStyle w:val="Compact"/>
        <w:numPr>
          <w:ilvl w:val="0"/>
          <w:numId w:val="295"/>
        </w:numPr>
        <w:rPr/>
      </w:pPr>
      <w:r>
        <w:rPr/>
        <w:t>대상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실수요한도 및 위험회피비율 확인 대상 투자자는 일반금융소비자와 외환파생상품에 투자하는 기업투자자로</w:t>
      </w:r>
      <w:r>
        <w:rPr/>
        <w:t xml:space="preserve">, </w:t>
      </w:r>
      <w:r>
        <w:rPr/>
        <w:t>이들은 장외파생상품거래 목적이 위험회피목적으로 제한된다</w:t>
      </w:r>
      <w:r>
        <w:rPr/>
        <w:t xml:space="preserve">. </w:t>
      </w:r>
      <w:r>
        <w:rPr/>
        <w:t>따라서 당행은 고객이 위험회피 대상을 보유하고 있는지 확인할 수 있는 증빙서류를 받아 실수요한도를 설정한 후 해당 한도를 기준으로 위험회피비율 한도 이내인지</w:t>
      </w:r>
      <w:r>
        <w:rPr/>
        <w:t>(</w:t>
      </w:r>
      <w:r>
        <w:rPr/>
        <w:t xml:space="preserve">일반금융소비자의 경우 </w:t>
      </w:r>
      <w:r>
        <w:rPr/>
        <w:t xml:space="preserve">100%, </w:t>
      </w:r>
      <w:r>
        <w:rPr/>
        <w:t xml:space="preserve">기업투자자의 경우 </w:t>
      </w:r>
      <w:r>
        <w:rPr/>
        <w:t xml:space="preserve">125%) </w:t>
      </w:r>
      <w:r>
        <w:rPr/>
        <w:t>확인하여야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본절에서 제시하는 절차에 따라 실수요한도 및 위험회피비율을 확인하는 장외파생상품은 「은행업감독업무시행세칙 제</w:t>
      </w:r>
      <w:r>
        <w:rPr/>
        <w:t>41</w:t>
      </w:r>
      <w:r>
        <w:rPr/>
        <w:t>조 의 제</w:t>
      </w:r>
      <w:r>
        <w:rPr/>
        <w:t>1</w:t>
      </w:r>
      <w:r>
        <w:rPr/>
        <w:t>장 제</w:t>
      </w:r>
      <w:r>
        <w:rPr/>
        <w:t>3</w:t>
      </w:r>
      <w:r>
        <w:rPr/>
        <w:t>조」에서 “외환파생상품”으로 정의하고 있는 상품인 통화선도</w:t>
      </w:r>
      <w:r>
        <w:rPr/>
        <w:t>(</w:t>
      </w:r>
      <w:r>
        <w:rPr/>
        <w:t>선물환</w:t>
      </w:r>
      <w:r>
        <w:rPr/>
        <w:t xml:space="preserve">, NDF </w:t>
      </w:r>
      <w:r>
        <w:rPr/>
        <w:t>포함</w:t>
      </w:r>
      <w:r>
        <w:rPr/>
        <w:t xml:space="preserve">), </w:t>
      </w:r>
      <w:r>
        <w:rPr/>
        <w:t>통화옵션</w:t>
      </w:r>
      <w:r>
        <w:rPr/>
        <w:t xml:space="preserve">, </w:t>
      </w:r>
      <w:r>
        <w:rPr/>
        <w:t>통화스왑</w:t>
      </w:r>
      <w:r>
        <w:rPr/>
        <w:t xml:space="preserve">, </w:t>
      </w:r>
      <w:r>
        <w:rPr/>
        <w:t>외환스왑이다</w:t>
      </w:r>
      <w:r>
        <w:rPr/>
        <w:t xml:space="preserve">. </w:t>
      </w:r>
      <w:r>
        <w:rPr/>
        <w:t>이들 상품으로 진행하는 원화 개재 외화거래만 포함하며</w:t>
      </w:r>
      <w:r>
        <w:rPr/>
        <w:t xml:space="preserve">, </w:t>
      </w:r>
      <w:r>
        <w:rPr/>
        <w:t>외국통화간 거래는 제외한다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>. “</w:t>
      </w:r>
      <w:r>
        <w:rPr/>
        <w:t>외환파생상품” 이외의 경우에도 일반금융소비자의 장외파생상품 거래 목적이 위험회피 목적으로 제한된다는 원칙은 동일하게 적용된다</w:t>
      </w:r>
      <w:r>
        <w:rPr/>
        <w:t xml:space="preserve">. </w:t>
      </w:r>
      <w:r>
        <w:rPr/>
        <w:t>따라서 이들은 위험회피대상에서 예상되는 손익 범위를 초과할 수 있는 규모의 장외파생상품 거래는 할 수 없다</w:t>
      </w:r>
      <w:r>
        <w:rPr/>
        <w:t>.</w:t>
      </w:r>
    </w:p>
    <w:p>
      <w:pPr>
        <w:pStyle w:val="Compact"/>
        <w:numPr>
          <w:ilvl w:val="0"/>
          <w:numId w:val="296"/>
        </w:numPr>
        <w:rPr/>
      </w:pPr>
      <w:r>
        <w:rPr/>
        <w:t>실수요한도등록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실수요한도는 과거 </w:t>
      </w:r>
      <w:r>
        <w:rPr/>
        <w:t>3</w:t>
      </w:r>
      <w:r>
        <w:rPr/>
        <w:t xml:space="preserve">년간의 수출입 평균실적 또는 전년도 실적 기준으로 매년 </w:t>
      </w:r>
      <w:r>
        <w:rPr/>
        <w:t>1</w:t>
      </w:r>
      <w:r>
        <w:rPr/>
        <w:t>회 등록하며</w:t>
      </w:r>
      <w:r>
        <w:rPr/>
        <w:t xml:space="preserve">, </w:t>
      </w:r>
      <w:r>
        <w:rPr/>
        <w:t>당해년도 동안 해당 한도 내에서 파생상품거래를 진행하여야 하므로 연중 파생상품거래를 할 계획이 있는 고객은 거래체결 전에 한도 등록을 하여야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장외파생상품거래 잔액이 있음에도 불구하고 신규 거래 예정이 없는 고객의 경우 실수요한도 등록을 생략할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실수요한도는 다음의 수출입실적증명서를 통하여 확인하며</w:t>
      </w:r>
      <w:r>
        <w:rPr/>
        <w:t xml:space="preserve">, </w:t>
      </w:r>
      <w:r>
        <w:rPr/>
        <w:t xml:space="preserve">증명서상에 나타나는 과거 </w:t>
      </w:r>
      <w:r>
        <w:rPr/>
        <w:t>3</w:t>
      </w:r>
      <w:r>
        <w:rPr/>
        <w:t xml:space="preserve">년 간의 평균 또는 전년도 </w:t>
      </w:r>
      <w:r>
        <w:rPr/>
        <w:t>12</w:t>
      </w:r>
      <w:r>
        <w:rPr/>
        <w:t>개월</w:t>
      </w:r>
      <w:r>
        <w:rPr/>
        <w:t>(1</w:t>
      </w:r>
      <w:r>
        <w:rPr/>
        <w:t>월</w:t>
      </w:r>
      <w:r>
        <w:rPr/>
        <w:t>~12</w:t>
      </w:r>
      <w:r>
        <w:rPr/>
        <w:t>월</w:t>
      </w:r>
      <w:r>
        <w:rPr/>
        <w:t xml:space="preserve">) </w:t>
      </w:r>
      <w:r>
        <w:rPr/>
        <w:t>수입</w:t>
      </w:r>
      <w:r>
        <w:rPr/>
        <w:t xml:space="preserve">, </w:t>
      </w:r>
      <w:r>
        <w:rPr/>
        <w:t>수출 각 위험회피대상 금액 합산값을 위험회피대상 인정금액으로 한다</w:t>
      </w:r>
      <w:r>
        <w:rPr/>
        <w:t>.</w:t>
      </w:r>
    </w:p>
    <w:p>
      <w:pPr>
        <w:pStyle w:val="Normal"/>
        <w:numPr>
          <w:ilvl w:val="0"/>
          <w:numId w:val="297"/>
        </w:numPr>
        <w:rPr/>
      </w:pPr>
      <w:r>
        <w:rPr/>
        <w:t>수입 또는 수출 실적의 확인 및 증명서</w:t>
      </w:r>
      <w:r>
        <w:rPr/>
        <w:t>(</w:t>
      </w:r>
      <w:r>
        <w:rPr/>
        <w:t>한국무역협회 발급</w:t>
      </w:r>
      <w:r>
        <w:rPr/>
        <w:t>)</w:t>
      </w:r>
    </w:p>
    <w:p>
      <w:pPr>
        <w:pStyle w:val="Normal"/>
        <w:numPr>
          <w:ilvl w:val="0"/>
          <w:numId w:val="298"/>
        </w:numPr>
        <w:rPr/>
      </w:pPr>
      <w:r>
        <w:rPr/>
        <w:t>수입 또는 수출실적증명서</w:t>
      </w:r>
      <w:r>
        <w:rPr/>
        <w:t>(</w:t>
      </w:r>
      <w:r>
        <w:rPr/>
        <w:t>한국무역통계진흥원 발급</w:t>
      </w:r>
      <w:r>
        <w:rPr/>
        <w:t>)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수출입 실적 관련 증명서가 존재하지 않거나 수주산업</w:t>
      </w:r>
      <w:r>
        <w:rPr/>
        <w:t xml:space="preserve">, </w:t>
      </w:r>
      <w:r>
        <w:rPr/>
        <w:t>중개무역 등의 사유로 해당 증명서 상의 금액이 적정하지 않다고 판단하는 경우 다음과 같은 순서로 업무 처리한다</w:t>
      </w:r>
      <w:r>
        <w:rPr/>
        <w:t>.</w:t>
      </w:r>
    </w:p>
    <w:p>
      <w:pPr>
        <w:pStyle w:val="Compact"/>
        <w:numPr>
          <w:ilvl w:val="0"/>
          <w:numId w:val="299"/>
        </w:numPr>
        <w:rPr/>
      </w:pPr>
      <w:r>
        <w:rPr/>
        <w:t>「장외파생상품 거래에 따른 헤지 수요 확인서」와 증빙서류</w:t>
      </w:r>
      <w:r>
        <w:rPr/>
        <w:t>(</w:t>
      </w:r>
      <w:r>
        <w:rPr/>
        <w:t xml:space="preserve">전년도 </w:t>
      </w:r>
      <w:r>
        <w:rPr/>
        <w:t>1</w:t>
      </w:r>
      <w:r>
        <w:rPr/>
        <w:t>월</w:t>
      </w:r>
      <w:r>
        <w:rPr/>
        <w:t>~12</w:t>
      </w:r>
      <w:r>
        <w:rPr/>
        <w:t xml:space="preserve">월 기간의 위험회피대상 금액 합산값을 확인할 수 있는 </w:t>
      </w:r>
      <w:r>
        <w:rPr/>
        <w:t xml:space="preserve">L/C </w:t>
      </w:r>
      <w:r>
        <w:rPr/>
        <w:t>개설확인서</w:t>
      </w:r>
      <w:r>
        <w:rPr/>
        <w:t xml:space="preserve">, </w:t>
      </w:r>
      <w:r>
        <w:rPr/>
        <w:t>송금내역</w:t>
      </w:r>
      <w:r>
        <w:rPr/>
        <w:t xml:space="preserve">, </w:t>
      </w:r>
      <w:r>
        <w:rPr/>
        <w:t>구매확인서</w:t>
      </w:r>
      <w:r>
        <w:rPr/>
        <w:t xml:space="preserve">, </w:t>
      </w:r>
      <w:r>
        <w:rPr/>
        <w:t>기타 등</w:t>
      </w:r>
      <w:r>
        <w:rPr/>
        <w:t>)</w:t>
      </w:r>
      <w:r>
        <w:rPr/>
        <w:t>를 고객으로부터 징구한다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주권상장법인</w:t>
      </w:r>
      <w:r>
        <w:rPr/>
        <w:t>(</w:t>
      </w:r>
      <w:r>
        <w:rPr/>
        <w:t>중소기업 포함</w:t>
      </w:r>
      <w:r>
        <w:rPr/>
        <w:t xml:space="preserve">), </w:t>
      </w:r>
      <w:r>
        <w:rPr/>
        <w:t>중소기업기본법 시행령 제</w:t>
      </w:r>
      <w:r>
        <w:rPr/>
        <w:t>3</w:t>
      </w:r>
      <w:r>
        <w:rPr/>
        <w:t>조 제</w:t>
      </w:r>
      <w:r>
        <w:rPr/>
        <w:t>1</w:t>
      </w:r>
      <w:r>
        <w:rPr/>
        <w:t>호의 기준에 해당하지 않는 중견기업 및 대기업은 영업점장 판단 하에 상기 서식 작성을 생략하고 증빙서류만 징구할 수 있다</w:t>
      </w:r>
      <w:r>
        <w:rPr/>
        <w:t>.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매년 사업이 성장하고 있어 해당 성장률을 감안한 실수요한도를 설정해야 하거나 실수요한도 등록 후 추가 한도등록이 필요한 고객의 경우 위 “다”의 절차에 준하여 업무 처리한다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실수요한도 등록은 영업점장 전결로 취급한다</w:t>
      </w:r>
      <w:r>
        <w:rPr/>
        <w:t>.</w:t>
      </w:r>
    </w:p>
    <w:p>
      <w:pPr>
        <w:pStyle w:val="Compact"/>
        <w:numPr>
          <w:ilvl w:val="0"/>
          <w:numId w:val="300"/>
        </w:numPr>
        <w:rPr/>
      </w:pPr>
      <w:r>
        <w:rPr/>
        <w:t>위험회피비율확인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당행은 위험회피비율 한도 이내에서 운영한다</w:t>
      </w:r>
      <w:r>
        <w:rPr/>
        <w:t xml:space="preserve">. </w:t>
      </w:r>
      <w:r>
        <w:rPr/>
        <w:t>따라서 거래 목적이 위험회피 목적에 해당하는지는 실수요한도를 기준으로 산출한 위험회피비율 한도 이내인지 여부로 판단한다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만약 고객이 장외파생상품거래 중 위험회피비율 한도 초과를 인지했음에도 불구하고 당행에 동 사실을 통보하지 않거나 위험회피비율초과 해소를 위한 협의절차를 소홀히 할 경우 당행은 해당 고객과의 장외파생상품거래를 중도해지할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위험회피비율 한도 이내인지 여부를 판단하는 시점은 개별거래 체결시점으로 고객의 재무거래 증빙자료를 통해 실수요한도 등록을 하는 경우 위험회피대상의 평가금액 변동에 주의해야한다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부득이한 사유로 위험회피비율 한도를 초과하여 운영할 필요가 있다고 판단되는 경우 위험회피비율 상향 근거 등을 위험관리위원회 또는 리스크관리 전담 조직에 개별 건별로 보고하여 승인을 득한 후 거래를 실행 할 수 있다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위험회피비율이 한도 이내임을 확인하고 장외파생상품거래를 체결하였으나 타 금융기관과의 거래가 은행연합회 데이터에 반영되는 시차로 인하여 위험회피비율이 초과되었을 경우 당행은 과실이 없는 것으로 판단한다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이 경우에도 해당 초과분에 대해 고객으로부터 증빙서류를 징구하여 해당 사실을 입증해야한다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고객이 한국무역보험공사의 환변동보험에 가입하고 있는 경우 관련 증빙서류를 받아야하며 해당 금액까지 포함하여 위험회피비율 한도 이내인지 여부를 판단해야한다</w:t>
      </w:r>
      <w:r>
        <w:rPr/>
        <w:t>.</w:t>
      </w:r>
    </w:p>
    <w:p>
      <w:pPr>
        <w:pStyle w:val="Compact"/>
        <w:numPr>
          <w:ilvl w:val="0"/>
          <w:numId w:val="301"/>
        </w:numPr>
        <w:rPr/>
      </w:pPr>
      <w:r>
        <w:rPr/>
        <w:t>기타사항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동일한 위험회피대상에 대해 헤지기간을 연장하거나 조기청산 후 재헤지거래를 할 경우 해당 거래는 위험회피비율 산식에서 제외되므로 실수요한도가 차감되지 않는다</w:t>
      </w:r>
      <w:r>
        <w:rPr/>
        <w:t xml:space="preserve">. </w:t>
      </w:r>
      <w:r>
        <w:rPr/>
        <w:t>타행 거래에 대해 만기연장 또는 재헤지거래를 진행할 경우 고객으로부터 「외환파생상품거래</w:t>
      </w:r>
      <w:r>
        <w:rPr/>
        <w:t>(</w:t>
      </w:r>
      <w:r>
        <w:rPr/>
        <w:t>만기연장</w:t>
      </w:r>
      <w:r>
        <w:rPr/>
        <w:t xml:space="preserve">, </w:t>
      </w:r>
      <w:r>
        <w:rPr/>
        <w:t>재헤지</w:t>
      </w:r>
      <w:r>
        <w:rPr/>
        <w:t xml:space="preserve">) </w:t>
      </w:r>
      <w:r>
        <w:rPr/>
        <w:t>확인서」와 증빙서류를 받은 후 처리한다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수주산업</w:t>
      </w:r>
      <w:r>
        <w:rPr/>
        <w:t>(</w:t>
      </w:r>
      <w:r>
        <w:rPr/>
        <w:t>조선</w:t>
      </w:r>
      <w:r>
        <w:rPr/>
        <w:t xml:space="preserve">, </w:t>
      </w:r>
      <w:r>
        <w:rPr/>
        <w:t>건설업 등</w:t>
      </w:r>
      <w:r>
        <w:rPr/>
        <w:t>)</w:t>
      </w:r>
      <w:r>
        <w:rPr/>
        <w:t>의 경우 위험회피대상의 현금흐름이 다년간에 걸쳐 발생하므로 고객으로부터 「장외파생상품 거래에 따른 헤지 수요 확인서」에 수주산업 관련 항목을 작성 받아</w:t>
      </w:r>
      <w:r>
        <w:rPr/>
        <w:t>(</w:t>
      </w:r>
      <w:r>
        <w:rPr/>
        <w:t>증빙서류 첨부</w:t>
      </w:r>
      <w:r>
        <w:rPr/>
        <w:t xml:space="preserve">) </w:t>
      </w:r>
      <w:r>
        <w:rPr/>
        <w:t>당해연도 이후 실수요한도 등록 시 해당 금액을 반영한다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4</w:t>
      </w:r>
      <w:r>
        <w:rPr/>
        <w:t>관 장외파생상품거래 기본계약서 체결</w:t>
      </w:r>
    </w:p>
    <w:p>
      <w:pPr>
        <w:pStyle w:val="Compact"/>
        <w:numPr>
          <w:ilvl w:val="0"/>
          <w:numId w:val="302"/>
        </w:numPr>
        <w:rPr/>
      </w:pPr>
      <w:r>
        <w:rPr/>
        <w:t>계약서 체결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기본계약서는 고객과 장외파생상품거래 진행 시 개별거래의 성립 및 지급조건</w:t>
      </w:r>
      <w:r>
        <w:rPr/>
        <w:t xml:space="preserve">, </w:t>
      </w:r>
      <w:r>
        <w:rPr/>
        <w:t>거래종료사유</w:t>
      </w:r>
      <w:r>
        <w:rPr/>
        <w:t xml:space="preserve">, </w:t>
      </w:r>
      <w:r>
        <w:rPr/>
        <w:t>지연배상금 등 거래 전반에 대한 사항을 정의하고 있으므로 거래 사전에 체결하여야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기본계약서는 포괄계약서이므로 계약의 효력은 계약 체결 이후 시점에 발생하는 모든 개별거래에 영향을 미친다</w:t>
      </w:r>
      <w:r>
        <w:rPr/>
        <w:t xml:space="preserve">. </w:t>
      </w:r>
      <w:r>
        <w:rPr/>
        <w:t>따라서 기본계약서는 당행과 장외파생상품거래를 처음 시작하는 고객에 대해서만 체결하며</w:t>
      </w:r>
      <w:r>
        <w:rPr/>
        <w:t xml:space="preserve">, </w:t>
      </w:r>
      <w:r>
        <w:rPr/>
        <w:t>계약의 만기일자가 정해져 있지 않으므로 특약 추가 등의 변동사항이 발생하지않는 한 계약을 갱신하지 않는다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기본계약서 체결 시 고객 특성 및 요청사항 등을 고려하여 다음과 같이 계약서 서식을 사용한다</w:t>
      </w:r>
      <w:r>
        <w:rPr/>
        <w:t>.</w:t>
      </w:r>
    </w:p>
    <w:p>
      <w:pPr>
        <w:pStyle w:val="Normal"/>
        <w:numPr>
          <w:ilvl w:val="0"/>
          <w:numId w:val="303"/>
        </w:numPr>
        <w:rPr/>
      </w:pPr>
      <w:r>
        <w:rPr/>
        <w:t>「장외파생상품거래 기본계약서」를 사용한다</w:t>
      </w:r>
      <w:r>
        <w:rPr/>
        <w:t xml:space="preserve">. </w:t>
      </w:r>
      <w:r>
        <w:rPr/>
        <w:t>만약 계약서의 제</w:t>
      </w:r>
      <w:r>
        <w:rPr/>
        <w:t>20</w:t>
      </w:r>
      <w:r>
        <w:rPr/>
        <w:t>조 특별조건을 운용하는 경우 준법감시부의 사전감시를 받아야 하며 전결기준은 「제</w:t>
      </w:r>
      <w:r>
        <w:rPr/>
        <w:t>6</w:t>
      </w:r>
      <w:r>
        <w:rPr/>
        <w:t>장</w:t>
      </w:r>
      <w:r>
        <w:rPr/>
        <w:t>-</w:t>
      </w:r>
      <w:r>
        <w:rPr/>
        <w:t>제</w:t>
      </w:r>
      <w:r>
        <w:rPr/>
        <w:t>2</w:t>
      </w:r>
      <w:r>
        <w:rPr/>
        <w:t>절</w:t>
      </w:r>
      <w:r>
        <w:rPr/>
        <w:t xml:space="preserve">-1. </w:t>
      </w:r>
      <w:r>
        <w:rPr/>
        <w:t>전결권」을 따른다</w:t>
      </w:r>
      <w:r>
        <w:rPr/>
        <w:t>.</w:t>
      </w:r>
    </w:p>
    <w:p>
      <w:pPr>
        <w:pStyle w:val="Normal"/>
        <w:numPr>
          <w:ilvl w:val="0"/>
          <w:numId w:val="304"/>
        </w:numPr>
        <w:rPr/>
      </w:pPr>
      <w:r>
        <w:rPr/>
        <w:t>고객 요청 시 또는 필요 시 「</w:t>
      </w:r>
      <w:r>
        <w:rPr/>
        <w:t>ISDA Master Agreement</w:t>
      </w:r>
      <w:r>
        <w:rPr/>
        <w:t>」를 사용할 수 있으며</w:t>
      </w:r>
      <w:r>
        <w:rPr/>
        <w:t xml:space="preserve">, </w:t>
      </w:r>
      <w:r>
        <w:rPr/>
        <w:t>이 경우 「제</w:t>
      </w:r>
      <w:r>
        <w:rPr/>
        <w:t>6</w:t>
      </w:r>
      <w:r>
        <w:rPr/>
        <w:t xml:space="preserve">장 </w:t>
      </w:r>
      <w:r>
        <w:rPr/>
        <w:t xml:space="preserve">ISDA </w:t>
      </w:r>
      <w:r>
        <w:rPr/>
        <w:t>계약 및 관리업무」를 따른다</w:t>
      </w:r>
      <w:r>
        <w:rPr/>
        <w:t>.</w:t>
      </w:r>
    </w:p>
    <w:p>
      <w:pPr>
        <w:pStyle w:val="Compact"/>
        <w:numPr>
          <w:ilvl w:val="0"/>
          <w:numId w:val="305"/>
        </w:numPr>
        <w:rPr/>
      </w:pPr>
      <w:r>
        <w:rPr/>
        <w:t>기타사항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장외파생상품거래 기본계약서의 중요한 사항을 일반금융소비자가 이해할 수 있도록 설명해야 하며</w:t>
      </w:r>
      <w:r>
        <w:rPr/>
        <w:t xml:space="preserve">, </w:t>
      </w:r>
      <w:r>
        <w:rPr/>
        <w:t>녹취제도를 이행하여야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기본계약서 체결 과정에서 고객에게 장외파생상품 거래 시 시장리스크</w:t>
      </w:r>
      <w:r>
        <w:rPr/>
        <w:t xml:space="preserve">, </w:t>
      </w:r>
      <w:r>
        <w:rPr/>
        <w:t xml:space="preserve">유동성리스크 등 여러 가지 위험 요인이 있음을 안내하고 이러한 설명을 들었음을 확인하는 의미로 고객으로부터 「장외파생상품거래에 관한 위험고지」를 작성 받아 고객에게 사본 </w:t>
      </w:r>
      <w:r>
        <w:rPr/>
        <w:t>1</w:t>
      </w:r>
      <w:r>
        <w:rPr/>
        <w:t xml:space="preserve">부를 교부하고 당행은 원본 </w:t>
      </w:r>
      <w:r>
        <w:rPr/>
        <w:t>1</w:t>
      </w:r>
      <w:r>
        <w:rPr/>
        <w:t>부를 보관한다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개별거래 발생 시 매매명세 통지 여부와 해당 통지사항 수령 방법을 정하는 「장외파생상품 매매명세 및 평가내역 통지 요청서」를 작성받는다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5</w:t>
      </w:r>
      <w:r>
        <w:rPr/>
        <w:t>관 장외파생상품거래 계약이행보증금</w:t>
      </w:r>
    </w:p>
    <w:p>
      <w:pPr>
        <w:pStyle w:val="Compact"/>
        <w:numPr>
          <w:ilvl w:val="0"/>
          <w:numId w:val="306"/>
        </w:numPr>
        <w:rPr/>
      </w:pPr>
      <w:r>
        <w:rPr/>
        <w:t>계약이행보증 한도거래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자산 또는 신용상태가 양호하거나</w:t>
      </w:r>
      <w:r>
        <w:rPr/>
        <w:t xml:space="preserve">, </w:t>
      </w:r>
      <w:r>
        <w:rPr/>
        <w:t>거래가 빈번한 우수거래처에 대하여 필요하다고 인정될 경우 적립된 보증금이나 제공된 담보 또는 신용으로 취급한도를 설정하여 동 파생상품 신용한도 범위 내에서 한도거래로 운용할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파생상품 신용한도는 계약이행보증금 적립 면제금액을 기준으로 산출한다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파생상품 신용한도의 승인기한은 개별거래의 한도내 신규취급 가능기한을 의미하며</w:t>
      </w:r>
      <w:r>
        <w:rPr/>
        <w:t xml:space="preserve">, </w:t>
      </w:r>
      <w:r>
        <w:rPr/>
        <w:t xml:space="preserve">일반적인 승인기한은 </w:t>
      </w:r>
      <w:r>
        <w:rPr/>
        <w:t>1</w:t>
      </w:r>
      <w:r>
        <w:rPr/>
        <w:t>년 이내로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한도거래에 의한 건별거래는 당행이 커버거래 가능한 최장만기까지 취급할 수 있다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당행 여신과 관련된 가격변동위험을 관리하기 위한 파생상품거래로서</w:t>
      </w:r>
      <w:r>
        <w:rPr/>
        <w:t xml:space="preserve">, </w:t>
      </w:r>
      <w:r>
        <w:rPr/>
        <w:t>당해 거래목적으로만 제한되는 개별거래는 직무전결규정에 따라 승인을 득하여 파생상품 한도와는 별도의 건별거래로 관리할 수 있다</w:t>
      </w:r>
      <w:r>
        <w:rPr/>
        <w:t>.</w:t>
      </w:r>
    </w:p>
    <w:p>
      <w:pPr>
        <w:pStyle w:val="Compact"/>
        <w:numPr>
          <w:ilvl w:val="0"/>
          <w:numId w:val="307"/>
        </w:numPr>
        <w:rPr/>
      </w:pPr>
      <w:r>
        <w:rPr/>
        <w:t>계약이행보증금 적립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대고객 파생상품거래계약을 체결할 때에는 붙임 </w:t>
      </w:r>
      <w:r>
        <w:rPr/>
        <w:t>2(</w:t>
      </w:r>
      <w:r>
        <w:rPr/>
        <w:t>이하 “대고객 파생상품 계약이행보증금 적립기준”</w:t>
      </w:r>
      <w:r>
        <w:rPr/>
        <w:t>)</w:t>
      </w:r>
      <w:r>
        <w:rPr/>
        <w:t>에서 정한 계약이행보증금을 수입보증금계정에 적립하도록 하거나 보증금상당액의 담보를 취득하여야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계약이행보증금은 현금 또는 자기앞수표로 적립함을 원칙으로 하며</w:t>
      </w:r>
      <w:r>
        <w:rPr/>
        <w:t xml:space="preserve">, </w:t>
      </w:r>
      <w:r>
        <w:rPr/>
        <w:t>파생상품거래를 위한 적격담보는「담보운용지침」에서 정한 담보 중 예금</w:t>
      </w:r>
      <w:r>
        <w:rPr/>
        <w:t xml:space="preserve">, </w:t>
      </w:r>
      <w:r>
        <w:rPr/>
        <w:t>채권 등 높은 유동성</w:t>
      </w:r>
      <w:r>
        <w:rPr/>
        <w:t>(</w:t>
      </w:r>
      <w:r>
        <w:rPr/>
        <w:t>환금성</w:t>
      </w:r>
      <w:r>
        <w:rPr/>
        <w:t>)</w:t>
      </w:r>
      <w:r>
        <w:rPr/>
        <w:t>을 가진 유가증권으로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환율의 급격한 변동 등 정당한 사유가 있을 때에는 고객에게 계약이행보증금을 추가로 수취하거나 적립된 보증금을 반환할 수 있다</w:t>
      </w:r>
      <w:r>
        <w:rPr/>
        <w:t>.</w:t>
      </w:r>
    </w:p>
    <w:p>
      <w:pPr>
        <w:pStyle w:val="Compact"/>
        <w:numPr>
          <w:ilvl w:val="0"/>
          <w:numId w:val="308"/>
        </w:numPr>
        <w:rPr/>
      </w:pPr>
      <w:r>
        <w:rPr/>
        <w:t>계약이행보증금의 면제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상기 「</w:t>
      </w:r>
      <w:r>
        <w:rPr/>
        <w:t>2-</w:t>
      </w:r>
      <w:r>
        <w:rPr/>
        <w:t>가」에도 불구하고 거래상대방이 다음 각 호에 해당하는 경우에는 보증금의 적립 및 담보취득을 면제할 수 있다</w:t>
      </w:r>
      <w:r>
        <w:rPr/>
        <w:t>.</w:t>
      </w:r>
    </w:p>
    <w:p>
      <w:pPr>
        <w:pStyle w:val="Normal"/>
        <w:numPr>
          <w:ilvl w:val="0"/>
          <w:numId w:val="309"/>
        </w:numPr>
        <w:rPr/>
      </w:pPr>
      <w:r>
        <w:rPr/>
        <w:t>정부</w:t>
      </w:r>
      <w:r>
        <w:rPr/>
        <w:t xml:space="preserve">, </w:t>
      </w:r>
      <w:r>
        <w:rPr/>
        <w:t>지방자치단체</w:t>
      </w:r>
      <w:r>
        <w:rPr/>
        <w:t xml:space="preserve">, </w:t>
      </w:r>
      <w:r>
        <w:rPr/>
        <w:t>「공공기관의 운영에 관한 법률」적용기관</w:t>
      </w:r>
      <w:r>
        <w:rPr/>
        <w:t xml:space="preserve">, </w:t>
      </w:r>
      <w:r>
        <w:rPr/>
        <w:t>특별법에 의한 특수공공법인</w:t>
      </w:r>
      <w:r>
        <w:rPr/>
        <w:t xml:space="preserve">, </w:t>
      </w:r>
      <w:r>
        <w:rPr/>
        <w:t>「지방공기업법」에 의한 지방공기업</w:t>
      </w:r>
    </w:p>
    <w:p>
      <w:pPr>
        <w:pStyle w:val="Normal"/>
        <w:numPr>
          <w:ilvl w:val="0"/>
          <w:numId w:val="310"/>
        </w:numPr>
        <w:rPr/>
      </w:pPr>
      <w:r>
        <w:rPr/>
        <w:t>당행이 판매하는 외국집합투자증권의 환헤지거래를 신청한 고객</w:t>
      </w:r>
    </w:p>
    <w:p>
      <w:pPr>
        <w:pStyle w:val="Normal"/>
        <w:numPr>
          <w:ilvl w:val="0"/>
          <w:numId w:val="311"/>
        </w:numPr>
        <w:rPr/>
      </w:pPr>
      <w:r>
        <w:rPr/>
        <w:t xml:space="preserve">「직무전결규정 </w:t>
      </w:r>
      <w:r>
        <w:rPr/>
        <w:t>(</w:t>
      </w:r>
      <w:r>
        <w:rPr/>
        <w:t>별표</w:t>
      </w:r>
      <w:r>
        <w:rPr/>
        <w:t>4)</w:t>
      </w:r>
      <w:r>
        <w:rPr/>
        <w:t>여신직무전결기준표」에서 정한 전결권자의 승인을 받은 경우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전결권자의 승인을 받아 계약이행보증금을 면제하고자 하는 경우는 여신전결권 및 여신취급기준을 따른다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펀드의 환헤지와 관련한 자산운용회사와의 선물환거래는 해당펀드의 투자설명서 또는 자산운용보고서를 징구함으로써 신용평가에 갈음할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전문투자자를 대상으로 주무부서에서 취급하는 파생상품의 경우 위 “가”에도 불구하고 「제</w:t>
      </w:r>
      <w:r>
        <w:rPr/>
        <w:t>6</w:t>
      </w:r>
      <w:r>
        <w:rPr/>
        <w:t xml:space="preserve">장 </w:t>
      </w:r>
      <w:r>
        <w:rPr/>
        <w:t xml:space="preserve">ISDA </w:t>
      </w:r>
      <w:r>
        <w:rPr/>
        <w:t xml:space="preserve">계약 및 관리업무」에 따라 </w:t>
      </w:r>
      <w:r>
        <w:rPr/>
        <w:t xml:space="preserve">ISDA </w:t>
      </w:r>
      <w:r>
        <w:rPr/>
        <w:t>및 변동증거금 관련계약을 체결할 수 있으며</w:t>
      </w:r>
      <w:r>
        <w:rPr/>
        <w:t xml:space="preserve">, </w:t>
      </w:r>
      <w:r>
        <w:rPr/>
        <w:t xml:space="preserve">이 경우 변동증거금 관련계약의 </w:t>
      </w:r>
      <w:r>
        <w:rPr/>
        <w:t>Threshold Amount</w:t>
      </w:r>
      <w:r>
        <w:rPr/>
        <w:t>를 계약이행보증금 면제액으로 본다</w:t>
      </w:r>
      <w:r>
        <w:rPr/>
        <w:t>.</w:t>
      </w:r>
    </w:p>
    <w:p>
      <w:pPr>
        <w:pStyle w:val="Compact"/>
        <w:numPr>
          <w:ilvl w:val="0"/>
          <w:numId w:val="312"/>
        </w:numPr>
        <w:rPr/>
      </w:pPr>
      <w:r>
        <w:rPr/>
        <w:t>만기도래관리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관리 영업점에서는 만기도래 </w:t>
      </w:r>
      <w:r>
        <w:rPr/>
        <w:t>3</w:t>
      </w:r>
      <w:r>
        <w:rPr/>
        <w:t>개월 전에 명세를 확인하고</w:t>
      </w:r>
      <w:r>
        <w:rPr/>
        <w:t xml:space="preserve">, </w:t>
      </w:r>
      <w:r>
        <w:rPr/>
        <w:t xml:space="preserve">기한 연장심사 소요기간 </w:t>
      </w:r>
      <w:r>
        <w:rPr/>
        <w:t>(</w:t>
      </w:r>
      <w:r>
        <w:rPr/>
        <w:t>신용평가</w:t>
      </w:r>
      <w:r>
        <w:rPr/>
        <w:t xml:space="preserve">, </w:t>
      </w:r>
      <w:r>
        <w:rPr/>
        <w:t>승인신청기간 등</w:t>
      </w:r>
      <w:r>
        <w:rPr/>
        <w:t>)</w:t>
      </w:r>
      <w:r>
        <w:rPr/>
        <w:t>을 감안하여 채무관계자에게 기한연기 관련 서류 및 절차를 안내하는 등 만기 관리에 철저를 기한다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파생상품 신용한도 설정액은 </w:t>
      </w:r>
      <w:r>
        <w:rPr/>
        <w:t>1</w:t>
      </w:r>
      <w:r>
        <w:rPr/>
        <w:t>년 이내로 기한연장한다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파생상품 신용한도 거래에 대한 기한연장 요청이 있는 경우 당초 기한을 포함하여 최장 </w:t>
      </w:r>
      <w:r>
        <w:rPr/>
        <w:t>5</w:t>
      </w:r>
      <w:r>
        <w:rPr/>
        <w:t>년 이내에서 허용할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신용한도 설정액 만기일 이후 잔존거래가 있을 경우 신용한도 설정액 기한연기를 원칙으로 하며 다음과 같이 관리한다</w:t>
      </w:r>
      <w:r>
        <w:rPr/>
        <w:t>.</w:t>
      </w:r>
    </w:p>
    <w:p>
      <w:pPr>
        <w:pStyle w:val="Normal"/>
        <w:numPr>
          <w:ilvl w:val="0"/>
          <w:numId w:val="313"/>
        </w:numPr>
        <w:rPr/>
      </w:pPr>
      <w:r>
        <w:rPr/>
        <w:t>한도만기 이후에는 신규거래가 금지되며</w:t>
      </w:r>
      <w:r>
        <w:rPr/>
        <w:t xml:space="preserve">, </w:t>
      </w:r>
      <w:r>
        <w:rPr/>
        <w:t>잔존거래에 대한 평가액 및 업체의 신용등급 변화 등 채권보전에 각별히 유의하여 사후관리한다</w:t>
      </w:r>
      <w:r>
        <w:rPr/>
        <w:t>.</w:t>
      </w:r>
    </w:p>
    <w:p>
      <w:pPr>
        <w:pStyle w:val="Normal"/>
        <w:numPr>
          <w:ilvl w:val="0"/>
          <w:numId w:val="314"/>
        </w:numPr>
        <w:rPr/>
      </w:pPr>
      <w:r>
        <w:rPr/>
        <w:t>신용상태의 변동 등으로 기한연기가 불가할 경우</w:t>
      </w:r>
      <w:r>
        <w:rPr/>
        <w:t xml:space="preserve">, </w:t>
      </w:r>
      <w:r>
        <w:rPr/>
        <w:t>관리점에서는 잔존 거래에 대한 채권보전 방안을 강구하여야 한다</w:t>
      </w:r>
      <w:r>
        <w:rPr/>
        <w:t>.</w:t>
      </w:r>
    </w:p>
    <w:p>
      <w:pPr>
        <w:pStyle w:val="Normal"/>
        <w:numPr>
          <w:ilvl w:val="0"/>
          <w:numId w:val="315"/>
        </w:numPr>
        <w:rPr/>
      </w:pPr>
      <w:r>
        <w:rPr/>
        <w:t>잔존거래에 대한 채권보전이 불가할 경우 약정서에 의거하여 파생상품거래를 종료할 수 있고</w:t>
      </w:r>
      <w:r>
        <w:rPr/>
        <w:t xml:space="preserve">, </w:t>
      </w:r>
      <w:r>
        <w:rPr/>
        <w:t>관리점은 채권 확정을 위한 반대거래 필요 시 기한전 거래 종료일을 지정하여 주무부서에 문서로 요청한다</w:t>
      </w:r>
      <w:r>
        <w:rPr/>
        <w:t>.</w:t>
      </w:r>
    </w:p>
    <w:p>
      <w:pPr>
        <w:pStyle w:val="FirstParagraph"/>
        <w:rPr/>
      </w:pPr>
      <w:r>
        <w:rPr/>
        <w:t>마</w:t>
      </w:r>
      <w:r>
        <w:rPr/>
        <w:t xml:space="preserve">. </w:t>
      </w:r>
      <w:r>
        <w:rPr/>
        <w:t>신용한도 설정액 만기 전 잔여한도가 있더라도 업체의 신용 상의 변동 등 계약불이행의 우려가 있을 경우 신규거래를 신중히 취급한다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고객의 외환한도 해제 요청 또는 신용한도 설정액 만기도래 후 기한연기 의사가 없는 경우 외환한도를 해제 해야한다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6</w:t>
      </w:r>
      <w:r>
        <w:rPr/>
        <w:t>관 설명의무 이행</w:t>
      </w:r>
    </w:p>
    <w:p>
      <w:pPr>
        <w:pStyle w:val="Compact"/>
        <w:numPr>
          <w:ilvl w:val="0"/>
          <w:numId w:val="316"/>
        </w:numPr>
        <w:rPr/>
      </w:pPr>
      <w:r>
        <w:rPr/>
        <w:t>상품설명서 교부 절차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일반금융소비자에게 상품을 권유 또는 설명하기 전에 상품설명서를 교부한다</w:t>
      </w:r>
      <w:r>
        <w:rPr/>
        <w:t xml:space="preserve">. </w:t>
      </w:r>
      <w:r>
        <w:rPr/>
        <w:t>참고로 상품설명서는 상품에 관한 중요한 사항을 요약한 핵심설명서와 상품설명서 본문으로 구성되어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판매직원은 상품설명서의 필수설명 사항 등 주요사항에 대해 일반금융소비자가 이해할 수 있도록 설명하고</w:t>
      </w:r>
      <w:r>
        <w:rPr/>
        <w:t xml:space="preserve">, </w:t>
      </w:r>
      <w:r>
        <w:rPr/>
        <w:t>설명한 내용을 고객이 이해하였음을 확인받기 위하여 고객으로부터 서명 또는 기명날인을 받아 원본을 교환하고 사본은 고객에게 교부한다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 “나”에도 불구하고 장외파생상품거래 기본계약을 체결하고 이전에 동일상품에 대한 설명 및 상품설명서 교부가 있었다면</w:t>
      </w:r>
      <w:r>
        <w:rPr/>
        <w:t xml:space="preserve">, </w:t>
      </w:r>
      <w:r>
        <w:rPr/>
        <w:t>이후 해당 상품 거래에 대해서는 설명서를 제공하지 않을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상품 설명과정의 녹취는 「제</w:t>
      </w:r>
      <w:r>
        <w:rPr/>
        <w:t>9</w:t>
      </w:r>
      <w:r>
        <w:rPr/>
        <w:t>관</w:t>
      </w:r>
      <w:r>
        <w:rPr/>
        <w:t xml:space="preserve">-1 </w:t>
      </w:r>
      <w:r>
        <w:rPr/>
        <w:t>녹취제도」에 따라 이행한다</w:t>
      </w:r>
      <w:r>
        <w:rPr/>
        <w:t>.</w:t>
      </w:r>
    </w:p>
    <w:p>
      <w:pPr>
        <w:pStyle w:val="Compact"/>
        <w:numPr>
          <w:ilvl w:val="0"/>
          <w:numId w:val="317"/>
        </w:numPr>
        <w:rPr/>
      </w:pPr>
      <w:r>
        <w:rPr/>
        <w:t>유의사항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파생상품을 권유 또는 설명하는 경우 고객의 합리적인 투자판단 또는 해당 상품의 가치에 중대한 영향을 미칠 수 있는 사항을 거짓으로 또는 왜곡하여 설명하거나 빠뜨려서는 안 된다</w:t>
      </w:r>
      <w:r>
        <w:rPr/>
        <w:t xml:space="preserve">. </w:t>
      </w:r>
      <w:r>
        <w:rPr/>
        <w:t>또한</w:t>
      </w:r>
      <w:r>
        <w:rPr/>
        <w:t xml:space="preserve">, </w:t>
      </w:r>
      <w:r>
        <w:rPr/>
        <w:t>해당 장외파생상품거래가 고객 자신의 판단과 책임으로 이루어짐을 명확하게 고지하여야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개인</w:t>
      </w:r>
      <w:r>
        <w:rPr/>
        <w:t>(</w:t>
      </w:r>
      <w:r>
        <w:rPr/>
        <w:t>사업자</w:t>
      </w:r>
      <w:r>
        <w:rPr/>
        <w:t>)</w:t>
      </w:r>
      <w:r>
        <w:rPr/>
        <w:t>인 전문투자자에게 고난도금융투자상품을 판매하는 경우에는 「자본시장법 시행령 제</w:t>
      </w:r>
      <w:r>
        <w:rPr/>
        <w:t>68</w:t>
      </w:r>
      <w:r>
        <w:rPr/>
        <w:t xml:space="preserve">조 </w:t>
      </w:r>
      <w:r>
        <w:rPr/>
        <w:t>5</w:t>
      </w:r>
      <w:r>
        <w:rPr/>
        <w:t xml:space="preserve">항 </w:t>
      </w:r>
      <w:r>
        <w:rPr/>
        <w:t>2</w:t>
      </w:r>
      <w:r>
        <w:rPr/>
        <w:t>의</w:t>
      </w:r>
      <w:r>
        <w:rPr/>
        <w:t>3</w:t>
      </w:r>
      <w:r>
        <w:rPr/>
        <w:t>」에 따라 상품설명서를 제공해야함에 유의한다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7</w:t>
      </w:r>
      <w:r>
        <w:rPr/>
        <w:t>관 개별거래 체결</w:t>
      </w:r>
    </w:p>
    <w:p>
      <w:pPr>
        <w:pStyle w:val="Compact"/>
        <w:numPr>
          <w:ilvl w:val="0"/>
          <w:numId w:val="318"/>
        </w:numPr>
        <w:rPr/>
      </w:pPr>
      <w:r>
        <w:rPr/>
        <w:t>거래체결 전 유의사항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개별거래를 체결할 때마다 각 단계에서 확인한 기존 정보가 여전히 유효한지 사전에 확인 해야한다</w:t>
      </w:r>
      <w:r>
        <w:rPr/>
        <w:t xml:space="preserve">. </w:t>
      </w:r>
      <w:r>
        <w:rPr/>
        <w:t>만약 변동사항이 발생한 경우 해당 단계를 다시 이행한다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개별거래 체결 시마다 실수요한도 초과 여부와 함께 신용한도 여유금액이 신규 개별거래에 필요한 신용한도 소진액</w:t>
      </w:r>
      <w:r>
        <w:rPr/>
        <w:t>(</w:t>
      </w:r>
      <w:r>
        <w:rPr/>
        <w:t>신용환산액</w:t>
      </w:r>
      <w:r>
        <w:rPr/>
        <w:t xml:space="preserve">) </w:t>
      </w:r>
      <w:r>
        <w:rPr/>
        <w:t>이상임을 사전에 확인하여야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영업점은 대고객 거래 시 합리적 가격 기준에 따라 적정마진을 고려하여 거래하여야 한다</w:t>
      </w:r>
      <w:r>
        <w:rPr/>
        <w:t xml:space="preserve">. </w:t>
      </w:r>
      <w:r>
        <w:rPr/>
        <w:t>대고객거래 가격 기준에 관한 사항은 주무부서에서 정하는 바에 따른다</w:t>
      </w:r>
      <w:r>
        <w:rPr/>
        <w:t>.</w:t>
      </w:r>
    </w:p>
    <w:p>
      <w:pPr>
        <w:pStyle w:val="Compact"/>
        <w:numPr>
          <w:ilvl w:val="0"/>
          <w:numId w:val="319"/>
        </w:numPr>
        <w:rPr/>
      </w:pPr>
      <w:r>
        <w:rPr/>
        <w:t>투자의사확인 및 거래승인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법인고객</w:t>
      </w:r>
      <w:r>
        <w:rPr/>
        <w:t>(</w:t>
      </w:r>
      <w:r>
        <w:rPr/>
        <w:t>모든 유형의 투자자</w:t>
      </w:r>
      <w:r>
        <w:rPr/>
        <w:t>)</w:t>
      </w:r>
      <w:r>
        <w:rPr/>
        <w:t>으로부터 파생상품 거래 체결을 요청 받은 경우 해당 고객이 제출한 「파생상품거래 담당자 및 거래인감</w:t>
      </w:r>
      <w:r>
        <w:rPr/>
        <w:t>(</w:t>
      </w:r>
      <w:r>
        <w:rPr/>
        <w:t>서명감</w:t>
      </w:r>
      <w:r>
        <w:rPr/>
        <w:t xml:space="preserve">) </w:t>
      </w:r>
      <w:r>
        <w:rPr/>
        <w:t>신고서」에서 지정한 거래체결 담당자가 맞는지 확인하고</w:t>
      </w:r>
      <w:r>
        <w:rPr/>
        <w:t xml:space="preserve">, </w:t>
      </w:r>
      <w:r>
        <w:rPr/>
        <w:t>고객의 거래체결 의사를 확인해야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주무부서로부터 개별거래 조건을 확인 후 관리점에서 적정 대고객 마진을 감안한 대고객 거래조건을 고객에 통지하여야 하며 고객과의 거래조건이 확정되면 전결권자의 승인을 받는다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전결권자로부터 거래 승인을 득하면 주무부서에서는 해당 상품의 거래확인서를 관리점으로 송부하고</w:t>
      </w:r>
      <w:r>
        <w:rPr/>
        <w:t xml:space="preserve">, </w:t>
      </w:r>
      <w:r>
        <w:rPr/>
        <w:t>관리점에서는 거래 당일 중에 해당 고객에게 거래확인서를 팩스</w:t>
      </w:r>
      <w:r>
        <w:rPr/>
        <w:t xml:space="preserve">, </w:t>
      </w:r>
      <w:r>
        <w:rPr/>
        <w:t>이메일 등으로 송부한다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거래가 확정되면 고객으로부터 다음의 거래확인서를 교부하여 </w:t>
      </w:r>
      <w:r>
        <w:rPr/>
        <w:t>5</w:t>
      </w:r>
      <w:r>
        <w:rPr/>
        <w:t xml:space="preserve">영업일 이내에 서명 또는 날인을 득한 후 고객과 당행 각각 </w:t>
      </w:r>
      <w:r>
        <w:rPr/>
        <w:t>1</w:t>
      </w:r>
      <w:r>
        <w:rPr/>
        <w:t>부씩 보관한다</w:t>
      </w:r>
      <w:r>
        <w:rPr/>
        <w:t xml:space="preserve">. </w:t>
      </w:r>
      <w:r>
        <w:rPr/>
        <w:t>단</w:t>
      </w:r>
      <w:r>
        <w:rPr/>
        <w:t xml:space="preserve">, SWIFT </w:t>
      </w:r>
      <w:r>
        <w:rPr/>
        <w:t xml:space="preserve">전문을 통해 고객과 거래조건 </w:t>
      </w:r>
      <w:r>
        <w:rPr/>
        <w:t>(</w:t>
      </w:r>
      <w:r>
        <w:rPr/>
        <w:t>거래금액</w:t>
      </w:r>
      <w:r>
        <w:rPr/>
        <w:t xml:space="preserve">, </w:t>
      </w:r>
      <w:r>
        <w:rPr/>
        <w:t>만기일</w:t>
      </w:r>
      <w:r>
        <w:rPr/>
        <w:t xml:space="preserve">, </w:t>
      </w:r>
      <w:r>
        <w:rPr/>
        <w:t>결제일</w:t>
      </w:r>
      <w:r>
        <w:rPr/>
        <w:t xml:space="preserve">, </w:t>
      </w:r>
      <w:r>
        <w:rPr/>
        <w:t>환율 등</w:t>
      </w:r>
      <w:r>
        <w:rPr/>
        <w:t>)</w:t>
      </w:r>
      <w:r>
        <w:rPr/>
        <w:t>을 상호 확인한 경우 거래확인서 교부를 생략할 수 있다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 xml:space="preserve">상기 「라」에도 불구하고 </w:t>
      </w:r>
      <w:r>
        <w:rPr/>
        <w:t xml:space="preserve">SWIFT </w:t>
      </w:r>
      <w:r>
        <w:rPr/>
        <w:t xml:space="preserve">전문 또는 </w:t>
      </w:r>
      <w:r>
        <w:rPr/>
        <w:t xml:space="preserve">STATE STREET </w:t>
      </w:r>
      <w:r>
        <w:rPr/>
        <w:t xml:space="preserve">사의 자산운용사 거래플랫폼을 통해 고객과 거래조건 </w:t>
      </w:r>
      <w:r>
        <w:rPr/>
        <w:t>(</w:t>
      </w:r>
      <w:r>
        <w:rPr/>
        <w:t>거래금액</w:t>
      </w:r>
      <w:r>
        <w:rPr/>
        <w:t xml:space="preserve">, </w:t>
      </w:r>
      <w:r>
        <w:rPr/>
        <w:t>만기일</w:t>
      </w:r>
      <w:r>
        <w:rPr/>
        <w:t xml:space="preserve">, </w:t>
      </w:r>
      <w:r>
        <w:rPr/>
        <w:t>결제일</w:t>
      </w:r>
      <w:r>
        <w:rPr/>
        <w:t xml:space="preserve">, </w:t>
      </w:r>
      <w:r>
        <w:rPr/>
        <w:t>환율 등</w:t>
      </w:r>
      <w:r>
        <w:rPr/>
        <w:t>)</w:t>
      </w:r>
      <w:r>
        <w:rPr/>
        <w:t>을 상호 확인한 경우 거래확인서 교부를 생략할 수 있으며</w:t>
      </w:r>
      <w:r>
        <w:rPr/>
        <w:t xml:space="preserve">, Front Office </w:t>
      </w:r>
      <w:r>
        <w:rPr/>
        <w:t>거래에 대한 거래확인서 교환 관련 업무절차는 「</w:t>
      </w:r>
      <w:r>
        <w:rPr/>
        <w:t>Middle·Back Office</w:t>
      </w:r>
      <w:r>
        <w:rPr/>
        <w:t>업무지침」을 따른다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8</w:t>
      </w:r>
      <w:r>
        <w:rPr/>
        <w:t>관 사후관리</w:t>
      </w:r>
    </w:p>
    <w:p>
      <w:pPr>
        <w:pStyle w:val="Compact"/>
        <w:numPr>
          <w:ilvl w:val="0"/>
          <w:numId w:val="320"/>
        </w:numPr>
        <w:rPr/>
      </w:pPr>
      <w:r>
        <w:rPr/>
        <w:t>문서보관 처리</w:t>
      </w:r>
    </w:p>
    <w:p>
      <w:pPr>
        <w:pStyle w:val="FirstParagraph"/>
        <w:rPr/>
      </w:pPr>
      <w:r>
        <w:rPr/>
        <w:t xml:space="preserve">분실 방지 등을 위하여 파생상품 관련 서류는 </w:t>
      </w:r>
      <w:r>
        <w:rPr/>
        <w:t xml:space="preserve">BPR </w:t>
      </w:r>
      <w:r>
        <w:rPr/>
        <w:t>처리를 통하여 문서보관소에 집중보관함을 원칙으로 한다</w:t>
      </w:r>
      <w:r>
        <w:rPr/>
        <w:t>.</w:t>
      </w:r>
    </w:p>
    <w:p>
      <w:pPr>
        <w:pStyle w:val="Compact"/>
        <w:numPr>
          <w:ilvl w:val="0"/>
          <w:numId w:val="321"/>
        </w:numPr>
        <w:rPr/>
      </w:pPr>
      <w:r>
        <w:rPr/>
        <w:t>모니터링 실시</w:t>
      </w:r>
    </w:p>
    <w:p>
      <w:pPr>
        <w:pStyle w:val="FirstParagraph"/>
        <w:rPr/>
      </w:pPr>
      <w:r>
        <w:rPr/>
        <w:t>가</w:t>
      </w:r>
      <w:r>
        <w:rPr/>
        <w:t>. “</w:t>
      </w:r>
      <w:r>
        <w:rPr/>
        <w:t>모니터링”이란 파생상품을 거래한 고객에게 상품 설명이 제대로 이루어졌는지 여부를 전화 등을 통해 사후 확인하는 제도를 말한다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통화옵션을 거래한 일반금융소비자에게 모니터링을 실시하여야한다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일반금융소비자와의 모든 파생상품 거래에 대하여 모니터링을 실시해야 하나</w:t>
      </w:r>
      <w:r>
        <w:rPr/>
        <w:t xml:space="preserve">, </w:t>
      </w:r>
      <w:r>
        <w:rPr/>
        <w:t>선물환</w:t>
      </w:r>
      <w:r>
        <w:rPr/>
        <w:t xml:space="preserve">, </w:t>
      </w:r>
      <w:r>
        <w:rPr/>
        <w:t>스왑에 대한 모니터링은 제외할 수 있다</w:t>
      </w:r>
      <w:r>
        <w:rPr/>
        <w:t>.</w:t>
      </w:r>
    </w:p>
    <w:p>
      <w:pPr>
        <w:pStyle w:val="Compact"/>
        <w:numPr>
          <w:ilvl w:val="0"/>
          <w:numId w:val="322"/>
        </w:numPr>
        <w:rPr/>
      </w:pPr>
      <w:r>
        <w:rPr/>
        <w:t>사후관리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영업점은 파생상품거래의 결제일을 관리하여 고객에게 사전 통지하여야하며</w:t>
      </w:r>
      <w:r>
        <w:rPr/>
        <w:t xml:space="preserve">, </w:t>
      </w:r>
      <w:r>
        <w:rPr/>
        <w:t>채무불이행이 발생하지 않도록 수시로 고객의 거래평가액 및 신용상태 등을 모니터링하여 신용리스크를 관리하여야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영업점은 「자본시장법 제</w:t>
      </w:r>
      <w:r>
        <w:rPr/>
        <w:t>73</w:t>
      </w:r>
      <w:r>
        <w:rPr/>
        <w:t>조</w:t>
      </w:r>
      <w:r>
        <w:rPr/>
        <w:t>(</w:t>
      </w:r>
      <w:r>
        <w:rPr/>
        <w:t>매매명세의 통지</w:t>
      </w:r>
      <w:r>
        <w:rPr/>
        <w:t>)</w:t>
      </w:r>
      <w:r>
        <w:rPr/>
        <w:t>」 이행을 위하여 고객이 제출한 「장외파생상품 매매명세 및 평가내역 통지 요청서」에 따라 통지ㆍ기록ㆍ관리 하여야 한다</w:t>
      </w:r>
      <w:r>
        <w:rPr/>
        <w:t>.</w:t>
      </w:r>
    </w:p>
    <w:p>
      <w:pPr>
        <w:pStyle w:val="Normal"/>
        <w:numPr>
          <w:ilvl w:val="0"/>
          <w:numId w:val="323"/>
        </w:numPr>
        <w:rPr/>
      </w:pPr>
      <w:r>
        <w:rPr/>
        <w:t>매매명세 및 평가내역 조회</w:t>
      </w:r>
      <w:r>
        <w:rPr/>
        <w:t xml:space="preserve">, </w:t>
      </w:r>
      <w:r>
        <w:rPr/>
        <w:t>통지내역 등록</w:t>
      </w:r>
    </w:p>
    <w:p>
      <w:pPr>
        <w:pStyle w:val="Normal"/>
        <w:numPr>
          <w:ilvl w:val="0"/>
          <w:numId w:val="324"/>
        </w:numPr>
        <w:rPr/>
      </w:pPr>
      <w:r>
        <w:rPr/>
        <w:t xml:space="preserve">기준일 </w:t>
      </w:r>
      <w:r>
        <w:rPr/>
        <w:t xml:space="preserve">: </w:t>
      </w:r>
      <w:r>
        <w:rPr/>
        <w:t>매월 최종 영업일</w:t>
      </w:r>
    </w:p>
    <w:p>
      <w:pPr>
        <w:pStyle w:val="Normal"/>
        <w:numPr>
          <w:ilvl w:val="0"/>
          <w:numId w:val="325"/>
        </w:numPr>
        <w:rPr/>
      </w:pPr>
      <w:r>
        <w:rPr/>
        <w:t xml:space="preserve">통지기한 </w:t>
      </w:r>
      <w:r>
        <w:rPr/>
        <w:t xml:space="preserve">: </w:t>
      </w:r>
      <w:r>
        <w:rPr/>
        <w:t xml:space="preserve">다음 달 </w:t>
      </w:r>
      <w:r>
        <w:rPr/>
        <w:t>20</w:t>
      </w:r>
      <w:r>
        <w:rPr/>
        <w:t>일</w:t>
      </w:r>
    </w:p>
    <w:p>
      <w:pPr>
        <w:pStyle w:val="Normal"/>
        <w:numPr>
          <w:ilvl w:val="0"/>
          <w:numId w:val="326"/>
        </w:numPr>
        <w:rPr/>
      </w:pPr>
      <w:r>
        <w:rPr/>
        <w:t xml:space="preserve">통지 대상 매매명세 종류 </w:t>
      </w:r>
      <w:r>
        <w:rPr/>
        <w:t xml:space="preserve">: </w:t>
      </w:r>
      <w:r>
        <w:rPr/>
        <w:t>상품평가내역</w:t>
      </w:r>
      <w:r>
        <w:rPr/>
        <w:t>(</w:t>
      </w:r>
      <w:r>
        <w:rPr/>
        <w:t>기준일 현재 잔액 보유 고객</w:t>
      </w:r>
      <w:r>
        <w:rPr/>
        <w:t xml:space="preserve">), </w:t>
      </w:r>
      <w:r>
        <w:rPr/>
        <w:t>상품거래내역</w:t>
      </w:r>
      <w:r>
        <w:rPr/>
        <w:t>(</w:t>
      </w:r>
      <w:r>
        <w:rPr/>
        <w:t>월중 거래가 있었던 고객</w:t>
      </w:r>
      <w:r>
        <w:rPr/>
        <w:t>)</w:t>
      </w:r>
    </w:p>
    <w:p>
      <w:pPr>
        <w:pStyle w:val="Normal"/>
        <w:numPr>
          <w:ilvl w:val="0"/>
          <w:numId w:val="327"/>
        </w:numPr>
        <w:rPr/>
      </w:pPr>
      <w:r>
        <w:rPr/>
        <w:t xml:space="preserve">매매명세 통지 생략 대상 </w:t>
      </w:r>
      <w:r>
        <w:rPr/>
        <w:t xml:space="preserve">: </w:t>
      </w:r>
      <w:r>
        <w:rPr/>
        <w:t>통지 받기를 원하지 않는 고객과 장외파생상품을 업무로서 거래하는 금융투자업자</w:t>
      </w:r>
    </w:p>
    <w:p>
      <w:pPr>
        <w:pStyle w:val="Normal"/>
        <w:numPr>
          <w:ilvl w:val="0"/>
          <w:numId w:val="328"/>
        </w:numPr>
        <w:rPr/>
      </w:pPr>
      <w:r>
        <w:rPr/>
        <w:t xml:space="preserve">통지내역 전산등록 </w:t>
      </w:r>
      <w:r>
        <w:rPr/>
        <w:t xml:space="preserve">: </w:t>
      </w:r>
      <w:r>
        <w:rPr/>
        <w:t>통지일자</w:t>
      </w:r>
      <w:r>
        <w:rPr/>
        <w:t xml:space="preserve">, </w:t>
      </w:r>
      <w:r>
        <w:rPr/>
        <w:t>수령일자</w:t>
      </w:r>
      <w:r>
        <w:rPr/>
        <w:t xml:space="preserve">, </w:t>
      </w:r>
      <w:r>
        <w:rPr/>
        <w:t>우편발송의 경우 등기번호</w:t>
      </w:r>
      <w:r>
        <w:rPr/>
        <w:t xml:space="preserve">, FAX </w:t>
      </w:r>
      <w:r>
        <w:rPr/>
        <w:t xml:space="preserve">및 </w:t>
      </w:r>
      <w:r>
        <w:rPr/>
        <w:t xml:space="preserve">E-mail </w:t>
      </w:r>
      <w:r>
        <w:rPr/>
        <w:t>발송의 경우 수령자 성명 등을 등록</w:t>
      </w:r>
    </w:p>
    <w:p>
      <w:pPr>
        <w:pStyle w:val="Normal"/>
        <w:numPr>
          <w:ilvl w:val="0"/>
          <w:numId w:val="329"/>
        </w:numPr>
        <w:rPr/>
      </w:pPr>
      <w:r>
        <w:rPr/>
        <w:t xml:space="preserve">통지여부 확인 </w:t>
      </w:r>
      <w:r>
        <w:rPr/>
        <w:t xml:space="preserve">: </w:t>
      </w:r>
      <w:r>
        <w:rPr/>
        <w:t xml:space="preserve">담당자는 다음 달 </w:t>
      </w:r>
      <w:r>
        <w:rPr/>
        <w:t>20</w:t>
      </w:r>
      <w:r>
        <w:rPr/>
        <w:t>일까지 통지여부를 재차 확인</w:t>
      </w:r>
    </w:p>
    <w:p>
      <w:pPr>
        <w:pStyle w:val="Normal"/>
        <w:numPr>
          <w:ilvl w:val="0"/>
          <w:numId w:val="330"/>
        </w:numPr>
        <w:rPr/>
      </w:pPr>
      <w:r>
        <w:rPr/>
        <w:t xml:space="preserve">기타 </w:t>
      </w:r>
      <w:r>
        <w:rPr/>
        <w:t xml:space="preserve">: </w:t>
      </w:r>
      <w:r>
        <w:rPr/>
        <w:t>매매명세의 통지요청을 거절한 고객이라도 매매명세를 요구하는 경우 즉시 서면으로 제공한 후 통지내역을 전산등록 하여야 함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대고객 파생상품 업무 관련 문서의 보존기간은 「문서관리지침」에 따라 장외파생상품계약의 기본계약서</w:t>
      </w:r>
      <w:r>
        <w:rPr/>
        <w:t xml:space="preserve">, </w:t>
      </w:r>
      <w:r>
        <w:rPr/>
        <w:t xml:space="preserve">신용보강약정은 영구 그 외는 </w:t>
      </w:r>
      <w:r>
        <w:rPr/>
        <w:t>10</w:t>
      </w:r>
      <w:r>
        <w:rPr/>
        <w:t>년이다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파생상품거래 관련「은행 조회서」발급 시에는 계약이행보증금 면제한도 내용</w:t>
      </w:r>
      <w:r>
        <w:rPr/>
        <w:t>(</w:t>
      </w:r>
      <w:r>
        <w:rPr/>
        <w:t>한도 금액</w:t>
      </w:r>
      <w:r>
        <w:rPr/>
        <w:t xml:space="preserve">, </w:t>
      </w:r>
      <w:r>
        <w:rPr/>
        <w:t>만기일 등</w:t>
      </w:r>
      <w:r>
        <w:rPr/>
        <w:t>)</w:t>
      </w:r>
      <w:r>
        <w:rPr/>
        <w:t>을 기재하지 않으며</w:t>
      </w:r>
      <w:r>
        <w:rPr/>
        <w:t xml:space="preserve">, </w:t>
      </w:r>
      <w:r>
        <w:rPr/>
        <w:t>거래한 파생상품</w:t>
      </w:r>
      <w:r>
        <w:rPr/>
        <w:t>(</w:t>
      </w:r>
      <w:r>
        <w:rPr/>
        <w:t>선물환</w:t>
      </w:r>
      <w:r>
        <w:rPr/>
        <w:t xml:space="preserve">, </w:t>
      </w:r>
      <w:r>
        <w:rPr/>
        <w:t>이자율스왑</w:t>
      </w:r>
      <w:r>
        <w:rPr/>
        <w:t xml:space="preserve">, </w:t>
      </w:r>
      <w:r>
        <w:rPr/>
        <w:t>통화스왑</w:t>
      </w:r>
      <w:r>
        <w:rPr/>
        <w:t xml:space="preserve">, </w:t>
      </w:r>
      <w:r>
        <w:rPr/>
        <w:t>통화옵션 등</w:t>
      </w:r>
      <w:r>
        <w:rPr/>
        <w:t>)</w:t>
      </w:r>
      <w:r>
        <w:rPr/>
        <w:t>의 미결제된 계약만을 작성한다</w:t>
      </w:r>
      <w:r>
        <w:rPr/>
        <w:t>.</w:t>
      </w:r>
    </w:p>
    <w:p>
      <w:pPr>
        <w:pStyle w:val="Compact"/>
        <w:numPr>
          <w:ilvl w:val="0"/>
          <w:numId w:val="331"/>
        </w:numPr>
        <w:rPr/>
      </w:pPr>
      <w:r>
        <w:rPr/>
        <w:t>계약의 이행</w:t>
      </w:r>
    </w:p>
    <w:p>
      <w:pPr>
        <w:pStyle w:val="FirstParagraph"/>
        <w:rPr/>
      </w:pPr>
      <w:r>
        <w:rPr/>
        <w:t>계약의 이행은 약정서와 거래확인서에서 정한 바에 따른다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거래상대방이 기 체결한 파생상품에 대하여 조기결제를 요청하거나 기타 다른 계약상의 사유로 조기결제가 필요한 경우에는 조기결제를 실행하여야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조기결제를 하는 경우 시장 상황에 따라 기존 계약환율 또는 이자율이 바뀔 수 있음을 고객에게 거래 실행 전에 설명한다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전부 조기결제 및 일부 조기결제 등 체결된 거래 조건이 변경되는 경우 각 상품별 거래확인서를 교환한다</w:t>
      </w:r>
      <w:r>
        <w:rPr/>
        <w:t>.</w:t>
      </w:r>
    </w:p>
    <w:p>
      <w:pPr>
        <w:pStyle w:val="Compact"/>
        <w:numPr>
          <w:ilvl w:val="0"/>
          <w:numId w:val="332"/>
        </w:numPr>
        <w:rPr/>
      </w:pPr>
      <w:r>
        <w:rPr/>
        <w:t>계약의 불이행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파생상품계약의 만기결제일에 고객이 지급의무를 불이행하였을 경우</w:t>
      </w:r>
      <w:r>
        <w:rPr/>
        <w:t xml:space="preserve">, </w:t>
      </w:r>
      <w:r>
        <w:rPr/>
        <w:t>결제일 당일 주무부서에서는 취급영업점으로부터 미결제액에 대하여 역환처리하며</w:t>
      </w:r>
      <w:r>
        <w:rPr/>
        <w:t xml:space="preserve">, </w:t>
      </w:r>
      <w:r>
        <w:rPr/>
        <w:t>취급영업점은 동 역환금액을 원화미수금으로 처리한다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장외파생상품거래 기본계약서 제</w:t>
      </w:r>
      <w:r>
        <w:rPr/>
        <w:t>6</w:t>
      </w:r>
      <w:r>
        <w:rPr/>
        <w:t>조 귀책거래종료사유</w:t>
      </w:r>
      <w:r>
        <w:rPr/>
        <w:t>(</w:t>
      </w:r>
      <w:r>
        <w:rPr/>
        <w:t>담보계약서 제</w:t>
      </w:r>
      <w:r>
        <w:rPr/>
        <w:t>10</w:t>
      </w:r>
      <w:r>
        <w:rPr/>
        <w:t>조 귀책거래종료사유 포함</w:t>
      </w:r>
      <w:r>
        <w:rPr/>
        <w:t xml:space="preserve">) </w:t>
      </w:r>
      <w:r>
        <w:rPr/>
        <w:t>및 제</w:t>
      </w:r>
      <w:r>
        <w:rPr/>
        <w:t>7</w:t>
      </w:r>
      <w:r>
        <w:rPr/>
        <w:t>조 기타거래종료사유가 발생한 경우 취급영업점은 종료사유 및 기한전 거래종료일</w:t>
      </w:r>
      <w:r>
        <w:rPr/>
        <w:t>(</w:t>
      </w:r>
      <w:r>
        <w:rPr/>
        <w:t xml:space="preserve">통지일로부터 </w:t>
      </w:r>
      <w:r>
        <w:rPr/>
        <w:t>20</w:t>
      </w:r>
      <w:r>
        <w:rPr/>
        <w:t>일 이내 특정 영업일</w:t>
      </w:r>
      <w:r>
        <w:rPr/>
        <w:t>)</w:t>
      </w:r>
      <w:r>
        <w:rPr/>
        <w:t>을 명시하여 주무부서 및 고객에게 신속히 통지하여야 한다</w:t>
      </w:r>
      <w:r>
        <w:rPr/>
        <w:t xml:space="preserve">. </w:t>
      </w:r>
      <w:r>
        <w:rPr/>
        <w:t>이 경우 취급영업점은 기본계약서에 따른 모든 파생상품에 대해 기한전 거래종료일을 주무부서와 협의하에 지정하여야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지정된 기한전 거래종료일에 주무부서는 모든 개별거래를 청산 후 최종청산잔액을 취급영업점으로부터 역환하며</w:t>
      </w:r>
      <w:r>
        <w:rPr/>
        <w:t xml:space="preserve">, </w:t>
      </w:r>
      <w:r>
        <w:rPr/>
        <w:t>취급영업점에서는 동 역환금액을 원화미수금으로 처리 후 동 금액과 최종청산잔액의 지급일</w:t>
      </w:r>
      <w:r>
        <w:rPr/>
        <w:t>(</w:t>
      </w:r>
      <w:r>
        <w:rPr/>
        <w:t xml:space="preserve">통지도달일로부터 </w:t>
      </w:r>
      <w:r>
        <w:rPr/>
        <w:t>2</w:t>
      </w:r>
      <w:r>
        <w:rPr/>
        <w:t>영업일</w:t>
      </w:r>
      <w:r>
        <w:rPr/>
        <w:t>)</w:t>
      </w:r>
      <w:r>
        <w:rPr/>
        <w:t>을 대고객 통보한다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파생상품거래에 따른 지급</w:t>
      </w:r>
      <w:r>
        <w:rPr/>
        <w:t>·</w:t>
      </w:r>
      <w:r>
        <w:rPr/>
        <w:t>인도의무 미이행에 대한 지연이자율 및 기타 비용을 당행이 지출한 경우 「여신금리 및 수수료 적용지침」에서 정한 최고 연체이자율을 적용하여 지연배상금을 징수하여야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여신규정에 의거 전결권자의 승인을 득한 경우 지연이자를 감액 또는 면제할 수 있다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취급영업점은 고객의 신용사건 발생 등 계약이행과 관련한 중요한 사유 발생시 본 지침</w:t>
      </w:r>
      <w:r>
        <w:rPr/>
        <w:t xml:space="preserve">, </w:t>
      </w:r>
      <w:r>
        <w:rPr/>
        <w:t>「국제금융 및 파생상품 리스크관리지침」</w:t>
      </w:r>
      <w:r>
        <w:rPr/>
        <w:t xml:space="preserve">, </w:t>
      </w:r>
      <w:r>
        <w:rPr/>
        <w:t>「장외파생상품 투자권유준칙」</w:t>
      </w:r>
      <w:r>
        <w:rPr/>
        <w:t xml:space="preserve">, </w:t>
      </w:r>
      <w:r>
        <w:rPr/>
        <w:t>「장외파생상품 업무매뉴얼」</w:t>
      </w:r>
      <w:r>
        <w:rPr/>
        <w:t xml:space="preserve">, </w:t>
      </w:r>
      <w:r>
        <w:rPr/>
        <w:t>「여신규정」 등에 의거 사후관리를 하여야 하며</w:t>
      </w:r>
      <w:r>
        <w:rPr/>
        <w:t xml:space="preserve">, </w:t>
      </w:r>
      <w:r>
        <w:rPr/>
        <w:t xml:space="preserve">사후관리 내역을 </w:t>
      </w:r>
      <w:r>
        <w:rPr/>
        <w:t>CRM</w:t>
      </w:r>
      <w:r>
        <w:rPr/>
        <w:t>시스템 등에 등록 관리하여야 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그외 사항은 본 지침 「제</w:t>
      </w:r>
      <w:r>
        <w:rPr/>
        <w:t>4</w:t>
      </w:r>
      <w:r>
        <w:rPr/>
        <w:t>장</w:t>
      </w:r>
      <w:r>
        <w:rPr/>
        <w:t>-1</w:t>
      </w:r>
      <w:r>
        <w:rPr/>
        <w:t>절</w:t>
      </w:r>
      <w:r>
        <w:rPr/>
        <w:t xml:space="preserve">-4 </w:t>
      </w:r>
      <w:r>
        <w:rPr/>
        <w:t>계약의 불이행 등」에 따른다</w:t>
      </w:r>
      <w:r>
        <w:rPr/>
        <w:t>.</w:t>
      </w:r>
    </w:p>
    <w:p>
      <w:pPr>
        <w:pStyle w:val="Compact"/>
        <w:numPr>
          <w:ilvl w:val="0"/>
          <w:numId w:val="333"/>
        </w:numPr>
        <w:rPr/>
      </w:pPr>
      <w:r>
        <w:rPr/>
        <w:t>계약이행보증금 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취급영업점은 거래처별 평가손실이 계약이행보증금의 </w:t>
      </w:r>
      <w:r>
        <w:rPr/>
        <w:t xml:space="preserve">80% </w:t>
      </w:r>
      <w:r>
        <w:rPr/>
        <w:t>초과시점에 거래평가서</w:t>
      </w:r>
      <w:r>
        <w:rPr/>
        <w:t>(</w:t>
      </w:r>
      <w:r>
        <w:rPr/>
        <w:t>평가손익현황</w:t>
      </w:r>
      <w:r>
        <w:rPr/>
        <w:t xml:space="preserve">, </w:t>
      </w:r>
      <w:r>
        <w:rPr/>
        <w:t>거래잔액 등</w:t>
      </w:r>
      <w:r>
        <w:rPr/>
        <w:t>)</w:t>
      </w:r>
      <w:r>
        <w:rPr/>
        <w:t>를 해당거래처에 통보하여야 하며</w:t>
      </w:r>
      <w:r>
        <w:rPr/>
        <w:t xml:space="preserve">, </w:t>
      </w:r>
      <w:r>
        <w:rPr/>
        <w:t>거래평가서에 거래처 기준으로 평가손실이 계약이행보증금을 초과하였을 경우 당행이 계약이행보증금 추가적립 또는 기타 담보보강 조치를 요청함을 부기하여 통보하여야 한다</w:t>
      </w:r>
      <w:r>
        <w:rPr/>
        <w:t xml:space="preserve">. </w:t>
      </w:r>
      <w:r>
        <w:rPr/>
        <w:t>또한 펀드의 환헤지와 관련한 자산운용사의 경우</w:t>
      </w:r>
      <w:r>
        <w:rPr/>
        <w:t xml:space="preserve">, </w:t>
      </w:r>
      <w:r>
        <w:rPr/>
        <w:t xml:space="preserve">통화선도거래 건별 계약기간 동안 대상펀드의 기준가가 취급일 대비 </w:t>
      </w:r>
      <w:r>
        <w:rPr/>
        <w:t xml:space="preserve">35% </w:t>
      </w:r>
      <w:r>
        <w:rPr/>
        <w:t>이하로 하락 시 귀책거래종료사유통보</w:t>
      </w:r>
      <w:r>
        <w:rPr/>
        <w:t xml:space="preserve">, </w:t>
      </w:r>
      <w:r>
        <w:rPr/>
        <w:t>거래청산 등 장외파생상품기본계약 등에 따른 조치를 취하도록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취급영업점은 평가손실이 계약이행보증금 적립액 또는 신용한도액</w:t>
      </w:r>
      <w:r>
        <w:rPr/>
        <w:t>(</w:t>
      </w:r>
      <w:r>
        <w:rPr/>
        <w:t>보증금 면제금액</w:t>
      </w:r>
      <w:r>
        <w:rPr/>
        <w:t>)</w:t>
      </w:r>
      <w:r>
        <w:rPr/>
        <w:t>을 초과하였을 경우 계약이행보증금 추가적립 또는 담보보강 조치에 대한 내용을 즉시 서면으로 통지하여야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거래상대방이 정부</w:t>
      </w:r>
      <w:r>
        <w:rPr/>
        <w:t xml:space="preserve">, </w:t>
      </w:r>
      <w:r>
        <w:rPr/>
        <w:t>지방자치단체</w:t>
      </w:r>
      <w:r>
        <w:rPr/>
        <w:t xml:space="preserve">, </w:t>
      </w:r>
      <w:r>
        <w:rPr/>
        <w:t>「공공기관의 운영에 관한 법률」의 적용을 받는 공공기관</w:t>
      </w:r>
      <w:r>
        <w:rPr/>
        <w:t xml:space="preserve">, </w:t>
      </w:r>
      <w:r>
        <w:rPr/>
        <w:t>특별법에 의한 특수공공법인</w:t>
      </w:r>
      <w:r>
        <w:rPr/>
        <w:t xml:space="preserve">, </w:t>
      </w:r>
      <w:r>
        <w:rPr/>
        <w:t>「지방공기업법」에 의한 지방공기업에 해당하고 계약이행보증금을 면제하여 운용하는 경우 상기 「가」</w:t>
      </w:r>
      <w:r>
        <w:rPr/>
        <w:t xml:space="preserve">, </w:t>
      </w:r>
      <w:r>
        <w:rPr/>
        <w:t>「나」에 해당하는 절차는 생략한다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9</w:t>
      </w:r>
      <w:r>
        <w:rPr/>
        <w:t>관 투자자 보호</w:t>
      </w:r>
    </w:p>
    <w:p>
      <w:pPr>
        <w:pStyle w:val="Compact"/>
        <w:numPr>
          <w:ilvl w:val="0"/>
          <w:numId w:val="334"/>
        </w:numPr>
        <w:rPr/>
      </w:pPr>
      <w:r>
        <w:rPr/>
        <w:t>녹취제도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아래 조건에 해당하는 일반금융소비자와 파생상품 거래를 할 경우 상품판매 과정을 녹취 하여야 한다</w:t>
      </w:r>
      <w:r>
        <w:rPr/>
        <w:t>.</w:t>
      </w:r>
    </w:p>
    <w:p>
      <w:pPr>
        <w:pStyle w:val="Compact"/>
        <w:numPr>
          <w:ilvl w:val="0"/>
          <w:numId w:val="335"/>
        </w:numPr>
        <w:rPr/>
      </w:pPr>
      <w:r>
        <w:rPr/>
        <w:t>개인</w:t>
      </w:r>
      <w:r>
        <w:rPr/>
        <w:t>/</w:t>
      </w:r>
      <w:r>
        <w:rPr/>
        <w:t xml:space="preserve">개인사업자 </w:t>
      </w:r>
      <w:r>
        <w:rPr/>
        <w:t>(</w:t>
      </w:r>
      <w:r>
        <w:rPr/>
        <w:t xml:space="preserve">대상상품 </w:t>
      </w:r>
      <w:r>
        <w:rPr/>
        <w:t xml:space="preserve">: </w:t>
      </w:r>
      <w:r>
        <w:rPr/>
        <w:t>모든 장외파생상품</w:t>
      </w:r>
      <w:r>
        <w:rPr/>
        <w:t>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유형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판매 과정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녹취 주기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고령자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만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세 이상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투자자정보 확인서 및 고령투자자 확인서 작성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투자자정보 등록 또는 변경시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장외파생상품거래 기본계약서 및 담보계약서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계약서 작성시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가입상품 설명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매 개별거래 전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개별거래 체결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본부 녹취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매 개별거래시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고령자 외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투자자정보 확인서 작성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투자자정보 등록 또는 변경시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장외파생상품거래 기본계약서 및 담보계약서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계약서 작성시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가입상품 설명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매 개별거래 전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단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상품설명 녹취파일이 존재하고 개별거래 체결일 기준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 내에 당행에서 동일상품을 거래한 이력이 있을 경우 생략 가능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개별거래 체결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본부 녹취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매 개별거래시</w:t>
            </w:r>
          </w:p>
        </w:tc>
      </w:tr>
    </w:tbl>
    <w:p>
      <w:pPr>
        <w:pStyle w:val="Compact"/>
        <w:numPr>
          <w:ilvl w:val="0"/>
          <w:numId w:val="336"/>
        </w:numPr>
        <w:rPr/>
      </w:pPr>
      <w:r>
        <w:rPr/>
        <w:t xml:space="preserve">법인 </w:t>
      </w:r>
      <w:r>
        <w:rPr/>
        <w:t>(</w:t>
      </w:r>
      <w:r>
        <w:rPr/>
        <w:t xml:space="preserve">대상상품 </w:t>
      </w:r>
      <w:r>
        <w:rPr/>
        <w:t xml:space="preserve">: </w:t>
      </w:r>
      <w:r>
        <w:rPr/>
        <w:t>통화옵션 상품</w:t>
      </w:r>
      <w:r>
        <w:rPr/>
        <w:t>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판매 과정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녹취 주기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투자자정보 확인서 작성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투자자정보 등록 또는 변경시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장외파생상품거래 기본계약서 및 담보계약서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계약서 작성시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가입상품 설명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매 개별거래 전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단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상품설명 녹취파일이 존재하고 개별거래 체결일 기준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년 내에 당행에서 동일상품을 거래한 이력이 있을 경우 생략 가능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개별거래 체결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본부 녹취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매 개별거래시</w:t>
            </w:r>
          </w:p>
        </w:tc>
      </w:tr>
    </w:tbl>
    <w:p>
      <w:pPr>
        <w:pStyle w:val="Normal"/>
        <w:numPr>
          <w:ilvl w:val="0"/>
          <w:numId w:val="337"/>
        </w:numPr>
        <w:rPr/>
      </w:pPr>
      <w:r>
        <w:rPr/>
        <w:t>동일상품을 판단하는 기준은 상품설명서가 동일한지 여부를 기준으로 한다</w:t>
      </w:r>
      <w:r>
        <w:rPr/>
        <w:t>.</w:t>
      </w:r>
    </w:p>
    <w:p>
      <w:pPr>
        <w:pStyle w:val="Normal"/>
        <w:numPr>
          <w:ilvl w:val="0"/>
          <w:numId w:val="338"/>
        </w:numPr>
        <w:rPr/>
      </w:pPr>
      <w:r>
        <w:rPr/>
        <w:t xml:space="preserve">가입상품 설명을 녹취할 경우 하루에 여러 건 동일상품 거래는 </w:t>
      </w:r>
      <w:r>
        <w:rPr/>
        <w:t>1</w:t>
      </w:r>
      <w:r>
        <w:rPr/>
        <w:t>회만 녹취 한다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위 “가</w:t>
      </w:r>
      <w:r>
        <w:rPr/>
        <w:t>-(2)”</w:t>
      </w:r>
      <w:r>
        <w:rPr/>
        <w:t>에도 불구하고 개별 파생상품 판매 승인 과정에서 녹취 대상으로 지정한 경우 거래시 녹취 대상이 되나 이후 동일 상품 계속 거래시에는 통화옵션 이외의 상품은 녹취를 생략할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투자자 정보 확인</w:t>
      </w:r>
      <w:r>
        <w:rPr/>
        <w:t xml:space="preserve">, </w:t>
      </w:r>
      <w:r>
        <w:rPr/>
        <w:t>가입상품 설명</w:t>
      </w:r>
      <w:r>
        <w:rPr/>
        <w:t xml:space="preserve">, </w:t>
      </w:r>
      <w:r>
        <w:rPr/>
        <w:t>장외파생상품거래 기본계약서 및 담보계약서 체결 과정 녹취는 대표자 또는 위임장에서 지정한 대리인과 실시하고</w:t>
      </w:r>
      <w:r>
        <w:rPr/>
        <w:t xml:space="preserve">, </w:t>
      </w:r>
      <w:r>
        <w:rPr/>
        <w:t>개별거래 체결 녹취는 대표자 또는 개별거래 담당자 신고서에 신고된 거래체결 담당자를 대상으로 실시한다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위 “가” 또는 “나”항에 따른 판매과정상 영업점에서 녹취가 이뤄진 경우 「비예금 금융상품 판매지침」 “별표</w:t>
      </w:r>
      <w:r>
        <w:rPr/>
        <w:t>2</w:t>
      </w:r>
      <w:r>
        <w:rPr/>
        <w:t>녹취 점점기준”에 따라 녹취가 정상적으로 이루어졌는지 여부 및 녹취품질을 점검하여야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위 “가” 또는 “나”항에 따른 본부 녹취가 발생한 경우 개별거래 체결 녹취기록 관리를 위해 본부 담당자는 장외파생상품 개별거래 녹취 관리대장을 작성해야 하며</w:t>
      </w:r>
      <w:r>
        <w:rPr/>
        <w:t xml:space="preserve">, </w:t>
      </w:r>
      <w:r>
        <w:rPr/>
        <w:t>본부 담당 부서는 녹취파일 관리부서로부터 녹취파일을 제공받아 녹취품질 등을 매월 점검하여야 한다</w:t>
      </w:r>
      <w:r>
        <w:rPr/>
        <w:t>.</w:t>
      </w:r>
    </w:p>
    <w:p>
      <w:pPr>
        <w:pStyle w:val="BodyText"/>
        <w:rPr/>
      </w:pPr>
      <w:r>
        <w:rPr/>
        <w:t>제</w:t>
      </w:r>
      <w:r>
        <w:rPr/>
        <w:t>10</w:t>
      </w:r>
      <w:r>
        <w:rPr/>
        <w:t>관 파생상품업무부서 관리사항</w:t>
      </w:r>
    </w:p>
    <w:p>
      <w:pPr>
        <w:pStyle w:val="Compact"/>
        <w:numPr>
          <w:ilvl w:val="0"/>
          <w:numId w:val="339"/>
        </w:numPr>
        <w:rPr/>
      </w:pPr>
      <w:r>
        <w:rPr/>
        <w:t>개요</w:t>
      </w:r>
    </w:p>
    <w:p>
      <w:pPr>
        <w:pStyle w:val="FirstParagraph"/>
        <w:rPr/>
      </w:pPr>
      <w:r>
        <w:rPr/>
        <w:t>본관은 파생상품업무책임자 승인 대상 업무에 대한 정의</w:t>
      </w:r>
      <w:r>
        <w:rPr/>
        <w:t xml:space="preserve">, </w:t>
      </w:r>
      <w:r>
        <w:rPr/>
        <w:t>「금소법 제</w:t>
      </w:r>
      <w:r>
        <w:rPr/>
        <w:t>19</w:t>
      </w:r>
      <w:r>
        <w:rPr/>
        <w:t>조 설명의무」 준수를 위해 파생상품 관련 서식에 필수적으로 기재되어야하는 사항 등 파생상품업무 담당부서</w:t>
      </w:r>
      <w:r>
        <w:rPr/>
        <w:t>(</w:t>
      </w:r>
      <w:r>
        <w:rPr/>
        <w:t>이하 담당부서</w:t>
      </w:r>
      <w:r>
        <w:rPr/>
        <w:t>)</w:t>
      </w:r>
      <w:r>
        <w:rPr/>
        <w:t>에서 관리해야하는 사항을 정의한다</w:t>
      </w:r>
      <w:r>
        <w:rPr/>
        <w:t>.</w:t>
      </w:r>
    </w:p>
    <w:p>
      <w:pPr>
        <w:pStyle w:val="Compact"/>
        <w:numPr>
          <w:ilvl w:val="0"/>
          <w:numId w:val="340"/>
        </w:numPr>
        <w:rPr/>
      </w:pPr>
      <w:r>
        <w:rPr/>
        <w:t>파생상품 업무책임자의 업무범위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파생상품업무책임자는 규정에 따라 업무를 부여받은 임원이다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파생상품업무책임자는 다음 각 호의 업무를 수행한다</w:t>
      </w:r>
      <w:r>
        <w:rPr/>
        <w:t>.</w:t>
      </w:r>
    </w:p>
    <w:p>
      <w:pPr>
        <w:pStyle w:val="Normal"/>
        <w:numPr>
          <w:ilvl w:val="0"/>
          <w:numId w:val="341"/>
        </w:numPr>
        <w:rPr/>
      </w:pPr>
      <w:r>
        <w:rPr/>
        <w:t>파생상품 투자자보호에 필요한 절차나 기준의 수립 및 집행에 관한 관리ㆍ감독업무</w:t>
      </w:r>
    </w:p>
    <w:p>
      <w:pPr>
        <w:pStyle w:val="Normal"/>
        <w:numPr>
          <w:ilvl w:val="0"/>
          <w:numId w:val="342"/>
        </w:numPr>
        <w:rPr/>
      </w:pPr>
      <w:r>
        <w:rPr/>
        <w:t>장외파생상품 매매에 대한 승인 업무 다만</w:t>
      </w:r>
      <w:r>
        <w:rPr/>
        <w:t xml:space="preserve">, </w:t>
      </w:r>
      <w:r>
        <w:rPr/>
        <w:t>금융위원회가 정하여 고시하는 기준을 충족하는 계약으로서 거래당사자 간에 미리 합의된 계약조건에 따라 장외파생상품을 매매하는 경우는 제외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상기 “나”에 따라 파생상품업무책임자의 승인을 요하는 주요사항은 다음과 같다</w:t>
      </w:r>
      <w:r>
        <w:rPr/>
        <w:t>.</w:t>
      </w:r>
    </w:p>
    <w:p>
      <w:pPr>
        <w:pStyle w:val="Normal"/>
        <w:numPr>
          <w:ilvl w:val="0"/>
          <w:numId w:val="343"/>
        </w:numPr>
        <w:rPr/>
      </w:pPr>
      <w:r>
        <w:rPr/>
        <w:t>파생상품거래 약정 서식 제정</w:t>
      </w:r>
      <w:r>
        <w:rPr/>
        <w:t>·</w:t>
      </w:r>
      <w:r>
        <w:rPr/>
        <w:t>개폐</w:t>
      </w:r>
    </w:p>
    <w:p>
      <w:pPr>
        <w:pStyle w:val="Normal"/>
        <w:numPr>
          <w:ilvl w:val="0"/>
          <w:numId w:val="344"/>
        </w:numPr>
        <w:rPr/>
      </w:pPr>
      <w:r>
        <w:rPr/>
        <w:t xml:space="preserve">파생상품거래와 관련하여 투자자 보호에 필요한 사항 </w:t>
      </w:r>
      <w:r>
        <w:rPr/>
        <w:t>(</w:t>
      </w:r>
      <w:r>
        <w:rPr/>
        <w:t>상품설명서 신규 제정</w:t>
      </w:r>
      <w:r>
        <w:rPr/>
        <w:t xml:space="preserve">, </w:t>
      </w:r>
      <w:r>
        <w:rPr/>
        <w:t>관련 규정 개정 등</w:t>
      </w:r>
      <w:r>
        <w:rPr/>
        <w:t>)</w:t>
      </w:r>
    </w:p>
    <w:p>
      <w:pPr>
        <w:pStyle w:val="Normal"/>
        <w:numPr>
          <w:ilvl w:val="0"/>
          <w:numId w:val="345"/>
        </w:numPr>
        <w:rPr/>
      </w:pPr>
      <w:r>
        <w:rPr/>
        <w:t xml:space="preserve">사전승인 대상 장외파생상품거래 </w:t>
      </w:r>
      <w:r>
        <w:rPr/>
        <w:t>(</w:t>
      </w:r>
      <w:r>
        <w:rPr/>
        <w:t>전결기준표 참조</w:t>
      </w:r>
      <w:r>
        <w:rPr/>
        <w:t xml:space="preserve">, </w:t>
      </w:r>
      <w:r>
        <w:rPr/>
        <w:t>신상품 매매에 대한 사전승인 포함</w:t>
      </w:r>
      <w:r>
        <w:rPr/>
        <w:t>)</w:t>
      </w:r>
    </w:p>
    <w:p>
      <w:pPr>
        <w:pStyle w:val="Normal"/>
        <w:numPr>
          <w:ilvl w:val="0"/>
          <w:numId w:val="346"/>
        </w:numPr>
        <w:rPr/>
      </w:pPr>
      <w:r>
        <w:rPr/>
        <w:t>기타 파생상품업무책임자의 승인을 요하는 중요사항 등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상기 “나</w:t>
      </w:r>
      <w:r>
        <w:rPr/>
        <w:t>-(2)”</w:t>
      </w:r>
      <w:r>
        <w:rPr/>
        <w:t>에 따라 다음 각 호의 요건을 모두 충족하는 장외파생상품의 매매에 대하여는 매매를 할 때마다 파생상품업무책임자의 승인을 받지 아니할 수 있다</w:t>
      </w:r>
      <w:r>
        <w:rPr/>
        <w:t>.</w:t>
      </w:r>
    </w:p>
    <w:p>
      <w:pPr>
        <w:pStyle w:val="Normal"/>
        <w:numPr>
          <w:ilvl w:val="0"/>
          <w:numId w:val="347"/>
        </w:numPr>
        <w:rPr/>
      </w:pPr>
      <w:r>
        <w:rPr/>
        <w:t>파생상품업무책임자의 승인을 받은 기본계약서에 근거하여 체결한 장외파생상품 매매일 것</w:t>
      </w:r>
    </w:p>
    <w:p>
      <w:pPr>
        <w:pStyle w:val="Normal"/>
        <w:numPr>
          <w:ilvl w:val="0"/>
          <w:numId w:val="348"/>
        </w:numPr>
        <w:rPr/>
      </w:pPr>
      <w:r>
        <w:rPr/>
        <w:t>다음 각 목의 어느 하나에 해당할 것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「자본시장법 제</w:t>
      </w:r>
      <w:r>
        <w:rPr/>
        <w:t>5</w:t>
      </w:r>
      <w:r>
        <w:rPr/>
        <w:t>조제</w:t>
      </w:r>
      <w:r>
        <w:rPr/>
        <w:t>1</w:t>
      </w:r>
      <w:r>
        <w:rPr/>
        <w:t>항제</w:t>
      </w:r>
      <w:r>
        <w:rPr/>
        <w:t>1</w:t>
      </w:r>
      <w:r>
        <w:rPr/>
        <w:t>호 또는 제</w:t>
      </w:r>
      <w:r>
        <w:rPr/>
        <w:t>3</w:t>
      </w:r>
      <w:r>
        <w:rPr/>
        <w:t>호」에 따른 파생상품으로서 채권가격</w:t>
      </w:r>
      <w:r>
        <w:rPr/>
        <w:t xml:space="preserve">, </w:t>
      </w:r>
      <w:r>
        <w:rPr/>
        <w:t>금리 또는 통화를 기초자산으로 하는 장외파생상품 매매일 것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파생상품업무책임자로부터 위임받은 자가 승인한 매매</w:t>
      </w:r>
      <w:r>
        <w:rPr/>
        <w:t>(</w:t>
      </w:r>
      <w:r>
        <w:rPr/>
        <w:t>파생상품업무책임자에게 사후보고하는 거래에 한한다</w:t>
      </w:r>
      <w:r>
        <w:rPr/>
        <w:t>)</w:t>
      </w:r>
      <w:r>
        <w:rPr/>
        <w:t>일 것</w:t>
      </w:r>
    </w:p>
    <w:p>
      <w:pPr>
        <w:pStyle w:val="Compact"/>
        <w:numPr>
          <w:ilvl w:val="0"/>
          <w:numId w:val="349"/>
        </w:numPr>
        <w:rPr/>
      </w:pPr>
      <w:r>
        <w:rPr/>
        <w:t>상품설명서 작성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반복적으로 매매되는 파생상품의 경우 담당부서에서 해당 상품의 상품설명서를 작성하여야 한다</w:t>
      </w:r>
      <w:r>
        <w:rPr/>
        <w:t xml:space="preserve">. </w:t>
      </w:r>
      <w:r>
        <w:rPr/>
        <w:t>이 때 업무순서는 다음과 같다</w:t>
      </w:r>
      <w:r>
        <w:rPr/>
        <w:t>.</w:t>
      </w:r>
    </w:p>
    <w:p>
      <w:pPr>
        <w:pStyle w:val="Normal"/>
        <w:numPr>
          <w:ilvl w:val="0"/>
          <w:numId w:val="350"/>
        </w:numPr>
        <w:rPr/>
      </w:pPr>
      <w:r>
        <w:rPr/>
        <w:t>상품설명서 작성</w:t>
      </w:r>
      <w:r>
        <w:rPr/>
        <w:t>(</w:t>
      </w:r>
      <w:r>
        <w:rPr/>
        <w:t>거래방향별 별도 파일 작성</w:t>
      </w:r>
      <w:r>
        <w:rPr/>
        <w:t>)</w:t>
      </w:r>
    </w:p>
    <w:p>
      <w:pPr>
        <w:pStyle w:val="Normal"/>
        <w:numPr>
          <w:ilvl w:val="0"/>
          <w:numId w:val="351"/>
        </w:numPr>
        <w:rPr/>
      </w:pPr>
      <w:r>
        <w:rPr/>
        <w:t>신규 제정 시 파생상품업무책임자 승인 대상이며</w:t>
      </w:r>
      <w:r>
        <w:rPr/>
        <w:t xml:space="preserve">, </w:t>
      </w:r>
      <w:r>
        <w:rPr/>
        <w:t>변경 시에는 담당 부서장 승인 대상</w:t>
      </w:r>
    </w:p>
    <w:p>
      <w:pPr>
        <w:pStyle w:val="Normal"/>
        <w:numPr>
          <w:ilvl w:val="0"/>
          <w:numId w:val="352"/>
        </w:numPr>
        <w:rPr/>
      </w:pPr>
      <w:r>
        <w:rPr/>
        <w:t>「금융소비자보호에 관한 내부통제지침 제</w:t>
      </w:r>
      <w:r>
        <w:rPr/>
        <w:t>3</w:t>
      </w:r>
      <w:r>
        <w:rPr/>
        <w:t>장</w:t>
      </w:r>
      <w:r>
        <w:rPr/>
        <w:t>-4.-</w:t>
      </w:r>
      <w:r>
        <w:rPr/>
        <w:t>다</w:t>
      </w:r>
      <w:r>
        <w:rPr/>
        <w:t>.</w:t>
      </w:r>
      <w:r>
        <w:rPr/>
        <w:t>」에 따라 금융소비자보호부 사전 협의 진행</w:t>
      </w:r>
    </w:p>
    <w:p>
      <w:pPr>
        <w:pStyle w:val="Normal"/>
        <w:numPr>
          <w:ilvl w:val="0"/>
          <w:numId w:val="353"/>
        </w:numPr>
        <w:rPr/>
      </w:pPr>
      <w:r>
        <w:rPr/>
        <w:t xml:space="preserve">준법감시인직무규정 </w:t>
      </w:r>
      <w:r>
        <w:rPr/>
        <w:t>(</w:t>
      </w:r>
      <w:r>
        <w:rPr/>
        <w:t>준법감시인 사전감시 대상업무</w:t>
      </w:r>
      <w:r>
        <w:rPr/>
        <w:t>)</w:t>
      </w:r>
      <w:r>
        <w:rPr/>
        <w:t>에 따라 준법감시인 사전감시 진행</w:t>
      </w:r>
    </w:p>
    <w:p>
      <w:pPr>
        <w:pStyle w:val="Normal"/>
        <w:numPr>
          <w:ilvl w:val="0"/>
          <w:numId w:val="354"/>
        </w:numPr>
        <w:rPr/>
      </w:pPr>
      <w:r>
        <w:rPr/>
        <w:t>전결권에 따른 최종 결재 후 시행문서에 발신자명의는 파생상품업무책임자로 통지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각 파생상품의 상품설명서 작성은 「장외파생상품 설명서 작성기준」을 따른다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판매하고 있는 파생상품의 상품설명서는 심의필 기간이 경과하지 않도록 기한 내에 갱신하여야 한다</w:t>
      </w:r>
      <w:r>
        <w:rPr/>
        <w:t>.</w:t>
      </w:r>
    </w:p>
    <w:p>
      <w:pPr>
        <w:pStyle w:val="Compact"/>
        <w:numPr>
          <w:ilvl w:val="0"/>
          <w:numId w:val="355"/>
        </w:numPr>
        <w:rPr/>
      </w:pPr>
      <w:r>
        <w:rPr/>
        <w:t>통화옵션 및 비정형 장외파생상품의 거래확인서 작성 시 유의사항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통화옵션 및 비정형 장외파생상품인 경우 다음의 사항을 기재하여야 하며</w:t>
      </w:r>
      <w:r>
        <w:rPr/>
        <w:t xml:space="preserve">, </w:t>
      </w:r>
      <w:r>
        <w:rPr/>
        <w:t>해당 고객에게 상품설명서 등을 통하여 해당 내용을 설명한 경우라 하더라도 체결된 거래조건에 부합하는 정보를 기재하여야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통화옵션 상품인 경우 다음의 사항을 추가 기재하여야한다</w:t>
      </w:r>
      <w:r>
        <w:rPr/>
        <w:t>.</w:t>
      </w:r>
    </w:p>
    <w:p>
      <w:pPr>
        <w:pStyle w:val="Normal"/>
        <w:numPr>
          <w:ilvl w:val="0"/>
          <w:numId w:val="356"/>
        </w:numPr>
        <w:rPr/>
      </w:pPr>
      <w:r>
        <w:rPr/>
        <w:t>개별 거래별로 만기 시장환율 변동에 따른 손익금액 변동 가능내용</w:t>
      </w:r>
      <w:r>
        <w:rPr/>
        <w:t>(</w:t>
      </w:r>
      <w:r>
        <w:rPr/>
        <w:t>손익 시나리오</w:t>
      </w:r>
      <w:r>
        <w:rPr/>
        <w:t xml:space="preserve">, Pay-off Chart </w:t>
      </w:r>
      <w:r>
        <w:rPr/>
        <w:t>등</w:t>
      </w:r>
      <w:r>
        <w:rPr/>
        <w:t>)</w:t>
      </w:r>
    </w:p>
    <w:p>
      <w:pPr>
        <w:pStyle w:val="Normal"/>
        <w:numPr>
          <w:ilvl w:val="0"/>
          <w:numId w:val="357"/>
        </w:numPr>
        <w:rPr/>
      </w:pPr>
      <w:r>
        <w:rPr/>
        <w:t>평가손익 변동과 관련하여 위험고지 시점의 시장상황에서 일정수준 환율변동에 따른 평가손익 발생예상액 또는 환율민감도</w:t>
      </w:r>
      <w:r>
        <w:rPr/>
        <w:t xml:space="preserve">(Delta) </w:t>
      </w:r>
      <w:r>
        <w:rPr/>
        <w:t>및 환율변동성민감도</w:t>
      </w:r>
      <w:r>
        <w:rPr/>
        <w:t xml:space="preserve">(Vega) </w:t>
      </w:r>
      <w:r>
        <w:rPr/>
        <w:t>금액 등 제공</w:t>
      </w:r>
    </w:p>
    <w:p>
      <w:pPr>
        <w:pStyle w:val="Normal"/>
        <w:numPr>
          <w:ilvl w:val="0"/>
          <w:numId w:val="358"/>
        </w:numPr>
        <w:rPr/>
      </w:pPr>
      <w:r>
        <w:rPr/>
        <w:t xml:space="preserve">기간별 옵션구조가 다른 경우 해당 기간별 위험을 분리하여 고지 </w:t>
      </w:r>
      <w:r>
        <w:rPr/>
        <w:t>(</w:t>
      </w:r>
      <w:r>
        <w:rPr/>
        <w:t>손실이 크게 발생할 수 있는 특정기간에 대한 손실위험을 명확히 표시</w:t>
      </w:r>
      <w:r>
        <w:rPr/>
        <w:t>)</w:t>
      </w:r>
    </w:p>
    <w:p>
      <w:pPr>
        <w:pStyle w:val="Normal"/>
        <w:numPr>
          <w:ilvl w:val="0"/>
          <w:numId w:val="359"/>
        </w:numPr>
        <w:rPr/>
      </w:pPr>
      <w:r>
        <w:rPr/>
        <w:t>합성옵션의 경우 상품을 구성하는 각각의 옵션</w:t>
      </w:r>
      <w:r>
        <w:rPr/>
        <w:t>(Put, Call)</w:t>
      </w:r>
      <w:r>
        <w:rPr/>
        <w:t>에 대한 개별 가격 제공</w:t>
      </w:r>
      <w:r>
        <w:rPr/>
        <w:t>(</w:t>
      </w:r>
      <w:r>
        <w:rPr/>
        <w:t>당행 원가가 아니라 대고객 가격을 의미함</w:t>
      </w:r>
      <w:r>
        <w:rPr/>
        <w:t>)</w:t>
      </w:r>
    </w:p>
    <w:p>
      <w:pPr>
        <w:pStyle w:val="Normal"/>
        <w:numPr>
          <w:ilvl w:val="0"/>
          <w:numId w:val="360"/>
        </w:numPr>
        <w:rPr/>
      </w:pPr>
      <w:r>
        <w:rPr/>
        <w:t>계약의 중도해지 방법과 조건</w:t>
      </w:r>
      <w:r>
        <w:rPr/>
        <w:t>(</w:t>
      </w:r>
      <w:r>
        <w:rPr/>
        <w:t>평가손익 등의 정산 여부</w:t>
      </w:r>
      <w:r>
        <w:rPr/>
        <w:t xml:space="preserve">, </w:t>
      </w:r>
      <w:r>
        <w:rPr/>
        <w:t>정산금액 산정방법 및 주체 등</w:t>
      </w:r>
      <w:r>
        <w:rPr/>
        <w:t xml:space="preserve">) </w:t>
      </w:r>
      <w:r>
        <w:rPr/>
        <w:t>명기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비정형파생상품인 경우 다음의 사항을 추가 기재하여야 한다</w:t>
      </w:r>
      <w:r>
        <w:rPr/>
        <w:t>.</w:t>
      </w:r>
    </w:p>
    <w:p>
      <w:pPr>
        <w:pStyle w:val="Normal"/>
        <w:numPr>
          <w:ilvl w:val="0"/>
          <w:numId w:val="361"/>
        </w:numPr>
        <w:rPr/>
      </w:pPr>
      <w:r>
        <w:rPr/>
        <w:t>상품에 내재되어있는 각각의 거래별 가격</w:t>
      </w:r>
      <w:r>
        <w:rPr/>
        <w:t>(</w:t>
      </w:r>
      <w:r>
        <w:rPr/>
        <w:t>금융기관의 거래원가가 아닌 대고객거래가격 수준의 정보를 말한다</w:t>
      </w:r>
      <w:r>
        <w:rPr/>
        <w:t>)</w:t>
      </w:r>
      <w:r>
        <w:rPr/>
        <w:t>에 관한 사항</w:t>
      </w:r>
    </w:p>
    <w:p>
      <w:pPr>
        <w:pStyle w:val="Normal"/>
        <w:numPr>
          <w:ilvl w:val="0"/>
          <w:numId w:val="362"/>
        </w:numPr>
        <w:rPr/>
      </w:pPr>
      <w:r>
        <w:rPr/>
        <w:t>투자자가 상품의 구조 및 리스크를 평가하는데 필요한 내재 리스크 및 잠재적 손실에 영향을 미치는 중요 요인 등 거래상의 중요정보</w:t>
      </w:r>
    </w:p>
    <w:p>
      <w:pPr>
        <w:pStyle w:val="Normal"/>
        <w:numPr>
          <w:ilvl w:val="0"/>
          <w:numId w:val="363"/>
        </w:numPr>
        <w:rPr/>
      </w:pPr>
      <w:r>
        <w:rPr/>
        <w:t>내재되어 있는 개별 거래별로 관련 리스크를 분리하여 표시</w:t>
      </w:r>
    </w:p>
    <w:p>
      <w:pPr>
        <w:pStyle w:val="Normal"/>
        <w:numPr>
          <w:ilvl w:val="0"/>
          <w:numId w:val="364"/>
        </w:numPr>
        <w:rPr/>
      </w:pPr>
      <w:r>
        <w:rPr/>
        <w:t>계약기간</w:t>
      </w:r>
      <w:r>
        <w:rPr/>
        <w:t xml:space="preserve">, </w:t>
      </w:r>
      <w:r>
        <w:rPr/>
        <w:t>유동성 등에 비추어 거래의 손익 변동성이 큰 비정형 파생상품거래인 경우 거래 상대방에 대한 손실위험 설명 시 금융변수의 변동에 따른 단순한 현금흐름 변동 이외에 평가손익의 변동과 관련된 내용</w:t>
      </w:r>
      <w:bookmarkEnd w:id="4"/>
      <w:bookmarkEnd w:id="7"/>
    </w:p>
    <w:p>
      <w:pPr>
        <w:pStyle w:val="Heading2"/>
        <w:rPr/>
      </w:pPr>
      <w:bookmarkStart w:id="8" w:name="제5장-일중선결제한도-운용-및-업무처리-기준"/>
      <w:r>
        <w:rPr/>
        <w:t>제</w:t>
      </w:r>
      <w:r>
        <w:rPr/>
        <w:t>5</w:t>
      </w:r>
      <w:r>
        <w:rPr/>
        <w:t>장 일중선결제한도 운용 및 업무처리 기준</w:t>
      </w:r>
    </w:p>
    <w:p>
      <w:pPr>
        <w:pStyle w:val="Compact"/>
        <w:numPr>
          <w:ilvl w:val="0"/>
          <w:numId w:val="365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장은 일중선결제한도의 신청</w:t>
      </w:r>
      <w:r>
        <w:rPr/>
        <w:t xml:space="preserve">, </w:t>
      </w:r>
      <w:r>
        <w:rPr/>
        <w:t>부여 및 관련 외환거래 업무처리의 세부사항을 정하는 것을 목적으로 한다</w:t>
      </w:r>
      <w:r>
        <w:rPr/>
        <w:t>.</w:t>
      </w:r>
    </w:p>
    <w:p>
      <w:pPr>
        <w:pStyle w:val="Compact"/>
        <w:numPr>
          <w:ilvl w:val="0"/>
          <w:numId w:val="366"/>
        </w:numPr>
        <w:rPr/>
      </w:pPr>
      <w:r>
        <w:rPr/>
        <w:t>일중선결제한도의 신청 및 부여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거래기업에 현물환 및 장외파생상품 거래와 관련한 일중선결제한도를 부여하고자 하는 영업점은 「외환결제관련리스크관리지침」에 따라 다음의 사항을 모두 확인한 후 자금운용부 앞으로 부점장 의견을 첨부하여 “외환거래 일중선결제한도 신청서”에 의해 신청한다</w:t>
      </w:r>
      <w:r>
        <w:rPr/>
        <w:t>.</w:t>
      </w:r>
    </w:p>
    <w:p>
      <w:pPr>
        <w:pStyle w:val="Normal"/>
        <w:numPr>
          <w:ilvl w:val="0"/>
          <w:numId w:val="367"/>
        </w:numPr>
        <w:rPr/>
      </w:pPr>
      <w:r>
        <w:rPr/>
        <w:t>「은행업감독규정」 제</w:t>
      </w:r>
      <w:r>
        <w:rPr/>
        <w:t>79</w:t>
      </w:r>
      <w:r>
        <w:rPr/>
        <w:t xml:space="preserve">조 주채무계열 중 상위 </w:t>
      </w:r>
      <w:r>
        <w:rPr/>
        <w:t>10</w:t>
      </w:r>
      <w:r>
        <w:rPr/>
        <w:t>대 계열 여부</w:t>
      </w:r>
    </w:p>
    <w:p>
      <w:pPr>
        <w:pStyle w:val="Normal"/>
        <w:numPr>
          <w:ilvl w:val="0"/>
          <w:numId w:val="368"/>
        </w:numPr>
        <w:rPr/>
      </w:pPr>
      <w:r>
        <w:rPr/>
        <w:t>대외신용등급</w:t>
      </w:r>
      <w:r>
        <w:rPr/>
        <w:t>(</w:t>
      </w:r>
      <w:r>
        <w:rPr/>
        <w:t>무디스</w:t>
      </w:r>
      <w:r>
        <w:rPr/>
        <w:t xml:space="preserve">, S&amp;P, </w:t>
      </w:r>
      <w:r>
        <w:rPr/>
        <w:t>피치</w:t>
      </w:r>
      <w:r>
        <w:rPr/>
        <w:t>)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자금운용부는 ‘가’의 신청서 접수 후 한도 부여를 위해 위험관리집행위원회에 부의 및 결의를 득하여 신청 영업점에 통지한다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영업점은 일중선결제한도를 부여한 기업과 거래를 개시하기 전 ‘장외파생상품거래 기본계약서’ 또는 ‘현물환거래 약정서’를 체결하여야한다</w:t>
      </w:r>
      <w:r>
        <w:rPr/>
        <w:t xml:space="preserve">. </w:t>
      </w:r>
      <w:r>
        <w:rPr/>
        <w:t>그리고 동 계약서 제</w:t>
      </w:r>
      <w:r>
        <w:rPr/>
        <w:t>20</w:t>
      </w:r>
      <w:r>
        <w:rPr/>
        <w:t xml:space="preserve">조 특별조건 또는 동 약정서 </w:t>
      </w:r>
      <w:r>
        <w:rPr/>
        <w:t>15</w:t>
      </w:r>
      <w:r>
        <w:rPr/>
        <w:t>조 특별조건의 다음 사항에 대하여 특약하여야 한다</w:t>
      </w:r>
      <w:r>
        <w:rPr/>
        <w:t>.</w:t>
      </w:r>
    </w:p>
    <w:p>
      <w:pPr>
        <w:pStyle w:val="Normal"/>
        <w:numPr>
          <w:ilvl w:val="0"/>
          <w:numId w:val="369"/>
        </w:numPr>
        <w:rPr/>
      </w:pPr>
      <w:r>
        <w:rPr/>
        <w:t>일중선결제한도 금액</w:t>
      </w:r>
    </w:p>
    <w:p>
      <w:pPr>
        <w:pStyle w:val="Normal"/>
        <w:numPr>
          <w:ilvl w:val="0"/>
          <w:numId w:val="370"/>
        </w:numPr>
        <w:rPr/>
      </w:pPr>
      <w:r>
        <w:rPr/>
        <w:t>신용등급의 하락 등 신용에 중대한 상황 발생 시 거래의 중지</w:t>
      </w:r>
      <w:r>
        <w:rPr/>
        <w:t xml:space="preserve">, </w:t>
      </w:r>
      <w:r>
        <w:rPr/>
        <w:t>한도 감액 및 회수 가능 문언</w:t>
      </w:r>
    </w:p>
    <w:p>
      <w:pPr>
        <w:pStyle w:val="Compact"/>
        <w:numPr>
          <w:ilvl w:val="0"/>
          <w:numId w:val="371"/>
        </w:numPr>
        <w:rPr/>
      </w:pPr>
      <w:r>
        <w:rPr/>
        <w:t>일중선결제 외환거래 업무처리 절차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자금운용부와 취급 영업점은 일중선결제한도를 부여 받은 기업과의 현</w:t>
      </w:r>
      <w:r>
        <w:rPr/>
        <w:t>·</w:t>
      </w:r>
      <w:r>
        <w:rPr/>
        <w:t>선물환 거래 취급전 한도 준수 여부를 반드시 확인하여야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자금운용부는 거래기업의 요구에 따라 거래금액 및 적용환율을 확정한 후 해당 내용을 전자문서 등으로 취급 영업점 및 관련 부서에 신속히 통지하여 선결제관련 후속 업무처리가 가능하도록 조치한다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취급 영업점은 완료된 거래 내용에 근거하여 거래기업이 요청하는 대로 자금을 선지급하고</w:t>
      </w:r>
      <w:r>
        <w:rPr/>
        <w:t xml:space="preserve">, </w:t>
      </w:r>
      <w:r>
        <w:rPr/>
        <w:t>상대통화 대금을 수취하는 즉시 자금을 정리한다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감사통할책임자는 당일 마감 전 일중선결제 자금의 수취 여부를 확인하고</w:t>
      </w:r>
      <w:r>
        <w:rPr/>
        <w:t xml:space="preserve">, </w:t>
      </w:r>
      <w:r>
        <w:rPr/>
        <w:t>취급 전표 및</w:t>
      </w:r>
    </w:p>
    <w:p>
      <w:pPr>
        <w:pStyle w:val="BodyText"/>
        <w:rPr/>
      </w:pPr>
      <w:r>
        <w:rPr/>
        <w:t>거래확인서</w:t>
      </w:r>
      <w:r>
        <w:rPr/>
        <w:t>(</w:t>
      </w:r>
      <w:r>
        <w:rPr/>
        <w:t>외환거래확인서</w:t>
      </w:r>
      <w:r>
        <w:rPr/>
        <w:t xml:space="preserve">, SWIFT </w:t>
      </w:r>
      <w:r>
        <w:rPr/>
        <w:t xml:space="preserve">전문 </w:t>
      </w:r>
      <w:r>
        <w:rPr/>
        <w:t xml:space="preserve">MT 300 </w:t>
      </w:r>
      <w:r>
        <w:rPr/>
        <w:t>등</w:t>
      </w:r>
      <w:r>
        <w:rPr/>
        <w:t>)</w:t>
      </w:r>
      <w:r>
        <w:rPr/>
        <w:t>를 상호대사하여 거래의 적정 여부를</w:t>
      </w:r>
    </w:p>
    <w:p>
      <w:pPr>
        <w:pStyle w:val="BodyText"/>
        <w:rPr/>
      </w:pPr>
      <w:r>
        <w:rPr/>
        <w:t>감사하고</w:t>
      </w:r>
      <w:r>
        <w:rPr/>
        <w:t xml:space="preserve">, </w:t>
      </w:r>
      <w:r>
        <w:rPr/>
        <w:t>영업점장은 정당 처리결과를 확인한 후 전표 및 외환거래확인서 결재한다</w:t>
      </w:r>
      <w:r>
        <w:rPr/>
        <w:t>.</w:t>
      </w:r>
    </w:p>
    <w:p>
      <w:pPr>
        <w:pStyle w:val="Compact"/>
        <w:numPr>
          <w:ilvl w:val="0"/>
          <w:numId w:val="372"/>
        </w:numPr>
        <w:rPr/>
      </w:pPr>
      <w:r>
        <w:rPr/>
        <w:t>사후관리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영업점은 관련 기업의 신용등급 하락 등 신용상태에 중대한 변화 발생 시 거래를 즉시</w:t>
      </w:r>
    </w:p>
    <w:p>
      <w:pPr>
        <w:pStyle w:val="BodyText"/>
        <w:rPr/>
      </w:pPr>
      <w:r>
        <w:rPr/>
        <w:t>중지하고 관련 사실을 자금운용부로 즉시 통지한다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자금운용부는 해당 기업과의 거래시 이를 반영하고 관련 사항을 리스크관리부로 보고한다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마감 전 일중선결제한도 거래 관련 결제 불이행 발생 시 지체없이 준법감시부장과 검사부장에게 보고하고 자금 결제 처리 유관부서에 통지한다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일중 미결제 상태가 해소 되지 않을 경우 취급 영업점은 장외파생상품거래 기본계약서</w:t>
      </w:r>
      <w:r>
        <w:rPr/>
        <w:t>,</w:t>
      </w:r>
    </w:p>
    <w:p>
      <w:pPr>
        <w:pStyle w:val="BodyText"/>
        <w:rPr/>
      </w:pPr>
      <w:r>
        <w:rPr/>
        <w:t>현물환거래 약정서</w:t>
      </w:r>
      <w:r>
        <w:rPr/>
        <w:t xml:space="preserve">, </w:t>
      </w:r>
      <w:r>
        <w:rPr/>
        <w:t>「외환 및 파생상품거래업무지침」에 의거 지연배상금 징수 및 사후관리를 하여야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자금운용부와 해당 영업점은 제반 한도의 준수여부를 일별로 모니터링하고 관리하여야 하며</w:t>
      </w:r>
      <w:r>
        <w:rPr/>
        <w:t xml:space="preserve">, </w:t>
      </w:r>
      <w:r>
        <w:rPr/>
        <w:t>당일의 일중 한도초과 발생여부를 확인하여야 한다</w:t>
      </w:r>
      <w:r>
        <w:rPr/>
        <w:t>.</w:t>
      </w:r>
      <w:bookmarkEnd w:id="8"/>
    </w:p>
    <w:p>
      <w:pPr>
        <w:pStyle w:val="Heading2"/>
        <w:rPr/>
      </w:pPr>
      <w:bookmarkStart w:id="9" w:name="제6장-isda-계약-및-관리업무"/>
      <w:r>
        <w:rPr/>
        <w:t>제</w:t>
      </w:r>
      <w:r>
        <w:rPr/>
        <w:t>6</w:t>
      </w:r>
      <w:r>
        <w:rPr/>
        <w:t xml:space="preserve">장 </w:t>
      </w:r>
      <w:r>
        <w:rPr/>
        <w:t xml:space="preserve">ISDA </w:t>
      </w:r>
      <w:r>
        <w:rPr/>
        <w:t>계약 및 관리업무</w:t>
      </w:r>
    </w:p>
    <w:p>
      <w:pPr>
        <w:pStyle w:val="Heading3"/>
        <w:rPr/>
      </w:pPr>
      <w:bookmarkStart w:id="10" w:name="제1절-총칙-1"/>
      <w:r>
        <w:rPr/>
        <w:t>제</w:t>
      </w:r>
      <w:r>
        <w:rPr/>
        <w:t>1</w:t>
      </w:r>
      <w:r>
        <w:rPr/>
        <w:t>절 총칙</w:t>
      </w:r>
    </w:p>
    <w:p>
      <w:pPr>
        <w:pStyle w:val="Compact"/>
        <w:numPr>
          <w:ilvl w:val="0"/>
          <w:numId w:val="373"/>
        </w:numPr>
        <w:rPr/>
      </w:pPr>
      <w:r>
        <w:rPr/>
        <w:t>목적</w:t>
      </w:r>
    </w:p>
    <w:p>
      <w:pPr>
        <w:pStyle w:val="FirstParagraph"/>
        <w:rPr/>
      </w:pPr>
      <w:r>
        <w:rPr/>
        <w:t xml:space="preserve">이 장은 장외파생상품거래를 위한 계약 시 </w:t>
      </w:r>
      <w:r>
        <w:rPr/>
        <w:t>ISDA</w:t>
      </w:r>
      <w:r>
        <w:rPr/>
        <w:t>의 계약서를 사용할 경우 그 계약과 관련 업무의 처리절차 및 관리에 관한 사항을 정함을 목적으로 한다</w:t>
      </w:r>
      <w:r>
        <w:rPr/>
        <w:t>.</w:t>
      </w:r>
    </w:p>
    <w:p>
      <w:pPr>
        <w:pStyle w:val="Compact"/>
        <w:numPr>
          <w:ilvl w:val="0"/>
          <w:numId w:val="374"/>
        </w:numPr>
        <w:rPr/>
      </w:pPr>
      <w:r>
        <w:rPr/>
        <w:t>용어정의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『</w:t>
      </w:r>
      <w:r>
        <w:rPr/>
        <w:t xml:space="preserve">ISDA </w:t>
      </w:r>
      <w:r>
        <w:rPr/>
        <w:t>계약』은 ‘</w:t>
      </w:r>
      <w:r>
        <w:rPr/>
        <w:t>International Swap and Derivatives Association’</w:t>
      </w:r>
      <w:r>
        <w:rPr/>
        <w:t>에서 발행한 장외파생거래 당사자간 체결하는 각종 계약을 의미하며</w:t>
      </w:r>
      <w:r>
        <w:rPr/>
        <w:t xml:space="preserve">, ISDA Master Agreement, Schedule, Protocol, CSD </w:t>
      </w:r>
      <w:r>
        <w:rPr/>
        <w:t>등이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『</w:t>
      </w:r>
      <w:r>
        <w:rPr/>
        <w:t>ISDA Master Agreement</w:t>
      </w:r>
      <w:r>
        <w:rPr/>
        <w:t xml:space="preserve">』는 </w:t>
      </w:r>
      <w:r>
        <w:rPr/>
        <w:t>ISDA</w:t>
      </w:r>
      <w:r>
        <w:rPr/>
        <w:t xml:space="preserve">에서 발행하여 국제적으로 통용되는 장외파생상품관련 표준계약서로 당사자간 체결하는 기본계약서이며 </w:t>
      </w:r>
      <w:r>
        <w:rPr/>
        <w:t>Schedule</w:t>
      </w:r>
      <w:r>
        <w:rPr/>
        <w:t>을 포함하며</w:t>
      </w:r>
      <w:r>
        <w:rPr/>
        <w:t xml:space="preserve">, </w:t>
      </w:r>
      <w:r>
        <w:rPr/>
        <w:t xml:space="preserve">각종 </w:t>
      </w:r>
      <w:r>
        <w:rPr/>
        <w:t xml:space="preserve">Protocol </w:t>
      </w:r>
      <w:r>
        <w:rPr/>
        <w:t>을 추가할 수 있고</w:t>
      </w:r>
      <w:r>
        <w:rPr/>
        <w:t>, CSD</w:t>
      </w:r>
      <w:r>
        <w:rPr/>
        <w:t>를 부속서류로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Protocol </w:t>
      </w:r>
      <w:r>
        <w:rPr/>
        <w:t xml:space="preserve">이란 </w:t>
      </w:r>
      <w:r>
        <w:rPr/>
        <w:t>ISDA</w:t>
      </w:r>
      <w:r>
        <w:rPr/>
        <w:t>관련 정의 및 신용보강서류 등을 수정하는 다자간 계약 수정 방식을 말한다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『</w:t>
      </w:r>
      <w:r>
        <w:rPr/>
        <w:t>Threshold</w:t>
      </w:r>
      <w:r>
        <w:rPr/>
        <w:t>』 란 신용보강계약서에서 정한 금액으로서 계약당사자간에 담보를 받지 않고 거래를 할 수 있는 최대 금액을 의미한다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『</w:t>
      </w:r>
      <w:r>
        <w:rPr/>
        <w:t>CSD(Credit Support Document)</w:t>
      </w:r>
      <w:r>
        <w:rPr/>
        <w:t xml:space="preserve">』는 </w:t>
      </w:r>
      <w:r>
        <w:rPr/>
        <w:t xml:space="preserve">ISDA </w:t>
      </w:r>
      <w:r>
        <w:rPr/>
        <w:t>계약에 따라 체결한 장외파생거래의 거래상대방 신용리스크 감소를 위한 신용보강계약서로 변동증거금 관련 계약과 개시증거금 관련 계약으로 나뉜다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변동증거금은 시장상황 변화에 따른 비청산 장외파생상품의 시가 변동 리스크로부터 보호받기 위해 교환하는 담보를 의미한다</w:t>
      </w:r>
      <w:r>
        <w:rPr/>
        <w:t>.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개시증거금은 거래상대방의 계약불이행시 비청산 장외파생상품거래의 포지션을 청산하고 대체하기 위해 필요한 기간 동안 발생할 수 있는 미래의 시가 변동 리스크</w:t>
      </w:r>
      <w:r>
        <w:rPr/>
        <w:t>(</w:t>
      </w:r>
      <w:r>
        <w:rPr/>
        <w:t>잠재된 리스크</w:t>
      </w:r>
      <w:r>
        <w:rPr/>
        <w:t>)</w:t>
      </w:r>
      <w:r>
        <w:rPr/>
        <w:t>로부터 보호받기 위해 교환하는 담보를 의미한다</w:t>
      </w:r>
      <w:r>
        <w:rPr/>
        <w:t>.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『</w:t>
      </w:r>
      <w:r>
        <w:rPr/>
        <w:t>SIMM(Standard Initial Margin Model)</w:t>
      </w:r>
      <w:r>
        <w:rPr/>
        <w:t>』은 국제스왑</w:t>
      </w:r>
      <w:r>
        <w:rPr/>
        <w:t>·</w:t>
      </w:r>
      <w:r>
        <w:rPr/>
        <w:t>파생상품협회</w:t>
      </w:r>
      <w:r>
        <w:rPr/>
        <w:t>(ISDA)</w:t>
      </w:r>
      <w:r>
        <w:rPr/>
        <w:t>에서 개발한 계량포트폴리오 모형으로 민감도를 바탕으로 개시증거금액을 계산하는 모형을 의미한다</w:t>
      </w:r>
      <w:r>
        <w:rPr/>
        <w:t>.</w:t>
      </w:r>
      <w:bookmarkEnd w:id="10"/>
    </w:p>
    <w:p>
      <w:pPr>
        <w:pStyle w:val="Heading3"/>
        <w:rPr/>
      </w:pPr>
      <w:bookmarkStart w:id="11" w:name="제2절-계약"/>
      <w:r>
        <w:rPr/>
        <w:t>제</w:t>
      </w:r>
      <w:r>
        <w:rPr/>
        <w:t>2</w:t>
      </w:r>
      <w:r>
        <w:rPr/>
        <w:t>절 계약</w:t>
      </w:r>
    </w:p>
    <w:p>
      <w:pPr>
        <w:pStyle w:val="Compact"/>
        <w:numPr>
          <w:ilvl w:val="0"/>
          <w:numId w:val="375"/>
        </w:numPr>
        <w:rPr/>
      </w:pPr>
      <w:r>
        <w:rPr/>
        <w:t>전결권</w:t>
      </w:r>
    </w:p>
    <w:p>
      <w:pPr>
        <w:pStyle w:val="FirstParagraph"/>
        <w:rPr/>
      </w:pPr>
      <w:r>
        <w:rPr/>
        <w:t xml:space="preserve">ISDA </w:t>
      </w:r>
      <w:r>
        <w:rPr/>
        <w:t>계약의 전결권은 최초 계약 체결 시 거래상대방과 장외파생상품거래 가액에 따라 직무전결규정의 장외파생상품 관련업무의 전결권을 준용한다</w:t>
      </w:r>
      <w:r>
        <w:rPr/>
        <w:t>.</w:t>
      </w:r>
    </w:p>
    <w:p>
      <w:pPr>
        <w:pStyle w:val="Compact"/>
        <w:numPr>
          <w:ilvl w:val="0"/>
          <w:numId w:val="376"/>
        </w:numPr>
        <w:rPr/>
      </w:pPr>
      <w:r>
        <w:rPr/>
        <w:t>계약 주무부서</w:t>
      </w:r>
    </w:p>
    <w:p>
      <w:pPr>
        <w:pStyle w:val="FirstParagraph"/>
        <w:rPr/>
      </w:pPr>
      <w:r>
        <w:rPr/>
        <w:t>가</w:t>
      </w:r>
      <w:r>
        <w:rPr/>
        <w:t xml:space="preserve">. ISDA </w:t>
      </w:r>
      <w:r>
        <w:rPr/>
        <w:t>계약은 자금운용부에서 체결한다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자금운용부장이 따로 인정하는 경우에는 파생거래 관리부점에서 체결할 수 있다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주무부서는 계약의 기본구조</w:t>
      </w:r>
      <w:r>
        <w:rPr/>
        <w:t xml:space="preserve">, </w:t>
      </w:r>
      <w:r>
        <w:rPr/>
        <w:t>조건</w:t>
      </w:r>
      <w:r>
        <w:rPr/>
        <w:t xml:space="preserve">, </w:t>
      </w:r>
      <w:r>
        <w:rPr/>
        <w:t>시장관행 등 계약 전반을 검토 후 거래상대방과 협의하여 약정서를 작성한다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ISDA </w:t>
      </w:r>
      <w:r>
        <w:rPr/>
        <w:t>계약 관련 대내외적 법률확인을 위해 약정 체결 전</w:t>
      </w:r>
      <w:r>
        <w:rPr/>
        <w:t xml:space="preserve">, </w:t>
      </w:r>
      <w:r>
        <w:rPr/>
        <w:t>준법감시부서의 법률검토를 사전에 득해야 하며</w:t>
      </w:r>
      <w:r>
        <w:rPr/>
        <w:t xml:space="preserve">, </w:t>
      </w:r>
      <w:r>
        <w:rPr/>
        <w:t>준법감시부서의 사전감시 후 계약을 체결한다</w:t>
      </w:r>
      <w:r>
        <w:rPr/>
        <w:t>.</w:t>
      </w:r>
    </w:p>
    <w:p>
      <w:pPr>
        <w:pStyle w:val="Compact"/>
        <w:numPr>
          <w:ilvl w:val="0"/>
          <w:numId w:val="377"/>
        </w:numPr>
        <w:rPr/>
      </w:pPr>
      <w:r>
        <w:rPr/>
        <w:t>받을 서류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다음 각 호의 기본 계약서류는 체결 시 제출 받는다</w:t>
      </w:r>
      <w:r>
        <w:rPr/>
        <w:t>.</w:t>
      </w:r>
    </w:p>
    <w:p>
      <w:pPr>
        <w:pStyle w:val="Normal"/>
        <w:numPr>
          <w:ilvl w:val="0"/>
          <w:numId w:val="378"/>
        </w:numPr>
        <w:rPr/>
      </w:pPr>
      <w:r>
        <w:rPr/>
        <w:t>ISDA Master Agreement</w:t>
      </w:r>
    </w:p>
    <w:p>
      <w:pPr>
        <w:pStyle w:val="Normal"/>
        <w:numPr>
          <w:ilvl w:val="0"/>
          <w:numId w:val="379"/>
        </w:numPr>
        <w:rPr/>
      </w:pPr>
      <w:r>
        <w:rPr/>
        <w:t>Schedule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다음 각 호의 추가서류 및 부속서류는 필요에 따라 약정할 수 있다</w:t>
      </w:r>
      <w:r>
        <w:rPr/>
        <w:t>.</w:t>
      </w:r>
    </w:p>
    <w:p>
      <w:pPr>
        <w:pStyle w:val="Normal"/>
        <w:numPr>
          <w:ilvl w:val="0"/>
          <w:numId w:val="380"/>
        </w:numPr>
        <w:rPr/>
      </w:pPr>
      <w:r>
        <w:rPr/>
        <w:t>CSD</w:t>
      </w:r>
    </w:p>
    <w:p>
      <w:pPr>
        <w:pStyle w:val="Normal"/>
        <w:numPr>
          <w:ilvl w:val="0"/>
          <w:numId w:val="381"/>
        </w:numPr>
        <w:rPr/>
      </w:pPr>
      <w:r>
        <w:rPr/>
        <w:t>Protocol</w:t>
      </w:r>
    </w:p>
    <w:p>
      <w:pPr>
        <w:pStyle w:val="Normal"/>
        <w:numPr>
          <w:ilvl w:val="0"/>
          <w:numId w:val="382"/>
        </w:numPr>
        <w:rPr/>
      </w:pPr>
      <w:r>
        <w:rPr/>
        <w:t xml:space="preserve">그 외 </w:t>
      </w:r>
      <w:r>
        <w:rPr/>
        <w:t xml:space="preserve">ISDA </w:t>
      </w:r>
      <w:r>
        <w:rPr/>
        <w:t>관련 필요 계약서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 xml:space="preserve">거래상대방의 적법성 확인 등을 위한 서류의 제출 받을 방법 및 시기는 </w:t>
      </w:r>
      <w:r>
        <w:rPr/>
        <w:t xml:space="preserve">ISDA Master Agreement </w:t>
      </w:r>
      <w:r>
        <w:rPr/>
        <w:t>에서 정한 바에 따른다</w:t>
      </w:r>
      <w:bookmarkEnd w:id="11"/>
    </w:p>
    <w:p>
      <w:pPr>
        <w:pStyle w:val="Heading3"/>
        <w:rPr/>
      </w:pPr>
      <w:bookmarkStart w:id="12" w:name="제3절-관리"/>
      <w:r>
        <w:rPr/>
        <w:t>제</w:t>
      </w:r>
      <w:r>
        <w:rPr/>
        <w:t>3</w:t>
      </w:r>
      <w:r>
        <w:rPr/>
        <w:t>절 관리</w:t>
      </w:r>
    </w:p>
    <w:p>
      <w:pPr>
        <w:pStyle w:val="Compact"/>
        <w:numPr>
          <w:ilvl w:val="0"/>
          <w:numId w:val="383"/>
        </w:numPr>
        <w:rPr/>
      </w:pPr>
      <w:r>
        <w:rPr/>
        <w:t>ISDA</w:t>
      </w:r>
      <w:r>
        <w:rPr/>
        <w:t>계약의 통보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계약 체결 부점은 </w:t>
      </w:r>
      <w:r>
        <w:rPr/>
        <w:t xml:space="preserve">ISDA </w:t>
      </w:r>
      <w:r>
        <w:rPr/>
        <w:t xml:space="preserve">계약을 체결 또는 변경하는 경우 즉시 그 주요내용과 함께 약정서 사본을 </w:t>
      </w:r>
      <w:r>
        <w:rPr/>
        <w:t>Middle, Back office</w:t>
      </w:r>
      <w:r>
        <w:rPr/>
        <w:t>에 제공하고</w:t>
      </w:r>
      <w:r>
        <w:rPr/>
        <w:t xml:space="preserve">, </w:t>
      </w:r>
      <w:r>
        <w:rPr/>
        <w:t>약정서 원본은 보관한다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계약 체결 부점은 </w:t>
      </w:r>
      <w:r>
        <w:rPr/>
        <w:t xml:space="preserve">CSD </w:t>
      </w:r>
      <w:r>
        <w:rPr/>
        <w:t xml:space="preserve">약정서 사본과 담보관리 업무에 필요한 거래상대방의 연락처 정보를 </w:t>
      </w:r>
      <w:r>
        <w:rPr/>
        <w:t>Middle, Back office</w:t>
      </w:r>
      <w:r>
        <w:rPr/>
        <w:t>에 제공하여야 한다</w:t>
      </w:r>
      <w:r>
        <w:rPr/>
        <w:t>.</w:t>
      </w:r>
    </w:p>
    <w:p>
      <w:pPr>
        <w:pStyle w:val="Compact"/>
        <w:numPr>
          <w:ilvl w:val="0"/>
          <w:numId w:val="384"/>
        </w:numPr>
        <w:rPr/>
      </w:pPr>
      <w:r>
        <w:rPr/>
        <w:t>변동증거금 관련 계약에 따른 담보관리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거래상대방의 요청에 의한 담보의 제공 및 회수</w:t>
      </w:r>
    </w:p>
    <w:p>
      <w:pPr>
        <w:pStyle w:val="Normal"/>
        <w:numPr>
          <w:ilvl w:val="0"/>
          <w:numId w:val="385"/>
        </w:numPr>
        <w:rPr/>
      </w:pPr>
      <w:r>
        <w:rPr/>
        <w:t xml:space="preserve">거래상대방으로부터 담보제공 요청이 있는 경우 </w:t>
      </w:r>
      <w:r>
        <w:rPr/>
        <w:t>Middle office</w:t>
      </w:r>
      <w:r>
        <w:rPr/>
        <w:t>는 담보제공 요청 금액의 적정성을 확인하고</w:t>
      </w:r>
      <w:r>
        <w:rPr/>
        <w:t xml:space="preserve">, </w:t>
      </w:r>
      <w:r>
        <w:rPr/>
        <w:t xml:space="preserve">담보제공 할 금액을 </w:t>
      </w:r>
      <w:r>
        <w:rPr/>
        <w:t xml:space="preserve">Front </w:t>
      </w:r>
      <w:r>
        <w:rPr/>
        <w:t xml:space="preserve">및 </w:t>
      </w:r>
      <w:r>
        <w:rPr/>
        <w:t>Back office</w:t>
      </w:r>
      <w:r>
        <w:rPr/>
        <w:t>에 통지한다</w:t>
      </w:r>
      <w:r>
        <w:rPr/>
        <w:t>.</w:t>
      </w:r>
    </w:p>
    <w:p>
      <w:pPr>
        <w:pStyle w:val="Normal"/>
        <w:numPr>
          <w:ilvl w:val="0"/>
          <w:numId w:val="386"/>
        </w:numPr>
        <w:rPr/>
      </w:pPr>
      <w:r>
        <w:rPr/>
        <w:t xml:space="preserve">거래상대방에 담보 제공 시 </w:t>
      </w:r>
      <w:r>
        <w:rPr/>
        <w:t>Front office</w:t>
      </w:r>
      <w:r>
        <w:rPr/>
        <w:t xml:space="preserve">는 제공 가능한 담보물의 종류와 범위를 사전에 </w:t>
      </w:r>
      <w:r>
        <w:rPr/>
        <w:t>Back office</w:t>
      </w:r>
      <w:r>
        <w:rPr/>
        <w:t>에게 통지하고</w:t>
      </w:r>
      <w:r>
        <w:rPr/>
        <w:t>, Back office</w:t>
      </w:r>
      <w:r>
        <w:rPr/>
        <w:t>는 그 중에서 결정한다</w:t>
      </w:r>
      <w:r>
        <w:rPr/>
        <w:t>.</w:t>
      </w:r>
    </w:p>
    <w:p>
      <w:pPr>
        <w:pStyle w:val="Normal"/>
        <w:numPr>
          <w:ilvl w:val="0"/>
          <w:numId w:val="387"/>
        </w:numPr>
        <w:rPr/>
      </w:pPr>
      <w:r>
        <w:rPr/>
        <w:t>Back office</w:t>
      </w:r>
      <w:r>
        <w:rPr/>
        <w:t xml:space="preserve">는 거래상대방에게 담보를 제공하고 이를 </w:t>
      </w:r>
      <w:r>
        <w:rPr/>
        <w:t>Middle office</w:t>
      </w:r>
      <w:r>
        <w:rPr/>
        <w:t>에 통지한다</w:t>
      </w:r>
      <w:r>
        <w:rPr/>
        <w:t>.</w:t>
      </w:r>
    </w:p>
    <w:p>
      <w:pPr>
        <w:pStyle w:val="Normal"/>
        <w:numPr>
          <w:ilvl w:val="0"/>
          <w:numId w:val="388"/>
        </w:numPr>
        <w:rPr/>
      </w:pPr>
      <w:r>
        <w:rPr/>
        <w:t>Middle office</w:t>
      </w:r>
      <w:r>
        <w:rPr/>
        <w:t xml:space="preserve">는 거래 평가 및 담보현황에 따라 담보의 회수가 필요하다고 판단되는 경우 </w:t>
      </w:r>
      <w:r>
        <w:rPr/>
        <w:t>Back office</w:t>
      </w:r>
      <w:r>
        <w:rPr/>
        <w:t>에 거래상대방에 대한 담보회수 요청을 의뢰할 수 있으며</w:t>
      </w:r>
      <w:r>
        <w:rPr/>
        <w:t>, Back office</w:t>
      </w:r>
      <w:r>
        <w:rPr/>
        <w:t xml:space="preserve">는 이를 실행한 경우 </w:t>
      </w:r>
      <w:r>
        <w:rPr/>
        <w:t>Middle office</w:t>
      </w:r>
      <w:r>
        <w:rPr/>
        <w:t>에 통지한다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거래상대방에 대한 담보의 수취 및 반환</w:t>
      </w:r>
    </w:p>
    <w:p>
      <w:pPr>
        <w:pStyle w:val="Normal"/>
        <w:numPr>
          <w:ilvl w:val="0"/>
          <w:numId w:val="389"/>
        </w:numPr>
        <w:rPr/>
      </w:pPr>
      <w:r>
        <w:rPr/>
        <w:t>Middle office</w:t>
      </w:r>
      <w:r>
        <w:rPr/>
        <w:t xml:space="preserve">는 거래상대방에 대한 장외파생상품 거래 포지션 평가결과에 따라 </w:t>
      </w:r>
      <w:r>
        <w:rPr/>
        <w:t>Back office</w:t>
      </w:r>
      <w:r>
        <w:rPr/>
        <w:t>에 거래상대방에 대한 담보 제공의 요청을 의뢰한다</w:t>
      </w:r>
      <w:r>
        <w:rPr/>
        <w:t>.</w:t>
      </w:r>
    </w:p>
    <w:p>
      <w:pPr>
        <w:pStyle w:val="Normal"/>
        <w:numPr>
          <w:ilvl w:val="0"/>
          <w:numId w:val="390"/>
        </w:numPr>
        <w:rPr/>
      </w:pPr>
      <w:r>
        <w:rPr/>
        <w:t xml:space="preserve">거래종료 또는 </w:t>
      </w:r>
      <w:r>
        <w:rPr/>
        <w:t xml:space="preserve">Threshold </w:t>
      </w:r>
      <w:r>
        <w:rPr/>
        <w:t xml:space="preserve">초과 금액의 변동 등으로 거래상대방으로부터 담보의 반환 요청이 있는 경우 </w:t>
      </w:r>
      <w:r>
        <w:rPr/>
        <w:t>Middle office</w:t>
      </w:r>
      <w:r>
        <w:rPr/>
        <w:t xml:space="preserve">는 반환 요청금액의 적정성을 확인하고 </w:t>
      </w:r>
      <w:r>
        <w:rPr/>
        <w:t>Back office</w:t>
      </w:r>
      <w:r>
        <w:rPr/>
        <w:t>에 담보의 반환을 의뢰한다</w:t>
      </w:r>
      <w:r>
        <w:rPr/>
        <w:t>.</w:t>
      </w:r>
    </w:p>
    <w:p>
      <w:pPr>
        <w:pStyle w:val="Normal"/>
        <w:numPr>
          <w:ilvl w:val="0"/>
          <w:numId w:val="391"/>
        </w:numPr>
        <w:rPr/>
      </w:pPr>
      <w:r>
        <w:rPr/>
        <w:t>Back office</w:t>
      </w:r>
      <w:r>
        <w:rPr/>
        <w:t xml:space="preserve">는 위 </w:t>
      </w:r>
      <w:r>
        <w:rPr/>
        <w:t xml:space="preserve">(1) </w:t>
      </w:r>
      <w:r>
        <w:rPr/>
        <w:t xml:space="preserve">및 </w:t>
      </w:r>
      <w:r>
        <w:rPr/>
        <w:t>(2)</w:t>
      </w:r>
      <w:r>
        <w:rPr/>
        <w:t>에 따라 담보물을 수취 및 반환한다</w:t>
      </w:r>
      <w:r>
        <w:rPr/>
        <w:t>.</w:t>
      </w:r>
    </w:p>
    <w:p>
      <w:pPr>
        <w:pStyle w:val="Normal"/>
        <w:numPr>
          <w:ilvl w:val="0"/>
          <w:numId w:val="392"/>
        </w:numPr>
        <w:rPr/>
      </w:pPr>
      <w:r>
        <w:rPr/>
        <w:t>Back office</w:t>
      </w:r>
      <w:r>
        <w:rPr/>
        <w:t xml:space="preserve">는 담보물의 출납을 확인하여 </w:t>
      </w:r>
      <w:r>
        <w:rPr/>
        <w:t>Middle office</w:t>
      </w:r>
      <w:r>
        <w:rPr/>
        <w:t>에 통지한다</w:t>
      </w:r>
      <w:r>
        <w:rPr/>
        <w:t>.</w:t>
      </w:r>
    </w:p>
    <w:p>
      <w:pPr>
        <w:pStyle w:val="FirstParagraph"/>
        <w:rPr/>
      </w:pPr>
      <w:r>
        <w:rPr/>
        <w:t>다</w:t>
      </w:r>
      <w:r>
        <w:rPr/>
        <w:t>. Front, Middle, Back office</w:t>
      </w:r>
      <w:r>
        <w:rPr/>
        <w:t>간의 통지 방법은 개별 협의를 통해 정한다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>. Middle office</w:t>
      </w:r>
      <w:r>
        <w:rPr/>
        <w:t>는 거래상대방에게 지급하거나 수취해야 할 담보금액의 적정성을 확인하며</w:t>
      </w:r>
      <w:r>
        <w:rPr/>
        <w:t xml:space="preserve">, </w:t>
      </w:r>
      <w:r>
        <w:rPr/>
        <w:t>지급</w:t>
      </w:r>
      <w:r>
        <w:rPr/>
        <w:t xml:space="preserve">, </w:t>
      </w:r>
      <w:r>
        <w:rPr/>
        <w:t>수취 담보금액에 관한 이견이 있을 경우 거래상대방과 동 금액의 합의에 관한 업무처리를 담당한다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 xml:space="preserve">담보의 제공 및 요청 등과 관련한 거래상대방과의 연락은 </w:t>
      </w:r>
      <w:r>
        <w:rPr/>
        <w:t>Back office</w:t>
      </w:r>
      <w:r>
        <w:rPr/>
        <w:t>에서 담당한다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담보금액에 관한 이견이 있는 경우는 상기 “라”에 따른다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>. Back Office</w:t>
      </w:r>
      <w:r>
        <w:rPr/>
        <w:t xml:space="preserve">는 거래상대방의 담보교체 요청이 있는 경우 </w:t>
      </w:r>
      <w:r>
        <w:rPr/>
        <w:t>ISDA</w:t>
      </w:r>
      <w:r>
        <w:rPr/>
        <w:t>계약에 따라 처리한다</w:t>
      </w:r>
      <w:r>
        <w:rPr/>
        <w:t>.</w:t>
      </w:r>
    </w:p>
    <w:p>
      <w:pPr>
        <w:pStyle w:val="Compact"/>
        <w:numPr>
          <w:ilvl w:val="0"/>
          <w:numId w:val="393"/>
        </w:numPr>
        <w:rPr/>
      </w:pPr>
      <w:r>
        <w:rPr/>
        <w:t>개시증거금 관련 계약에 따른 담보관리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개시증거금은 국제증권감독위원회</w:t>
      </w:r>
      <w:r>
        <w:rPr/>
        <w:t xml:space="preserve">(IOSCO) </w:t>
      </w:r>
      <w:r>
        <w:rPr/>
        <w:t>규제안에서 제시하는 표준개시증거금 산출모형</w:t>
      </w:r>
      <w:r>
        <w:rPr/>
        <w:t>(</w:t>
      </w:r>
      <w:r>
        <w:rPr/>
        <w:t>이하 “표준모형”</w:t>
      </w:r>
      <w:r>
        <w:rPr/>
        <w:t xml:space="preserve">) </w:t>
      </w:r>
      <w:r>
        <w:rPr/>
        <w:t>및 금융회사 자체 또는 제</w:t>
      </w:r>
      <w:r>
        <w:rPr/>
        <w:t>3</w:t>
      </w:r>
      <w:r>
        <w:rPr/>
        <w:t>의 기관이 개발한 계량포트폴리오 모형</w:t>
      </w:r>
      <w:r>
        <w:rPr/>
        <w:t>(</w:t>
      </w:r>
      <w:r>
        <w:rPr/>
        <w:t>이하 “계량모형”</w:t>
      </w:r>
      <w:r>
        <w:rPr/>
        <w:t xml:space="preserve">) </w:t>
      </w:r>
      <w:r>
        <w:rPr/>
        <w:t>중 일관된 방법으로 산출 되어야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>. Front office</w:t>
      </w:r>
      <w:r>
        <w:rPr/>
        <w:t xml:space="preserve">는 계량모형인 </w:t>
      </w:r>
      <w:r>
        <w:rPr/>
        <w:t>SIMM</w:t>
      </w:r>
      <w:r>
        <w:rPr/>
        <w:t>을 금융감독원에 보고</w:t>
      </w:r>
      <w:r>
        <w:rPr/>
        <w:t>·</w:t>
      </w:r>
      <w:r>
        <w:rPr/>
        <w:t>승인 없이 개시증거금액 산출에 사용할 수 있으며</w:t>
      </w:r>
      <w:r>
        <w:rPr/>
        <w:t xml:space="preserve">, </w:t>
      </w:r>
      <w:r>
        <w:rPr/>
        <w:t>이 경우 모형의 관리</w:t>
      </w:r>
      <w:r>
        <w:rPr/>
        <w:t xml:space="preserve">, </w:t>
      </w:r>
      <w:r>
        <w:rPr/>
        <w:t>평가 업무를 추가적으로 수행한다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개시증거금 산출액에 따라 </w:t>
      </w:r>
      <w:r>
        <w:rPr/>
        <w:t>Back office</w:t>
      </w:r>
      <w:r>
        <w:rPr/>
        <w:t>는 담보의 제공</w:t>
      </w:r>
      <w:r>
        <w:rPr/>
        <w:t xml:space="preserve">, </w:t>
      </w:r>
      <w:r>
        <w:rPr/>
        <w:t>수취</w:t>
      </w:r>
      <w:r>
        <w:rPr/>
        <w:t xml:space="preserve">, </w:t>
      </w:r>
      <w:r>
        <w:rPr/>
        <w:t>반환</w:t>
      </w:r>
      <w:r>
        <w:rPr/>
        <w:t xml:space="preserve">, </w:t>
      </w:r>
      <w:r>
        <w:rPr/>
        <w:t>회수 관련 업무를 처리한다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>. Front office</w:t>
      </w:r>
      <w:r>
        <w:rPr/>
        <w:t>는 거래상대방과 개시증거금 계산액에 대한 분쟁이 발생할 경우 합의에 관한 업무처리를 담당한다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>. Middle office</w:t>
      </w:r>
      <w:r>
        <w:rPr/>
        <w:t>는 계량모형을 통해 개시증거금이 산출될 경우 모형의 통제</w:t>
      </w:r>
      <w:r>
        <w:rPr/>
        <w:t xml:space="preserve">, </w:t>
      </w:r>
      <w:r>
        <w:rPr/>
        <w:t>감독 및 검증</w:t>
      </w:r>
      <w:r>
        <w:rPr/>
        <w:t xml:space="preserve">, </w:t>
      </w:r>
      <w:r>
        <w:rPr/>
        <w:t>검증 프로세스 및 검증 결과 관리 업무를 수행하며</w:t>
      </w:r>
      <w:r>
        <w:rPr/>
        <w:t>, SIMM</w:t>
      </w:r>
      <w:r>
        <w:rPr/>
        <w:t>의 주요 변경사항</w:t>
      </w:r>
      <w:r>
        <w:rPr/>
        <w:t>(</w:t>
      </w:r>
      <w:r>
        <w:rPr/>
        <w:t>포함</w:t>
      </w:r>
      <w:r>
        <w:rPr/>
        <w:t>)</w:t>
      </w:r>
      <w:r>
        <w:rPr/>
        <w:t>을 문서화하여 위험관리위원회에 보고하여야 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 xml:space="preserve">계량모형인 </w:t>
      </w:r>
      <w:r>
        <w:rPr/>
        <w:t>SIMM</w:t>
      </w:r>
      <w:r>
        <w:rPr/>
        <w:t>을 통한 개시증거금의 산출</w:t>
      </w:r>
      <w:r>
        <w:rPr/>
        <w:t xml:space="preserve">, </w:t>
      </w:r>
      <w:r>
        <w:rPr/>
        <w:t>모형의 관리 평가</w:t>
      </w:r>
      <w:r>
        <w:rPr/>
        <w:t xml:space="preserve">, </w:t>
      </w:r>
      <w:r>
        <w:rPr/>
        <w:t>검증 등의 업무는 외부 위탁하여 수행할 수 있다</w:t>
      </w:r>
      <w:r>
        <w:rPr/>
        <w:t>.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 xml:space="preserve">기타 본 호에서 규정하지 않은 내용은 상기 </w:t>
      </w:r>
      <w:r>
        <w:rPr/>
        <w:t>2</w:t>
      </w:r>
      <w:r>
        <w:rPr/>
        <w:t>호에 따른다</w:t>
      </w:r>
      <w:r>
        <w:rPr/>
        <w:t>.</w:t>
      </w:r>
    </w:p>
    <w:p>
      <w:pPr>
        <w:pStyle w:val="Compact"/>
        <w:numPr>
          <w:ilvl w:val="0"/>
          <w:numId w:val="394"/>
        </w:numPr>
        <w:rPr/>
      </w:pPr>
      <w:r>
        <w:rPr/>
        <w:t>사후관리</w:t>
      </w:r>
    </w:p>
    <w:p>
      <w:pPr>
        <w:pStyle w:val="FirstParagraph"/>
        <w:rPr/>
      </w:pPr>
      <w:r>
        <w:rPr/>
        <w:t xml:space="preserve">거래상대방의 신용사건 발생 등 계약이행과 관련한 중요한 사유 발생시 계약체결 부점에서 </w:t>
      </w:r>
      <w:r>
        <w:rPr/>
        <w:t>ISDA</w:t>
      </w:r>
      <w:r>
        <w:rPr/>
        <w:t>계약</w:t>
      </w:r>
      <w:r>
        <w:rPr/>
        <w:t xml:space="preserve">, </w:t>
      </w:r>
      <w:r>
        <w:rPr/>
        <w:t>본 지침</w:t>
      </w:r>
      <w:r>
        <w:rPr/>
        <w:t xml:space="preserve">, </w:t>
      </w:r>
      <w:r>
        <w:rPr/>
        <w:t>국제금융 및 파생상품 리스크관리지침</w:t>
      </w:r>
      <w:r>
        <w:rPr/>
        <w:t xml:space="preserve">, </w:t>
      </w:r>
      <w:r>
        <w:rPr/>
        <w:t>여신규정 등에 의거 사후관리를 하여야 한다</w:t>
      </w:r>
      <w:r>
        <w:rPr/>
        <w:t>.</w:t>
      </w:r>
      <w:bookmarkEnd w:id="9"/>
      <w:bookmarkEnd w:id="12"/>
    </w:p>
    <w:p>
      <w:pPr>
        <w:pStyle w:val="Heading2"/>
        <w:rPr/>
      </w:pPr>
      <w:bookmarkStart w:id="13" w:name="부-칙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9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2006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2007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16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2008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11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2008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18"/>
    </w:p>
    <w:p>
      <w:pPr>
        <w:pStyle w:val="Heading2"/>
        <w:rPr/>
      </w:pPr>
      <w:bookmarkStart w:id="19" w:name="부-칙-6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2008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19"/>
    </w:p>
    <w:p>
      <w:pPr>
        <w:pStyle w:val="Heading2"/>
        <w:rPr/>
      </w:pPr>
      <w:bookmarkStart w:id="20" w:name="부-칙-7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2009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20"/>
    </w:p>
    <w:p>
      <w:pPr>
        <w:pStyle w:val="Heading2"/>
        <w:rPr/>
      </w:pPr>
      <w:bookmarkStart w:id="21" w:name="부-칙-8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2010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21"/>
    </w:p>
    <w:p>
      <w:pPr>
        <w:pStyle w:val="Heading2"/>
        <w:rPr/>
      </w:pPr>
      <w:bookmarkStart w:id="22" w:name="부-칙-9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2010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22"/>
    </w:p>
    <w:p>
      <w:pPr>
        <w:pStyle w:val="Heading2"/>
        <w:rPr/>
      </w:pPr>
      <w:bookmarkStart w:id="23" w:name="부-칙-10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2010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13</w:t>
      </w:r>
      <w:r>
        <w:rPr/>
        <w:t>일부터 시행한다</w:t>
      </w:r>
      <w:r>
        <w:rPr/>
        <w:t>.</w:t>
      </w:r>
      <w:bookmarkEnd w:id="23"/>
    </w:p>
    <w:p>
      <w:pPr>
        <w:pStyle w:val="Heading2"/>
        <w:rPr/>
      </w:pPr>
      <w:bookmarkStart w:id="24" w:name="부-칙-1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2010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24"/>
    </w:p>
    <w:p>
      <w:pPr>
        <w:pStyle w:val="Heading2"/>
        <w:rPr/>
      </w:pPr>
      <w:bookmarkStart w:id="25" w:name="부-칙-1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25"/>
    </w:p>
    <w:p>
      <w:pPr>
        <w:pStyle w:val="Heading2"/>
        <w:rPr/>
      </w:pPr>
      <w:bookmarkStart w:id="26" w:name="부-칙-1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2011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16</w:t>
      </w:r>
      <w:r>
        <w:rPr/>
        <w:t>일부터 시행한다</w:t>
      </w:r>
      <w:r>
        <w:rPr/>
        <w:t>.</w:t>
      </w:r>
      <w:bookmarkEnd w:id="26"/>
    </w:p>
    <w:p>
      <w:pPr>
        <w:pStyle w:val="Heading2"/>
        <w:rPr/>
      </w:pPr>
      <w:bookmarkStart w:id="27" w:name="부-칙-1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2012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13</w:t>
      </w:r>
      <w:r>
        <w:rPr/>
        <w:t>일부터 시행한다</w:t>
      </w:r>
      <w:r>
        <w:rPr/>
        <w:t>.</w:t>
      </w:r>
      <w:bookmarkEnd w:id="27"/>
    </w:p>
    <w:p>
      <w:pPr>
        <w:pStyle w:val="Heading2"/>
        <w:rPr/>
      </w:pPr>
      <w:bookmarkStart w:id="28" w:name="부-칙-1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2012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3</w:t>
      </w:r>
      <w:r>
        <w:rPr/>
        <w:t>일부터 시행한다</w:t>
      </w:r>
      <w:r>
        <w:rPr/>
        <w:t>.</w:t>
      </w:r>
      <w:bookmarkEnd w:id="28"/>
    </w:p>
    <w:p>
      <w:pPr>
        <w:pStyle w:val="Heading2"/>
        <w:rPr/>
      </w:pPr>
      <w:bookmarkStart w:id="29" w:name="부-칙-16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2014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29"/>
    </w:p>
    <w:p>
      <w:pPr>
        <w:pStyle w:val="Heading2"/>
        <w:rPr/>
      </w:pPr>
      <w:bookmarkStart w:id="30" w:name="부-칙-17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30"/>
    </w:p>
    <w:p>
      <w:pPr>
        <w:pStyle w:val="Heading2"/>
        <w:rPr/>
      </w:pPr>
      <w:bookmarkStart w:id="31" w:name="부-칙-18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31"/>
    </w:p>
    <w:p>
      <w:pPr>
        <w:pStyle w:val="Heading2"/>
        <w:rPr/>
      </w:pPr>
      <w:bookmarkStart w:id="32" w:name="부-칙-19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bookmarkEnd w:id="32"/>
    </w:p>
    <w:p>
      <w:pPr>
        <w:pStyle w:val="Heading2"/>
        <w:rPr/>
      </w:pPr>
      <w:bookmarkStart w:id="33" w:name="부-칙-20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2017</w:t>
      </w:r>
      <w:r>
        <w:rPr/>
        <w:t xml:space="preserve">년 </w:t>
      </w:r>
      <w:r>
        <w:rPr/>
        <w:t>07</w:t>
      </w:r>
      <w:r>
        <w:rPr/>
        <w:t xml:space="preserve">월 </w:t>
      </w:r>
      <w:r>
        <w:rPr/>
        <w:t>28</w:t>
      </w:r>
      <w:r>
        <w:rPr/>
        <w:t>일부터 시행한다</w:t>
      </w:r>
      <w:bookmarkEnd w:id="33"/>
    </w:p>
    <w:p>
      <w:pPr>
        <w:pStyle w:val="Heading2"/>
        <w:rPr/>
      </w:pPr>
      <w:bookmarkStart w:id="34" w:name="부-칙-2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2017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</w:t>
      </w:r>
      <w:r>
        <w:rPr/>
        <w:t>일부터 시행한다</w:t>
      </w:r>
      <w:bookmarkEnd w:id="34"/>
    </w:p>
    <w:p>
      <w:pPr>
        <w:pStyle w:val="Heading2"/>
        <w:rPr/>
      </w:pPr>
      <w:bookmarkStart w:id="35" w:name="부-칙-2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2018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bookmarkEnd w:id="35"/>
    </w:p>
    <w:p>
      <w:pPr>
        <w:pStyle w:val="Heading2"/>
        <w:rPr/>
      </w:pPr>
      <w:bookmarkStart w:id="36" w:name="부-칙-2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2019</w:t>
      </w:r>
      <w:r>
        <w:rPr/>
        <w:t xml:space="preserve">년 </w:t>
      </w:r>
      <w:r>
        <w:rPr/>
        <w:t>06</w:t>
      </w:r>
      <w:r>
        <w:rPr/>
        <w:t xml:space="preserve">월 </w:t>
      </w:r>
      <w:r>
        <w:rPr/>
        <w:t>17</w:t>
      </w:r>
      <w:r>
        <w:rPr/>
        <w:t>일부터 시행한다</w:t>
      </w:r>
      <w:bookmarkEnd w:id="36"/>
    </w:p>
    <w:p>
      <w:pPr>
        <w:pStyle w:val="Heading2"/>
        <w:rPr/>
      </w:pPr>
      <w:bookmarkStart w:id="37" w:name="부-칙-2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2019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14</w:t>
      </w:r>
      <w:r>
        <w:rPr/>
        <w:t>일부터 시행한다</w:t>
      </w:r>
      <w:bookmarkEnd w:id="37"/>
    </w:p>
    <w:p>
      <w:pPr>
        <w:pStyle w:val="Heading2"/>
        <w:rPr/>
      </w:pPr>
      <w:bookmarkStart w:id="38" w:name="부-칙-2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2020</w:t>
      </w:r>
      <w:r>
        <w:rPr/>
        <w:t xml:space="preserve">년 </w:t>
      </w:r>
      <w:r>
        <w:rPr/>
        <w:t>03</w:t>
      </w:r>
      <w:r>
        <w:rPr/>
        <w:t xml:space="preserve">월 </w:t>
      </w:r>
      <w:r>
        <w:rPr/>
        <w:t>03</w:t>
      </w:r>
      <w:r>
        <w:rPr/>
        <w:t>일부터 시행한다</w:t>
      </w:r>
      <w:bookmarkEnd w:id="38"/>
    </w:p>
    <w:p>
      <w:pPr>
        <w:pStyle w:val="Heading2"/>
        <w:rPr/>
      </w:pPr>
      <w:bookmarkStart w:id="39" w:name="부-칙-26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2021</w:t>
      </w:r>
      <w:r>
        <w:rPr/>
        <w:t xml:space="preserve">년 </w:t>
      </w:r>
      <w:r>
        <w:rPr/>
        <w:t>09</w:t>
      </w:r>
      <w:r>
        <w:rPr/>
        <w:t xml:space="preserve">월 </w:t>
      </w:r>
      <w:r>
        <w:rPr/>
        <w:t>24</w:t>
      </w:r>
      <w:r>
        <w:rPr/>
        <w:t>일부터 시행한다</w:t>
      </w:r>
      <w:bookmarkEnd w:id="39"/>
    </w:p>
    <w:p>
      <w:pPr>
        <w:pStyle w:val="Heading2"/>
        <w:rPr/>
      </w:pPr>
      <w:bookmarkStart w:id="40" w:name="부-칙-27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07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40"/>
    </w:p>
    <w:p>
      <w:pPr>
        <w:pStyle w:val="Heading2"/>
        <w:rPr/>
      </w:pPr>
      <w:bookmarkStart w:id="41" w:name="부-칙-28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07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41"/>
    </w:p>
    <w:p>
      <w:pPr>
        <w:pStyle w:val="Heading2"/>
        <w:rPr/>
      </w:pPr>
      <w:bookmarkStart w:id="42" w:name="부-칙-29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09</w:t>
      </w:r>
      <w:r>
        <w:rPr/>
        <w:t xml:space="preserve">월 </w:t>
      </w:r>
      <w:r>
        <w:rPr/>
        <w:t>30</w:t>
      </w:r>
      <w:r>
        <w:rPr/>
        <w:t>일부터 시행한다</w:t>
      </w:r>
      <w:bookmarkEnd w:id="42"/>
    </w:p>
    <w:p>
      <w:pPr>
        <w:pStyle w:val="Heading2"/>
        <w:rPr/>
      </w:pPr>
      <w:bookmarkStart w:id="43" w:name="부-칙-30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[</w:t>
      </w:r>
      <w:r>
        <w:rPr/>
        <w:t>별표 개정</w:t>
      </w:r>
      <w:r>
        <w:rPr/>
        <w:t>]</w:t>
      </w:r>
      <w:bookmarkEnd w:id="43"/>
    </w:p>
    <w:p>
      <w:pPr>
        <w:pStyle w:val="Heading2"/>
        <w:rPr/>
      </w:pPr>
      <w:bookmarkStart w:id="44" w:name="부-칙-3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[</w:t>
      </w:r>
      <w:r>
        <w:rPr/>
        <w:t>별표 개정</w:t>
      </w:r>
      <w:r>
        <w:rPr/>
        <w:t>]</w:t>
      </w:r>
      <w:bookmarkEnd w:id="44"/>
    </w:p>
    <w:p>
      <w:pPr>
        <w:pStyle w:val="Heading2"/>
        <w:rPr/>
      </w:pPr>
      <w:bookmarkStart w:id="45" w:name="부-칙-3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05</w:t>
      </w:r>
      <w:r>
        <w:rPr/>
        <w:t xml:space="preserve">월 </w:t>
      </w:r>
      <w:r>
        <w:rPr/>
        <w:t>07</w:t>
      </w:r>
      <w:r>
        <w:rPr/>
        <w:t>일부터 시행한다</w:t>
      </w:r>
      <w:bookmarkEnd w:id="45"/>
    </w:p>
    <w:p>
      <w:pPr>
        <w:pStyle w:val="Heading2"/>
        <w:rPr/>
      </w:pPr>
      <w:bookmarkStart w:id="46" w:name="부-칙-3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05</w:t>
      </w:r>
      <w:r>
        <w:rPr/>
        <w:t xml:space="preserve">월 </w:t>
      </w:r>
      <w:r>
        <w:rPr/>
        <w:t>13</w:t>
      </w:r>
      <w:r>
        <w:rPr/>
        <w:t>일부터 시행한다</w:t>
      </w:r>
      <w:bookmarkEnd w:id="46"/>
    </w:p>
    <w:p>
      <w:pPr>
        <w:pStyle w:val="Heading2"/>
        <w:rPr/>
      </w:pPr>
      <w:bookmarkStart w:id="47" w:name="부-칙-3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07</w:t>
      </w:r>
      <w:r>
        <w:rPr/>
        <w:t xml:space="preserve">월 </w:t>
      </w:r>
      <w:r>
        <w:rPr/>
        <w:t>01</w:t>
      </w:r>
      <w:r>
        <w:rPr/>
        <w:t>일부터 시행한다</w:t>
      </w:r>
      <w:bookmarkEnd w:id="47"/>
    </w:p>
    <w:p>
      <w:pPr>
        <w:pStyle w:val="Heading2"/>
        <w:rPr/>
      </w:pPr>
      <w:bookmarkStart w:id="48" w:name="부-칙-3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14</w:t>
      </w:r>
      <w:r>
        <w:rPr/>
        <w:t>일부터 시행한다</w:t>
      </w:r>
      <w:bookmarkEnd w:id="48"/>
    </w:p>
    <w:p>
      <w:pPr>
        <w:pStyle w:val="Heading2"/>
        <w:rPr/>
      </w:pPr>
      <w:bookmarkStart w:id="49" w:name="부-칙-36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30</w:t>
      </w:r>
      <w:r>
        <w:rPr/>
        <w:t>일부터 시행한다</w:t>
      </w:r>
      <w:bookmarkEnd w:id="0"/>
      <w:bookmarkEnd w:id="4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0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2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4">
    <w:lvl w:ilvl="0">
      <w:start w:val="10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6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7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3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6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8">
    <w:lvl w:ilvl="0">
      <w:start w:val="4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5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0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4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6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7">
    <w:lvl w:ilvl="0">
      <w:start w:val="4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8">
    <w:lvl w:ilvl="0">
      <w:start w:val="5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5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1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8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8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88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9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1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9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97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07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8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9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1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2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3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2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2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2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28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9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3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3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4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41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2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"/>
    <w:lvlOverride w:ilvl="0">
      <w:startOverride w:val="1"/>
    </w:lvlOverride>
  </w:num>
  <w:num w:numId="145">
    <w:abstractNumId w:val="2"/>
    <w:lvlOverride w:ilvl="0">
      <w:startOverride w:val="2"/>
    </w:lvlOverride>
  </w:num>
  <w:num w:numId="146">
    <w:abstractNumId w:val="3"/>
    <w:lvlOverride w:ilvl="0">
      <w:startOverride w:val="1"/>
    </w:lvlOverride>
  </w:num>
  <w:num w:numId="147">
    <w:abstractNumId w:val="4"/>
    <w:lvlOverride w:ilvl="0">
      <w:startOverride w:val="3"/>
    </w:lvlOverride>
  </w:num>
  <w:num w:numId="148">
    <w:abstractNumId w:val="3"/>
    <w:lvlOverride w:ilvl="0">
      <w:startOverride w:val="1"/>
    </w:lvlOverride>
  </w:num>
  <w:num w:numId="149">
    <w:abstractNumId w:val="3"/>
  </w:num>
  <w:num w:numId="150">
    <w:abstractNumId w:val="3"/>
  </w:num>
  <w:num w:numId="151">
    <w:abstractNumId w:val="3"/>
  </w:num>
  <w:num w:numId="152">
    <w:abstractNumId w:val="3"/>
  </w:num>
  <w:num w:numId="153">
    <w:abstractNumId w:val="3"/>
  </w:num>
  <w:num w:numId="154">
    <w:abstractNumId w:val="3"/>
  </w:num>
  <w:num w:numId="155">
    <w:abstractNumId w:val="3"/>
  </w:num>
  <w:num w:numId="156">
    <w:abstractNumId w:val="3"/>
  </w:num>
  <w:num w:numId="157">
    <w:abstractNumId w:val="3"/>
  </w:num>
  <w:num w:numId="158">
    <w:abstractNumId w:val="6"/>
    <w:lvlOverride w:ilvl="0">
      <w:startOverride w:val="4"/>
    </w:lvlOverride>
  </w:num>
  <w:num w:numId="159">
    <w:abstractNumId w:val="7"/>
    <w:lvlOverride w:ilvl="0">
      <w:startOverride w:val="5"/>
    </w:lvlOverride>
  </w:num>
  <w:num w:numId="160">
    <w:abstractNumId w:val="1"/>
    <w:lvlOverride w:ilvl="0">
      <w:startOverride w:val="1"/>
    </w:lvlOverride>
  </w:num>
  <w:num w:numId="161">
    <w:abstractNumId w:val="2"/>
    <w:lvlOverride w:ilvl="0">
      <w:startOverride w:val="2"/>
    </w:lvlOverride>
  </w:num>
  <w:num w:numId="162">
    <w:abstractNumId w:val="3"/>
    <w:lvlOverride w:ilvl="0">
      <w:startOverride w:val="1"/>
    </w:lvlOverride>
  </w:num>
  <w:num w:numId="163">
    <w:abstractNumId w:val="3"/>
  </w:num>
  <w:num w:numId="164">
    <w:abstractNumId w:val="3"/>
  </w:num>
  <w:num w:numId="165">
    <w:abstractNumId w:val="3"/>
  </w:num>
  <w:num w:numId="166">
    <w:abstractNumId w:val="3"/>
  </w:num>
  <w:num w:numId="167">
    <w:abstractNumId w:val="4"/>
    <w:lvlOverride w:ilvl="0">
      <w:startOverride w:val="3"/>
    </w:lvlOverride>
  </w:num>
  <w:num w:numId="168">
    <w:abstractNumId w:val="6"/>
    <w:lvlOverride w:ilvl="0">
      <w:startOverride w:val="4"/>
    </w:lvlOverride>
  </w:num>
  <w:num w:numId="169">
    <w:abstractNumId w:val="7"/>
    <w:lvlOverride w:ilvl="0">
      <w:startOverride w:val="5"/>
    </w:lvlOverride>
  </w:num>
  <w:num w:numId="170">
    <w:abstractNumId w:val="3"/>
    <w:lvlOverride w:ilvl="0">
      <w:startOverride w:val="1"/>
    </w:lvlOverride>
  </w:num>
  <w:num w:numId="171">
    <w:abstractNumId w:val="15"/>
    <w:lvlOverride w:ilvl="0">
      <w:startOverride w:val="2"/>
    </w:lvlOverride>
  </w:num>
  <w:num w:numId="172">
    <w:abstractNumId w:val="3"/>
    <w:lvlOverride w:ilvl="0">
      <w:startOverride w:val="1"/>
    </w:lvlOverride>
  </w:num>
  <w:num w:numId="173">
    <w:abstractNumId w:val="3"/>
  </w:num>
  <w:num w:numId="174">
    <w:abstractNumId w:val="17"/>
    <w:lvlOverride w:ilvl="0">
      <w:startOverride w:val="6"/>
    </w:lvlOverride>
  </w:num>
  <w:num w:numId="175">
    <w:abstractNumId w:val="18"/>
    <w:lvlOverride w:ilvl="0">
      <w:startOverride w:val="7"/>
    </w:lvlOverride>
  </w:num>
  <w:num w:numId="176">
    <w:abstractNumId w:val="19"/>
    <w:lvlOverride w:ilvl="0">
      <w:startOverride w:val="8"/>
    </w:lvlOverride>
  </w:num>
  <w:num w:numId="177">
    <w:abstractNumId w:val="20"/>
    <w:lvlOverride w:ilvl="0">
      <w:startOverride w:val="9"/>
    </w:lvlOverride>
  </w:num>
  <w:num w:numId="178">
    <w:abstractNumId w:val="3"/>
    <w:lvlOverride w:ilvl="0">
      <w:startOverride w:val="1"/>
    </w:lvlOverride>
  </w:num>
  <w:num w:numId="179">
    <w:abstractNumId w:val="3"/>
  </w:num>
  <w:num w:numId="180">
    <w:abstractNumId w:val="22"/>
    <w:lvlOverride w:ilvl="0">
      <w:startOverride w:val="10"/>
    </w:lvlOverride>
  </w:num>
  <w:num w:numId="181">
    <w:abstractNumId w:val="1"/>
    <w:lvlOverride w:ilvl="0">
      <w:startOverride w:val="1"/>
    </w:lvlOverride>
  </w:num>
  <w:num w:numId="182">
    <w:abstractNumId w:val="2"/>
    <w:lvlOverride w:ilvl="0">
      <w:startOverride w:val="2"/>
    </w:lvlOverride>
  </w:num>
  <w:num w:numId="183">
    <w:abstractNumId w:val="3"/>
    <w:lvlOverride w:ilvl="0">
      <w:startOverride w:val="1"/>
    </w:lvlOverride>
  </w:num>
  <w:num w:numId="184">
    <w:abstractNumId w:val="3"/>
  </w:num>
  <w:num w:numId="185">
    <w:abstractNumId w:val="3"/>
  </w:num>
  <w:num w:numId="186">
    <w:abstractNumId w:val="3"/>
    <w:lvlOverride w:ilvl="0">
      <w:startOverride w:val="1"/>
    </w:lvlOverride>
  </w:num>
  <w:num w:numId="187">
    <w:abstractNumId w:val="3"/>
  </w:num>
  <w:num w:numId="188">
    <w:abstractNumId w:val="3"/>
  </w:num>
  <w:num w:numId="189">
    <w:abstractNumId w:val="3"/>
  </w:num>
  <w:num w:numId="190">
    <w:abstractNumId w:val="3"/>
  </w:num>
  <w:num w:numId="191">
    <w:abstractNumId w:val="3"/>
  </w:num>
  <w:num w:numId="192">
    <w:abstractNumId w:val="3"/>
    <w:lvlOverride w:ilvl="0">
      <w:startOverride w:val="1"/>
    </w:lvlOverride>
  </w:num>
  <w:num w:numId="193">
    <w:abstractNumId w:val="3"/>
  </w:num>
  <w:num w:numId="194">
    <w:abstractNumId w:val="3"/>
  </w:num>
  <w:num w:numId="195">
    <w:abstractNumId w:val="3"/>
  </w:num>
  <w:num w:numId="196">
    <w:abstractNumId w:val="3"/>
  </w:num>
  <w:num w:numId="197">
    <w:abstractNumId w:val="4"/>
    <w:lvlOverride w:ilvl="0">
      <w:startOverride w:val="3"/>
    </w:lvlOverride>
  </w:num>
  <w:num w:numId="198">
    <w:abstractNumId w:val="3"/>
    <w:lvlOverride w:ilvl="0">
      <w:startOverride w:val="1"/>
    </w:lvlOverride>
  </w:num>
  <w:num w:numId="199">
    <w:abstractNumId w:val="3"/>
  </w:num>
  <w:num w:numId="200">
    <w:abstractNumId w:val="30"/>
    <w:lvlOverride w:ilvl="0">
      <w:startOverride w:val="3"/>
    </w:lvlOverride>
  </w:num>
  <w:num w:numId="201">
    <w:abstractNumId w:val="6"/>
    <w:lvlOverride w:ilvl="0">
      <w:startOverride w:val="4"/>
    </w:lvlOverride>
  </w:num>
  <w:num w:numId="202">
    <w:abstractNumId w:val="3"/>
    <w:lvlOverride w:ilvl="0">
      <w:startOverride w:val="1"/>
    </w:lvlOverride>
  </w:num>
  <w:num w:numId="203">
    <w:abstractNumId w:val="3"/>
  </w:num>
  <w:num w:numId="204">
    <w:abstractNumId w:val="7"/>
    <w:lvlOverride w:ilvl="0">
      <w:startOverride w:val="5"/>
    </w:lvlOverride>
  </w:num>
  <w:num w:numId="205">
    <w:abstractNumId w:val="3"/>
    <w:lvlOverride w:ilvl="0">
      <w:startOverride w:val="1"/>
    </w:lvlOverride>
  </w:num>
  <w:num w:numId="206">
    <w:abstractNumId w:val="3"/>
  </w:num>
  <w:num w:numId="207">
    <w:abstractNumId w:val="3"/>
    <w:lvlOverride w:ilvl="0">
      <w:startOverride w:val="1"/>
    </w:lvlOverride>
  </w:num>
  <w:num w:numId="208">
    <w:abstractNumId w:val="3"/>
  </w:num>
  <w:num w:numId="209">
    <w:abstractNumId w:val="3"/>
  </w:num>
  <w:num w:numId="210">
    <w:abstractNumId w:val="3"/>
  </w:num>
  <w:num w:numId="211">
    <w:abstractNumId w:val="3"/>
  </w:num>
  <w:num w:numId="212">
    <w:abstractNumId w:val="3"/>
  </w:num>
  <w:num w:numId="213">
    <w:abstractNumId w:val="3"/>
    <w:lvlOverride w:ilvl="0">
      <w:startOverride w:val="1"/>
    </w:lvlOverride>
  </w:num>
  <w:num w:numId="214">
    <w:abstractNumId w:val="3"/>
  </w:num>
  <w:num w:numId="215">
    <w:abstractNumId w:val="17"/>
    <w:lvlOverride w:ilvl="0">
      <w:startOverride w:val="6"/>
    </w:lvlOverride>
  </w:num>
  <w:num w:numId="216">
    <w:abstractNumId w:val="18"/>
    <w:lvlOverride w:ilvl="0">
      <w:startOverride w:val="7"/>
    </w:lvlOverride>
  </w:num>
  <w:num w:numId="217">
    <w:abstractNumId w:val="3"/>
    <w:lvlOverride w:ilvl="0">
      <w:startOverride w:val="1"/>
    </w:lvlOverride>
  </w:num>
  <w:num w:numId="218">
    <w:abstractNumId w:val="3"/>
  </w:num>
  <w:num w:numId="219">
    <w:abstractNumId w:val="3"/>
  </w:num>
  <w:num w:numId="220">
    <w:abstractNumId w:val="3"/>
  </w:num>
  <w:num w:numId="221">
    <w:abstractNumId w:val="3"/>
  </w:num>
  <w:num w:numId="222">
    <w:abstractNumId w:val="3"/>
    <w:lvlOverride w:ilvl="0">
      <w:startOverride w:val="1"/>
    </w:lvlOverride>
  </w:num>
  <w:num w:numId="223">
    <w:abstractNumId w:val="3"/>
  </w:num>
  <w:num w:numId="224">
    <w:abstractNumId w:val="3"/>
  </w:num>
  <w:num w:numId="225">
    <w:abstractNumId w:val="3"/>
  </w:num>
  <w:num w:numId="226">
    <w:abstractNumId w:val="19"/>
    <w:lvlOverride w:ilvl="0">
      <w:startOverride w:val="8"/>
    </w:lvlOverride>
  </w:num>
  <w:num w:numId="227">
    <w:abstractNumId w:val="20"/>
    <w:lvlOverride w:ilvl="0">
      <w:startOverride w:val="9"/>
    </w:lvlOverride>
  </w:num>
  <w:num w:numId="228">
    <w:abstractNumId w:val="3"/>
    <w:lvlOverride w:ilvl="0">
      <w:startOverride w:val="1"/>
    </w:lvlOverride>
  </w:num>
  <w:num w:numId="229">
    <w:abstractNumId w:val="3"/>
  </w:num>
  <w:num w:numId="230">
    <w:abstractNumId w:val="3"/>
  </w:num>
  <w:num w:numId="231">
    <w:abstractNumId w:val="3"/>
  </w:num>
  <w:num w:numId="232">
    <w:abstractNumId w:val="22"/>
    <w:lvlOverride w:ilvl="0">
      <w:startOverride w:val="10"/>
    </w:lvlOverride>
  </w:num>
  <w:num w:numId="233">
    <w:abstractNumId w:val="1"/>
    <w:lvlOverride w:ilvl="0">
      <w:startOverride w:val="1"/>
    </w:lvlOverride>
  </w:num>
  <w:num w:numId="234">
    <w:abstractNumId w:val="2"/>
    <w:lvlOverride w:ilvl="0">
      <w:startOverride w:val="2"/>
    </w:lvlOverride>
  </w:num>
  <w:num w:numId="235">
    <w:abstractNumId w:val="4"/>
    <w:lvlOverride w:ilvl="0">
      <w:startOverride w:val="3"/>
    </w:lvlOverride>
  </w:num>
  <w:num w:numId="236">
    <w:abstractNumId w:val="3"/>
    <w:lvlOverride w:ilvl="0">
      <w:startOverride w:val="1"/>
    </w:lvlOverride>
  </w:num>
  <w:num w:numId="237">
    <w:abstractNumId w:val="3"/>
  </w:num>
  <w:num w:numId="238">
    <w:abstractNumId w:val="3"/>
    <w:lvlOverride w:ilvl="0">
      <w:startOverride w:val="1"/>
    </w:lvlOverride>
  </w:num>
  <w:num w:numId="239">
    <w:abstractNumId w:val="15"/>
    <w:lvlOverride w:ilvl="0">
      <w:startOverride w:val="2"/>
    </w:lvlOverride>
  </w:num>
  <w:num w:numId="240">
    <w:abstractNumId w:val="30"/>
    <w:lvlOverride w:ilvl="0">
      <w:startOverride w:val="3"/>
    </w:lvlOverride>
  </w:num>
  <w:num w:numId="241">
    <w:abstractNumId w:val="3"/>
    <w:lvlOverride w:ilvl="0">
      <w:startOverride w:val="1"/>
    </w:lvlOverride>
  </w:num>
  <w:num w:numId="242">
    <w:abstractNumId w:val="3"/>
  </w:num>
  <w:num w:numId="243">
    <w:abstractNumId w:val="6"/>
    <w:lvlOverride w:ilvl="0">
      <w:startOverride w:val="4"/>
    </w:lvlOverride>
  </w:num>
  <w:num w:numId="244">
    <w:abstractNumId w:val="1"/>
    <w:lvlOverride w:ilvl="0">
      <w:startOverride w:val="1"/>
    </w:lvlOverride>
  </w:num>
  <w:num w:numId="245">
    <w:abstractNumId w:val="3"/>
    <w:lvlOverride w:ilvl="0">
      <w:startOverride w:val="1"/>
    </w:lvlOverride>
  </w:num>
  <w:num w:numId="246">
    <w:abstractNumId w:val="15"/>
    <w:lvlOverride w:ilvl="0">
      <w:startOverride w:val="2"/>
    </w:lvlOverride>
  </w:num>
  <w:num w:numId="247">
    <w:abstractNumId w:val="30"/>
    <w:lvlOverride w:ilvl="0">
      <w:startOverride w:val="3"/>
    </w:lvlOverride>
  </w:num>
  <w:num w:numId="248">
    <w:abstractNumId w:val="58"/>
    <w:lvlOverride w:ilvl="0">
      <w:startOverride w:val="4"/>
    </w:lvlOverride>
  </w:num>
  <w:num w:numId="249">
    <w:abstractNumId w:val="3"/>
    <w:lvlOverride w:ilvl="0">
      <w:startOverride w:val="1"/>
    </w:lvlOverride>
  </w:num>
  <w:num w:numId="250">
    <w:abstractNumId w:val="15"/>
    <w:lvlOverride w:ilvl="0">
      <w:startOverride w:val="2"/>
    </w:lvlOverride>
  </w:num>
  <w:num w:numId="251">
    <w:abstractNumId w:val="2"/>
    <w:lvlOverride w:ilvl="0">
      <w:startOverride w:val="2"/>
    </w:lvlOverride>
  </w:num>
  <w:num w:numId="252">
    <w:abstractNumId w:val="3"/>
    <w:lvlOverride w:ilvl="0">
      <w:startOverride w:val="1"/>
    </w:lvlOverride>
  </w:num>
  <w:num w:numId="253">
    <w:abstractNumId w:val="3"/>
    <w:lvlOverride w:ilvl="0">
      <w:startOverride w:val="1"/>
    </w:lvlOverride>
  </w:num>
  <w:num w:numId="254">
    <w:abstractNumId w:val="3"/>
  </w:num>
  <w:num w:numId="255">
    <w:abstractNumId w:val="30"/>
    <w:lvlOverride w:ilvl="0">
      <w:startOverride w:val="3"/>
    </w:lvlOverride>
  </w:num>
  <w:num w:numId="256">
    <w:abstractNumId w:val="30"/>
  </w:num>
  <w:num w:numId="257">
    <w:abstractNumId w:val="3"/>
    <w:lvlOverride w:ilvl="0">
      <w:startOverride w:val="1"/>
    </w:lvlOverride>
  </w:num>
  <w:num w:numId="258">
    <w:abstractNumId w:val="15"/>
    <w:lvlOverride w:ilvl="0">
      <w:startOverride w:val="2"/>
    </w:lvlOverride>
  </w:num>
  <w:num w:numId="259">
    <w:abstractNumId w:val="15"/>
  </w:num>
  <w:num w:numId="260">
    <w:abstractNumId w:val="58"/>
    <w:lvlOverride w:ilvl="0">
      <w:startOverride w:val="4"/>
    </w:lvlOverride>
  </w:num>
  <w:num w:numId="261">
    <w:abstractNumId w:val="68"/>
    <w:lvlOverride w:ilvl="0">
      <w:startOverride w:val="5"/>
    </w:lvlOverride>
  </w:num>
  <w:num w:numId="262">
    <w:abstractNumId w:val="3"/>
    <w:lvlOverride w:ilvl="0">
      <w:startOverride w:val="1"/>
    </w:lvlOverride>
  </w:num>
  <w:num w:numId="263">
    <w:abstractNumId w:val="3"/>
  </w:num>
  <w:num w:numId="264">
    <w:abstractNumId w:val="3"/>
  </w:num>
  <w:num w:numId="265">
    <w:abstractNumId w:val="3"/>
  </w:num>
  <w:num w:numId="266">
    <w:abstractNumId w:val="3"/>
  </w:num>
  <w:num w:numId="267">
    <w:abstractNumId w:val="3"/>
  </w:num>
  <w:num w:numId="268">
    <w:abstractNumId w:val="3"/>
  </w:num>
  <w:num w:numId="269">
    <w:abstractNumId w:val="3"/>
  </w:num>
  <w:num w:numId="270">
    <w:abstractNumId w:val="3"/>
    <w:lvlOverride w:ilvl="0">
      <w:startOverride w:val="1"/>
    </w:lvlOverride>
  </w:num>
  <w:num w:numId="271">
    <w:abstractNumId w:val="3"/>
  </w:num>
  <w:num w:numId="272">
    <w:abstractNumId w:val="1"/>
    <w:lvlOverride w:ilvl="0">
      <w:startOverride w:val="1"/>
    </w:lvlOverride>
  </w:num>
  <w:num w:numId="273">
    <w:abstractNumId w:val="3"/>
    <w:lvlOverride w:ilvl="0">
      <w:startOverride w:val="1"/>
    </w:lvlOverride>
  </w:num>
  <w:num w:numId="274">
    <w:abstractNumId w:val="15"/>
    <w:lvlOverride w:ilvl="0">
      <w:startOverride w:val="2"/>
    </w:lvlOverride>
  </w:num>
  <w:num w:numId="275">
    <w:abstractNumId w:val="30"/>
    <w:lvlOverride w:ilvl="0">
      <w:startOverride w:val="3"/>
    </w:lvlOverride>
  </w:num>
  <w:num w:numId="276">
    <w:abstractNumId w:val="73"/>
  </w:num>
  <w:num w:numId="277">
    <w:abstractNumId w:val="73"/>
  </w:num>
  <w:num w:numId="278">
    <w:abstractNumId w:val="73"/>
  </w:num>
  <w:num w:numId="279">
    <w:abstractNumId w:val="2"/>
    <w:lvlOverride w:ilvl="0">
      <w:startOverride w:val="2"/>
    </w:lvlOverride>
  </w:num>
  <w:num w:numId="280">
    <w:abstractNumId w:val="3"/>
    <w:lvlOverride w:ilvl="0">
      <w:startOverride w:val="1"/>
    </w:lvlOverride>
  </w:num>
  <w:num w:numId="281">
    <w:abstractNumId w:val="3"/>
    <w:lvlOverride w:ilvl="0">
      <w:startOverride w:val="1"/>
    </w:lvlOverride>
  </w:num>
  <w:num w:numId="282">
    <w:abstractNumId w:val="3"/>
  </w:num>
  <w:num w:numId="283">
    <w:abstractNumId w:val="1"/>
    <w:lvlOverride w:ilvl="0">
      <w:startOverride w:val="1"/>
    </w:lvlOverride>
  </w:num>
  <w:num w:numId="284">
    <w:abstractNumId w:val="3"/>
    <w:lvlOverride w:ilvl="0">
      <w:startOverride w:val="1"/>
    </w:lvlOverride>
  </w:num>
  <w:num w:numId="285">
    <w:abstractNumId w:val="3"/>
  </w:num>
  <w:num w:numId="286">
    <w:abstractNumId w:val="3"/>
  </w:num>
  <w:num w:numId="287">
    <w:abstractNumId w:val="3"/>
  </w:num>
  <w:num w:numId="288">
    <w:abstractNumId w:val="3"/>
  </w:num>
  <w:num w:numId="289">
    <w:abstractNumId w:val="3"/>
  </w:num>
  <w:num w:numId="290">
    <w:abstractNumId w:val="3"/>
  </w:num>
  <w:num w:numId="291">
    <w:abstractNumId w:val="2"/>
    <w:lvlOverride w:ilvl="0">
      <w:startOverride w:val="2"/>
    </w:lvlOverride>
  </w:num>
  <w:num w:numId="292">
    <w:abstractNumId w:val="3"/>
    <w:lvlOverride w:ilvl="0">
      <w:startOverride w:val="1"/>
    </w:lvlOverride>
  </w:num>
  <w:num w:numId="293">
    <w:abstractNumId w:val="3"/>
  </w:num>
  <w:num w:numId="294">
    <w:abstractNumId w:val="3"/>
  </w:num>
  <w:num w:numId="295">
    <w:abstractNumId w:val="1"/>
    <w:lvlOverride w:ilvl="0">
      <w:startOverride w:val="1"/>
    </w:lvlOverride>
  </w:num>
  <w:num w:numId="296">
    <w:abstractNumId w:val="2"/>
    <w:lvlOverride w:ilvl="0">
      <w:startOverride w:val="2"/>
    </w:lvlOverride>
  </w:num>
  <w:num w:numId="297">
    <w:abstractNumId w:val="3"/>
    <w:lvlOverride w:ilvl="0">
      <w:startOverride w:val="1"/>
    </w:lvlOverride>
  </w:num>
  <w:num w:numId="298">
    <w:abstractNumId w:val="3"/>
  </w:num>
  <w:num w:numId="299">
    <w:abstractNumId w:val="3"/>
    <w:lvlOverride w:ilvl="0">
      <w:startOverride w:val="1"/>
    </w:lvlOverride>
  </w:num>
  <w:num w:numId="300">
    <w:abstractNumId w:val="4"/>
    <w:lvlOverride w:ilvl="0">
      <w:startOverride w:val="3"/>
    </w:lvlOverride>
  </w:num>
  <w:num w:numId="301">
    <w:abstractNumId w:val="6"/>
    <w:lvlOverride w:ilvl="0">
      <w:startOverride w:val="4"/>
    </w:lvlOverride>
  </w:num>
  <w:num w:numId="302">
    <w:abstractNumId w:val="1"/>
    <w:lvlOverride w:ilvl="0">
      <w:startOverride w:val="1"/>
    </w:lvlOverride>
  </w:num>
  <w:num w:numId="303">
    <w:abstractNumId w:val="3"/>
    <w:lvlOverride w:ilvl="0">
      <w:startOverride w:val="1"/>
    </w:lvlOverride>
  </w:num>
  <w:num w:numId="304">
    <w:abstractNumId w:val="3"/>
  </w:num>
  <w:num w:numId="305">
    <w:abstractNumId w:val="2"/>
    <w:lvlOverride w:ilvl="0">
      <w:startOverride w:val="2"/>
    </w:lvlOverride>
  </w:num>
  <w:num w:numId="306">
    <w:abstractNumId w:val="1"/>
    <w:lvlOverride w:ilvl="0">
      <w:startOverride w:val="1"/>
    </w:lvlOverride>
  </w:num>
  <w:num w:numId="307">
    <w:abstractNumId w:val="2"/>
    <w:lvlOverride w:ilvl="0">
      <w:startOverride w:val="2"/>
    </w:lvlOverride>
  </w:num>
  <w:num w:numId="308">
    <w:abstractNumId w:val="4"/>
    <w:lvlOverride w:ilvl="0">
      <w:startOverride w:val="3"/>
    </w:lvlOverride>
  </w:num>
  <w:num w:numId="309">
    <w:abstractNumId w:val="3"/>
    <w:lvlOverride w:ilvl="0">
      <w:startOverride w:val="1"/>
    </w:lvlOverride>
  </w:num>
  <w:num w:numId="310">
    <w:abstractNumId w:val="3"/>
  </w:num>
  <w:num w:numId="311">
    <w:abstractNumId w:val="3"/>
  </w:num>
  <w:num w:numId="312">
    <w:abstractNumId w:val="6"/>
    <w:lvlOverride w:ilvl="0">
      <w:startOverride w:val="4"/>
    </w:lvlOverride>
  </w:num>
  <w:num w:numId="313">
    <w:abstractNumId w:val="3"/>
    <w:lvlOverride w:ilvl="0">
      <w:startOverride w:val="1"/>
    </w:lvlOverride>
  </w:num>
  <w:num w:numId="314">
    <w:abstractNumId w:val="3"/>
  </w:num>
  <w:num w:numId="315">
    <w:abstractNumId w:val="3"/>
  </w:num>
  <w:num w:numId="316">
    <w:abstractNumId w:val="1"/>
    <w:lvlOverride w:ilvl="0">
      <w:startOverride w:val="1"/>
    </w:lvlOverride>
  </w:num>
  <w:num w:numId="317">
    <w:abstractNumId w:val="2"/>
    <w:lvlOverride w:ilvl="0">
      <w:startOverride w:val="2"/>
    </w:lvlOverride>
  </w:num>
  <w:num w:numId="318">
    <w:abstractNumId w:val="1"/>
    <w:lvlOverride w:ilvl="0">
      <w:startOverride w:val="1"/>
    </w:lvlOverride>
  </w:num>
  <w:num w:numId="319">
    <w:abstractNumId w:val="2"/>
    <w:lvlOverride w:ilvl="0">
      <w:startOverride w:val="2"/>
    </w:lvlOverride>
  </w:num>
  <w:num w:numId="320">
    <w:abstractNumId w:val="1"/>
    <w:lvlOverride w:ilvl="0">
      <w:startOverride w:val="1"/>
    </w:lvlOverride>
  </w:num>
  <w:num w:numId="321">
    <w:abstractNumId w:val="2"/>
    <w:lvlOverride w:ilvl="0">
      <w:startOverride w:val="2"/>
    </w:lvlOverride>
  </w:num>
  <w:num w:numId="322">
    <w:abstractNumId w:val="4"/>
    <w:lvlOverride w:ilvl="0">
      <w:startOverride w:val="3"/>
    </w:lvlOverride>
  </w:num>
  <w:num w:numId="323">
    <w:abstractNumId w:val="3"/>
    <w:lvlOverride w:ilvl="0">
      <w:startOverride w:val="1"/>
    </w:lvlOverride>
  </w:num>
  <w:num w:numId="324">
    <w:abstractNumId w:val="3"/>
  </w:num>
  <w:num w:numId="325">
    <w:abstractNumId w:val="3"/>
  </w:num>
  <w:num w:numId="326">
    <w:abstractNumId w:val="3"/>
  </w:num>
  <w:num w:numId="327">
    <w:abstractNumId w:val="3"/>
  </w:num>
  <w:num w:numId="328">
    <w:abstractNumId w:val="3"/>
  </w:num>
  <w:num w:numId="329">
    <w:abstractNumId w:val="3"/>
  </w:num>
  <w:num w:numId="330">
    <w:abstractNumId w:val="3"/>
  </w:num>
  <w:num w:numId="331">
    <w:abstractNumId w:val="6"/>
    <w:lvlOverride w:ilvl="0">
      <w:startOverride w:val="4"/>
    </w:lvlOverride>
  </w:num>
  <w:num w:numId="332">
    <w:abstractNumId w:val="7"/>
    <w:lvlOverride w:ilvl="0">
      <w:startOverride w:val="5"/>
    </w:lvlOverride>
  </w:num>
  <w:num w:numId="333">
    <w:abstractNumId w:val="17"/>
    <w:lvlOverride w:ilvl="0">
      <w:startOverride w:val="6"/>
    </w:lvlOverride>
  </w:num>
  <w:num w:numId="334">
    <w:abstractNumId w:val="1"/>
    <w:lvlOverride w:ilvl="0">
      <w:startOverride w:val="1"/>
    </w:lvlOverride>
  </w:num>
  <w:num w:numId="335">
    <w:abstractNumId w:val="3"/>
    <w:lvlOverride w:ilvl="0">
      <w:startOverride w:val="1"/>
    </w:lvlOverride>
  </w:num>
  <w:num w:numId="336">
    <w:abstractNumId w:val="15"/>
    <w:lvlOverride w:ilvl="0">
      <w:startOverride w:val="2"/>
    </w:lvlOverride>
  </w:num>
  <w:num w:numId="337">
    <w:abstractNumId w:val="30"/>
    <w:lvlOverride w:ilvl="0">
      <w:startOverride w:val="3"/>
    </w:lvlOverride>
  </w:num>
  <w:num w:numId="338">
    <w:abstractNumId w:val="30"/>
  </w:num>
  <w:num w:numId="339">
    <w:abstractNumId w:val="1"/>
    <w:lvlOverride w:ilvl="0">
      <w:startOverride w:val="1"/>
    </w:lvlOverride>
  </w:num>
  <w:num w:numId="340">
    <w:abstractNumId w:val="2"/>
    <w:lvlOverride w:ilvl="0">
      <w:startOverride w:val="2"/>
    </w:lvlOverride>
  </w:num>
  <w:num w:numId="341">
    <w:abstractNumId w:val="3"/>
    <w:lvlOverride w:ilvl="0">
      <w:startOverride w:val="1"/>
    </w:lvlOverride>
  </w:num>
  <w:num w:numId="342">
    <w:abstractNumId w:val="3"/>
  </w:num>
  <w:num w:numId="343">
    <w:abstractNumId w:val="3"/>
    <w:lvlOverride w:ilvl="0">
      <w:startOverride w:val="1"/>
    </w:lvlOverride>
  </w:num>
  <w:num w:numId="344">
    <w:abstractNumId w:val="3"/>
  </w:num>
  <w:num w:numId="345">
    <w:abstractNumId w:val="3"/>
  </w:num>
  <w:num w:numId="346">
    <w:abstractNumId w:val="3"/>
  </w:num>
  <w:num w:numId="347">
    <w:abstractNumId w:val="3"/>
    <w:lvlOverride w:ilvl="0">
      <w:startOverride w:val="1"/>
    </w:lvlOverride>
  </w:num>
  <w:num w:numId="348">
    <w:abstractNumId w:val="3"/>
  </w:num>
  <w:num w:numId="349">
    <w:abstractNumId w:val="4"/>
    <w:lvlOverride w:ilvl="0">
      <w:startOverride w:val="3"/>
    </w:lvlOverride>
  </w:num>
  <w:num w:numId="350">
    <w:abstractNumId w:val="3"/>
    <w:lvlOverride w:ilvl="0">
      <w:startOverride w:val="1"/>
    </w:lvlOverride>
  </w:num>
  <w:num w:numId="351">
    <w:abstractNumId w:val="3"/>
  </w:num>
  <w:num w:numId="352">
    <w:abstractNumId w:val="3"/>
  </w:num>
  <w:num w:numId="353">
    <w:abstractNumId w:val="3"/>
  </w:num>
  <w:num w:numId="354">
    <w:abstractNumId w:val="3"/>
  </w:num>
  <w:num w:numId="355">
    <w:abstractNumId w:val="6"/>
    <w:lvlOverride w:ilvl="0">
      <w:startOverride w:val="4"/>
    </w:lvlOverride>
  </w:num>
  <w:num w:numId="356">
    <w:abstractNumId w:val="3"/>
    <w:lvlOverride w:ilvl="0">
      <w:startOverride w:val="1"/>
    </w:lvlOverride>
  </w:num>
  <w:num w:numId="357">
    <w:abstractNumId w:val="3"/>
  </w:num>
  <w:num w:numId="358">
    <w:abstractNumId w:val="3"/>
  </w:num>
  <w:num w:numId="359">
    <w:abstractNumId w:val="3"/>
  </w:num>
  <w:num w:numId="360">
    <w:abstractNumId w:val="3"/>
  </w:num>
  <w:num w:numId="361">
    <w:abstractNumId w:val="3"/>
    <w:lvlOverride w:ilvl="0">
      <w:startOverride w:val="1"/>
    </w:lvlOverride>
  </w:num>
  <w:num w:numId="362">
    <w:abstractNumId w:val="3"/>
  </w:num>
  <w:num w:numId="363">
    <w:abstractNumId w:val="3"/>
  </w:num>
  <w:num w:numId="364">
    <w:abstractNumId w:val="3"/>
  </w:num>
  <w:num w:numId="365">
    <w:abstractNumId w:val="1"/>
    <w:lvlOverride w:ilvl="0">
      <w:startOverride w:val="1"/>
    </w:lvlOverride>
  </w:num>
  <w:num w:numId="366">
    <w:abstractNumId w:val="2"/>
    <w:lvlOverride w:ilvl="0">
      <w:startOverride w:val="2"/>
    </w:lvlOverride>
  </w:num>
  <w:num w:numId="367">
    <w:abstractNumId w:val="3"/>
    <w:lvlOverride w:ilvl="0">
      <w:startOverride w:val="1"/>
    </w:lvlOverride>
  </w:num>
  <w:num w:numId="368">
    <w:abstractNumId w:val="3"/>
  </w:num>
  <w:num w:numId="369">
    <w:abstractNumId w:val="3"/>
    <w:lvlOverride w:ilvl="0">
      <w:startOverride w:val="1"/>
    </w:lvlOverride>
  </w:num>
  <w:num w:numId="370">
    <w:abstractNumId w:val="3"/>
  </w:num>
  <w:num w:numId="371">
    <w:abstractNumId w:val="4"/>
    <w:lvlOverride w:ilvl="0">
      <w:startOverride w:val="3"/>
    </w:lvlOverride>
  </w:num>
  <w:num w:numId="372">
    <w:abstractNumId w:val="6"/>
    <w:lvlOverride w:ilvl="0">
      <w:startOverride w:val="4"/>
    </w:lvlOverride>
  </w:num>
  <w:num w:numId="373">
    <w:abstractNumId w:val="1"/>
    <w:lvlOverride w:ilvl="0">
      <w:startOverride w:val="1"/>
    </w:lvlOverride>
  </w:num>
  <w:num w:numId="374">
    <w:abstractNumId w:val="2"/>
    <w:lvlOverride w:ilvl="0">
      <w:startOverride w:val="2"/>
    </w:lvlOverride>
  </w:num>
  <w:num w:numId="375">
    <w:abstractNumId w:val="1"/>
    <w:lvlOverride w:ilvl="0">
      <w:startOverride w:val="1"/>
    </w:lvlOverride>
  </w:num>
  <w:num w:numId="376">
    <w:abstractNumId w:val="2"/>
    <w:lvlOverride w:ilvl="0">
      <w:startOverride w:val="2"/>
    </w:lvlOverride>
  </w:num>
  <w:num w:numId="377">
    <w:abstractNumId w:val="4"/>
    <w:lvlOverride w:ilvl="0">
      <w:startOverride w:val="3"/>
    </w:lvlOverride>
  </w:num>
  <w:num w:numId="378">
    <w:abstractNumId w:val="3"/>
    <w:lvlOverride w:ilvl="0">
      <w:startOverride w:val="1"/>
    </w:lvlOverride>
  </w:num>
  <w:num w:numId="379">
    <w:abstractNumId w:val="3"/>
  </w:num>
  <w:num w:numId="380">
    <w:abstractNumId w:val="3"/>
    <w:lvlOverride w:ilvl="0">
      <w:startOverride w:val="1"/>
    </w:lvlOverride>
  </w:num>
  <w:num w:numId="381">
    <w:abstractNumId w:val="3"/>
  </w:num>
  <w:num w:numId="382">
    <w:abstractNumId w:val="3"/>
  </w:num>
  <w:num w:numId="383">
    <w:abstractNumId w:val="1"/>
    <w:lvlOverride w:ilvl="0">
      <w:startOverride w:val="1"/>
    </w:lvlOverride>
  </w:num>
  <w:num w:numId="384">
    <w:abstractNumId w:val="2"/>
    <w:lvlOverride w:ilvl="0">
      <w:startOverride w:val="2"/>
    </w:lvlOverride>
  </w:num>
  <w:num w:numId="385">
    <w:abstractNumId w:val="3"/>
    <w:lvlOverride w:ilvl="0">
      <w:startOverride w:val="1"/>
    </w:lvlOverride>
  </w:num>
  <w:num w:numId="386">
    <w:abstractNumId w:val="3"/>
  </w:num>
  <w:num w:numId="387">
    <w:abstractNumId w:val="3"/>
  </w:num>
  <w:num w:numId="388">
    <w:abstractNumId w:val="3"/>
  </w:num>
  <w:num w:numId="389">
    <w:abstractNumId w:val="3"/>
    <w:lvlOverride w:ilvl="0">
      <w:startOverride w:val="1"/>
    </w:lvlOverride>
  </w:num>
  <w:num w:numId="390">
    <w:abstractNumId w:val="3"/>
  </w:num>
  <w:num w:numId="391">
    <w:abstractNumId w:val="3"/>
  </w:num>
  <w:num w:numId="392">
    <w:abstractNumId w:val="3"/>
  </w:num>
  <w:num w:numId="393">
    <w:abstractNumId w:val="4"/>
    <w:lvlOverride w:ilvl="0">
      <w:startOverride w:val="3"/>
    </w:lvlOverride>
  </w:num>
  <w:num w:numId="394">
    <w:abstractNumId w:val="6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2026-09-10T04:14:16Z</dcterms:created>
  <dc:creator/>
  <dc:description/>
  <dc:language>en-US</dc:language>
  <cp:lastModifiedBy/>
  <dcterms:modified xsi:type="dcterms:W3CDTF">2026-09-10T04:14:16Z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