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원화파생상품거래운용지침"/>
      <w:r>
        <w:rPr/>
        <w:t>원화파생상품거래운용지침</w:t>
      </w:r>
    </w:p>
    <w:p>
      <w:pPr>
        <w:pStyle w:val="FirstParagraph"/>
        <w:rPr/>
      </w:pPr>
      <w:r>
        <w:rPr/>
        <w:t xml:space="preserve">제정 </w:t>
      </w:r>
      <w:r>
        <w:rPr/>
        <w:t>2000-04-24</w:t>
      </w:r>
    </w:p>
    <w:p>
      <w:pPr>
        <w:pStyle w:val="BodyText"/>
        <w:rPr/>
      </w:pPr>
      <w:r>
        <w:rPr/>
        <w:t xml:space="preserve">개정 </w:t>
      </w:r>
      <w:r>
        <w:rPr/>
        <w:t>2003-02-21</w:t>
      </w:r>
    </w:p>
    <w:p>
      <w:pPr>
        <w:pStyle w:val="BodyText"/>
        <w:rPr/>
      </w:pPr>
      <w:r>
        <w:rPr/>
        <w:t xml:space="preserve">개정 </w:t>
      </w:r>
      <w:r>
        <w:rPr/>
        <w:t>2004-07-01</w:t>
      </w:r>
    </w:p>
    <w:p>
      <w:pPr>
        <w:pStyle w:val="BodyText"/>
        <w:rPr/>
      </w:pPr>
      <w:r>
        <w:rPr/>
        <w:t xml:space="preserve">개정 </w:t>
      </w:r>
      <w:r>
        <w:rPr/>
        <w:t>2005-08-22</w:t>
      </w:r>
    </w:p>
    <w:p>
      <w:pPr>
        <w:pStyle w:val="BodyText"/>
        <w:rPr/>
      </w:pPr>
      <w:r>
        <w:rPr/>
        <w:t xml:space="preserve">개정 </w:t>
      </w:r>
      <w:r>
        <w:rPr/>
        <w:t>2005-11-15</w:t>
      </w:r>
    </w:p>
    <w:p>
      <w:pPr>
        <w:pStyle w:val="BodyText"/>
        <w:rPr/>
      </w:pPr>
      <w:r>
        <w:rPr/>
        <w:t xml:space="preserve">개정 </w:t>
      </w:r>
      <w:r>
        <w:rPr/>
        <w:t>2007-02-22</w:t>
      </w:r>
    </w:p>
    <w:p>
      <w:pPr>
        <w:pStyle w:val="BodyText"/>
        <w:rPr/>
      </w:pPr>
      <w:r>
        <w:rPr/>
        <w:t xml:space="preserve">개정 </w:t>
      </w:r>
      <w:r>
        <w:rPr/>
        <w:t>2008-01-24</w:t>
      </w:r>
    </w:p>
    <w:p>
      <w:pPr>
        <w:pStyle w:val="BodyText"/>
        <w:rPr/>
      </w:pPr>
      <w:r>
        <w:rPr/>
        <w:t xml:space="preserve">개정 </w:t>
      </w:r>
      <w:r>
        <w:rPr/>
        <w:t>2008-02-29</w:t>
      </w:r>
    </w:p>
    <w:p>
      <w:pPr>
        <w:pStyle w:val="BodyText"/>
        <w:rPr/>
      </w:pPr>
      <w:r>
        <w:rPr/>
        <w:t xml:space="preserve">개정 </w:t>
      </w:r>
      <w:r>
        <w:rPr/>
        <w:t>2008-11-06</w:t>
      </w:r>
    </w:p>
    <w:p>
      <w:pPr>
        <w:pStyle w:val="BodyText"/>
        <w:rPr/>
      </w:pPr>
      <w:r>
        <w:rPr/>
        <w:t xml:space="preserve">개정 </w:t>
      </w:r>
      <w:r>
        <w:rPr/>
        <w:t>2013-04-12</w:t>
      </w:r>
    </w:p>
    <w:p>
      <w:pPr>
        <w:pStyle w:val="BodyText"/>
        <w:rPr/>
      </w:pPr>
      <w:r>
        <w:rPr/>
        <w:t xml:space="preserve">개정 </w:t>
      </w:r>
      <w:r>
        <w:rPr/>
        <w:t>2014-09-01</w:t>
      </w:r>
    </w:p>
    <w:p>
      <w:pPr>
        <w:pStyle w:val="BodyText"/>
        <w:rPr/>
      </w:pPr>
      <w:r>
        <w:rPr/>
        <w:t xml:space="preserve">개정 </w:t>
      </w:r>
      <w:r>
        <w:rPr/>
        <w:t>2016-12-27</w:t>
      </w:r>
    </w:p>
    <w:p>
      <w:pPr>
        <w:pStyle w:val="BodyText"/>
        <w:rPr/>
      </w:pPr>
      <w:r>
        <w:rPr/>
        <w:t xml:space="preserve">개정 </w:t>
      </w:r>
      <w:r>
        <w:rPr/>
        <w:t>2023-11-28</w:t>
      </w:r>
    </w:p>
    <w:p>
      <w:pPr>
        <w:pStyle w:val="BodyText"/>
        <w:rPr/>
      </w:pPr>
      <w:r>
        <w:rPr/>
        <w:t xml:space="preserve">개정 </w:t>
      </w:r>
      <w:r>
        <w:rPr/>
        <w:t>2024-07-01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18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원화파생상품</w:t>
      </w:r>
      <w:r>
        <w:rPr/>
        <w:t>(</w:t>
      </w:r>
      <w:r>
        <w:rPr/>
        <w:t>장내 및 장외</w:t>
      </w:r>
      <w:r>
        <w:rPr/>
        <w:t>)</w:t>
      </w:r>
      <w:r>
        <w:rPr/>
        <w:t>을 효율적으로 운용하는데 필요한 사항을 정하여 체계적인 위험관리와 안정적인 수익확보를 도모함을 목적으로 한다</w:t>
      </w:r>
      <w:r>
        <w:rPr/>
        <w:t>.</w:t>
      </w:r>
    </w:p>
    <w:p>
      <w:pPr>
        <w:pStyle w:val="Compact"/>
        <w:numPr>
          <w:ilvl w:val="0"/>
          <w:numId w:val="19"/>
        </w:numPr>
        <w:rPr/>
      </w:pPr>
      <w:r>
        <w:rPr/>
        <w:t>적용범위</w:t>
      </w:r>
    </w:p>
    <w:p>
      <w:pPr>
        <w:pStyle w:val="FirstParagraph"/>
        <w:rPr/>
      </w:pPr>
      <w:r>
        <w:rPr/>
        <w:t>원화파생상품 거래업무는 이 지침에서 정한 바에 따라 처리하여야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이 지침에서 정하지 않은 사항은 외화거래업무지침</w:t>
      </w:r>
      <w:r>
        <w:rPr/>
        <w:t xml:space="preserve">, </w:t>
      </w:r>
      <w:r>
        <w:rPr/>
        <w:t>유가증권업무지침</w:t>
      </w:r>
      <w:r>
        <w:rPr/>
        <w:t xml:space="preserve">, </w:t>
      </w:r>
      <w:r>
        <w:rPr/>
        <w:t>신탁자산운용및리스크관리업무지침</w:t>
      </w:r>
      <w:r>
        <w:rPr/>
        <w:t>, Middle·Back Office</w:t>
      </w:r>
      <w:r>
        <w:rPr/>
        <w:t>업무지침</w:t>
      </w:r>
      <w:r>
        <w:rPr/>
        <w:t xml:space="preserve">, </w:t>
      </w:r>
      <w:r>
        <w:rPr/>
        <w:t>기타 관계법령 등에 따른다</w:t>
      </w:r>
      <w:r>
        <w:rPr/>
        <w:t>. &lt;</w:t>
      </w:r>
      <w:r>
        <w:rPr/>
        <w:t xml:space="preserve">개정 </w:t>
      </w:r>
      <w:r>
        <w:rPr/>
        <w:t>2008.11.6.&gt;</w:t>
      </w:r>
    </w:p>
    <w:p>
      <w:pPr>
        <w:pStyle w:val="Compact"/>
        <w:numPr>
          <w:ilvl w:val="0"/>
          <w:numId w:val="20"/>
        </w:numPr>
        <w:rPr/>
      </w:pPr>
      <w:r>
        <w:rPr/>
        <w:t>거래의 구분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원화파생상품의 거래는 거래목적에 따라 헷지거래 및 트레이딩거래로 구분한다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헷지거래는 거래의 목적</w:t>
      </w:r>
      <w:r>
        <w:rPr/>
        <w:t xml:space="preserve">, </w:t>
      </w:r>
      <w:r>
        <w:rPr/>
        <w:t>거래실행방법</w:t>
      </w:r>
      <w:r>
        <w:rPr/>
        <w:t xml:space="preserve">, </w:t>
      </w:r>
      <w:r>
        <w:rPr/>
        <w:t>청산시기 등 거래관련 내용을 구체적으로 명시하여 전결권자별 사전승인을 얻어야 한다</w:t>
      </w:r>
      <w:r>
        <w:rPr/>
        <w:t>.</w:t>
      </w:r>
    </w:p>
    <w:p>
      <w:pPr>
        <w:pStyle w:val="Compact"/>
        <w:numPr>
          <w:ilvl w:val="0"/>
          <w:numId w:val="21"/>
        </w:numPr>
        <w:rPr/>
      </w:pPr>
      <w:r>
        <w:rPr/>
        <w:t>업무의 구분</w:t>
      </w:r>
    </w:p>
    <w:p>
      <w:pPr>
        <w:pStyle w:val="FirstParagraph"/>
        <w:rPr/>
      </w:pPr>
      <w:r>
        <w:rPr/>
        <w:t xml:space="preserve">원화파생상품 업무는 </w:t>
      </w:r>
      <w:r>
        <w:rPr/>
        <w:t>Front office, Middle office</w:t>
      </w:r>
      <w:r>
        <w:rPr/>
        <w:t xml:space="preserve">업무 및 </w:t>
      </w:r>
      <w:r>
        <w:rPr/>
        <w:t xml:space="preserve">Back office </w:t>
      </w:r>
      <w:r>
        <w:rPr/>
        <w:t>업무를 구분하여 운용하여야 하며</w:t>
      </w:r>
      <w:r>
        <w:rPr/>
        <w:t xml:space="preserve">,Front office </w:t>
      </w:r>
      <w:r>
        <w:rPr/>
        <w:t xml:space="preserve">업무담당자는 </w:t>
      </w:r>
      <w:r>
        <w:rPr/>
        <w:t xml:space="preserve">Middle office </w:t>
      </w:r>
      <w:r>
        <w:rPr/>
        <w:t xml:space="preserve">업무 또는 </w:t>
      </w:r>
      <w:r>
        <w:rPr/>
        <w:t xml:space="preserve">Back office </w:t>
      </w:r>
      <w:r>
        <w:rPr/>
        <w:t>업무를 겸임할 수 없다</w:t>
      </w:r>
      <w:r>
        <w:rPr/>
        <w:t>.</w:t>
      </w:r>
    </w:p>
    <w:p>
      <w:pPr>
        <w:pStyle w:val="Compact"/>
        <w:numPr>
          <w:ilvl w:val="0"/>
          <w:numId w:val="22"/>
        </w:numPr>
        <w:rPr/>
      </w:pPr>
      <w:r>
        <w:rPr/>
        <w:t>원화파생상품 투자대상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원화파생상품거래 투자대상은 주가지수선물</w:t>
      </w:r>
      <w:r>
        <w:rPr/>
        <w:t>·</w:t>
      </w:r>
      <w:r>
        <w:rPr/>
        <w:t>옵션</w:t>
      </w:r>
      <w:r>
        <w:rPr/>
        <w:t xml:space="preserve">, </w:t>
      </w:r>
      <w:r>
        <w:rPr/>
        <w:t>금리선물</w:t>
      </w:r>
      <w:r>
        <w:rPr/>
        <w:t xml:space="preserve">, </w:t>
      </w:r>
      <w:r>
        <w:rPr/>
        <w:t>금리스왑 등 장내파생상품 및 장외파생상품으로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장외파생상품거래와 옵션매도거래는 거래건별 전결권자의 사전승인을 얻어야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비정형거래는 위험관리위원회의 사전승인을 얻어야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당행 혹은 대고객 헷지목적의 거래는 위험관리위원회의 승인을 생략 할 수 있다</w:t>
      </w:r>
      <w:r>
        <w:rPr/>
        <w:t>.</w:t>
      </w:r>
    </w:p>
    <w:p>
      <w:pPr>
        <w:pStyle w:val="Compact"/>
        <w:numPr>
          <w:ilvl w:val="0"/>
          <w:numId w:val="23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헷지</w:t>
      </w:r>
      <w:r>
        <w:rPr/>
        <w:t>(Hedge)</w:t>
      </w:r>
      <w:r>
        <w:rPr/>
        <w:t>거래라 함은 기초자산</w:t>
      </w:r>
      <w:r>
        <w:rPr/>
        <w:t>(</w:t>
      </w:r>
      <w:r>
        <w:rPr/>
        <w:t>합성기초자산 포함</w:t>
      </w:r>
      <w:r>
        <w:rPr/>
        <w:t>)</w:t>
      </w:r>
      <w:r>
        <w:rPr/>
        <w:t>의 가격변동에 따른 위험을 회피하기 위한 거래를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트레이딩</w:t>
      </w:r>
      <w:r>
        <w:rPr/>
        <w:t>(Trading)</w:t>
      </w:r>
      <w:r>
        <w:rPr/>
        <w:t>거래라 함은 거래목적이 헷지거래에 해당되지 않는 모든 거래를 말한다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차익거래</w:t>
      </w:r>
      <w:r>
        <w:rPr/>
        <w:t>(Arbitrage)</w:t>
      </w:r>
      <w:r>
        <w:rPr/>
        <w:t>라 함은 현물과 선물</w:t>
      </w:r>
      <w:r>
        <w:rPr/>
        <w:t>(</w:t>
      </w:r>
      <w:r>
        <w:rPr/>
        <w:t>또는 옵션</w:t>
      </w:r>
      <w:r>
        <w:rPr/>
        <w:t xml:space="preserve">), </w:t>
      </w:r>
      <w:r>
        <w:rPr/>
        <w:t>또는 선물과 옵션간의 가격불균형을 이용하여 무위험 이익을 추구하는 거래를 말하며 트레이딩거래로 분류한다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미결제약정이라 함은 신규거래가 체결된 후 반대매매가 완료되지 아니한 약정을 말한다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반대매매라 함은 미결제약정 중 매입미결제약정에 대하여는 매도</w:t>
      </w:r>
      <w:r>
        <w:rPr/>
        <w:t xml:space="preserve">, </w:t>
      </w:r>
      <w:r>
        <w:rPr/>
        <w:t>매도미결제 약정에 대하여는 매입의 방법으로 미결제약정의 일부 또는 전부를 소멸시키는 것을 말한다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금리선물이라 함은 한국선물거래소에 상장되어 있는 금리선물을 말한다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이자율 스왑</w:t>
      </w:r>
      <w:r>
        <w:rPr/>
        <w:t>(Interest Rate SWAP)</w:t>
      </w:r>
      <w:r>
        <w:rPr/>
        <w:t>이라 함은 일정기간 동안 변동금리와 고정금리를 서로 교환하는 거래를 말한다</w:t>
      </w:r>
      <w:r>
        <w:rPr/>
        <w:t>.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장외파생상품거래는 거래소를 통하지 않고 거래당사자간의 계약에 의해 거래되는 파생상품거래를 말한다</w:t>
      </w:r>
      <w:r>
        <w:rPr/>
        <w:t>. &lt;</w:t>
      </w:r>
      <w:r>
        <w:rPr/>
        <w:t xml:space="preserve">개정 </w:t>
      </w:r>
      <w:r>
        <w:rPr/>
        <w:t>2005.8.22.&gt;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비정형거래는 정형화된 거래와 다르게 파생상품거래를 합성하거나 거래조건을 변형시킨 거래로 「은행업감독업무시행세칙」별책서식</w:t>
      </w:r>
      <w:r>
        <w:rPr/>
        <w:t>(</w:t>
      </w:r>
      <w:r>
        <w:rPr/>
        <w:t>업무보고서</w:t>
      </w:r>
      <w:r>
        <w:rPr/>
        <w:t>) “</w:t>
      </w:r>
      <w:r>
        <w:rPr/>
        <w:t>파생상품거래현황”보고서 양식에서 규정한 거래를 말한다</w:t>
      </w:r>
      <w:r>
        <w:rPr/>
        <w:t>.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순포지션은 매입포지션과 매도포지션의 차를 말한다</w:t>
      </w:r>
      <w:r>
        <w:rPr/>
        <w:t>. &lt;</w:t>
      </w:r>
      <w:r>
        <w:rPr/>
        <w:t xml:space="preserve">개정 </w:t>
      </w:r>
      <w:r>
        <w:rPr/>
        <w:t>2005.8.22.&gt;</w:t>
      </w:r>
      <w:bookmarkEnd w:id="1"/>
    </w:p>
    <w:p>
      <w:pPr>
        <w:pStyle w:val="Heading2"/>
        <w:rPr/>
      </w:pPr>
      <w:bookmarkStart w:id="2" w:name="제2장-투자한도-및-손실한도-관리"/>
      <w:r>
        <w:rPr/>
        <w:t>제</w:t>
      </w:r>
      <w:r>
        <w:rPr/>
        <w:t>2</w:t>
      </w:r>
      <w:r>
        <w:rPr/>
        <w:t>장 투자한도 및 손실한도 관리</w:t>
      </w:r>
    </w:p>
    <w:p>
      <w:pPr>
        <w:pStyle w:val="Compact"/>
        <w:numPr>
          <w:ilvl w:val="0"/>
          <w:numId w:val="24"/>
        </w:numPr>
        <w:rPr/>
      </w:pPr>
      <w:r>
        <w:rPr/>
        <w:t>투자한도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원화파생상품거래</w:t>
      </w:r>
      <w:r>
        <w:rPr/>
        <w:t>(</w:t>
      </w:r>
      <w:r>
        <w:rPr/>
        <w:t>장내 및 장외</w:t>
      </w:r>
      <w:r>
        <w:rPr/>
        <w:t xml:space="preserve">) </w:t>
      </w:r>
      <w:r>
        <w:rPr/>
        <w:t>투자한도는 명목금액</w:t>
      </w:r>
      <w:r>
        <w:rPr/>
        <w:t>(Notional Amount)</w:t>
      </w:r>
      <w:r>
        <w:rPr/>
        <w:t>을 기준으로 적용하며 위험관리위원회에서 정한 금액을 준수하여야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헷지거래 투자한도는 딜러별</w:t>
      </w:r>
      <w:r>
        <w:rPr/>
        <w:t>(</w:t>
      </w:r>
      <w:r>
        <w:rPr/>
        <w:t>신탁은 펀드별</w:t>
      </w:r>
      <w:r>
        <w:rPr/>
        <w:t>)</w:t>
      </w:r>
      <w:r>
        <w:rPr/>
        <w:t xml:space="preserve">로 위험회피대상 금액의 </w:t>
      </w:r>
      <w:r>
        <w:rPr/>
        <w:t xml:space="preserve">100% </w:t>
      </w:r>
      <w:r>
        <w:rPr/>
        <w:t>이내로 한다</w:t>
      </w:r>
      <w:r>
        <w:rPr/>
        <w:t>.</w:t>
      </w:r>
    </w:p>
    <w:p>
      <w:pPr>
        <w:pStyle w:val="BodyText"/>
        <w:rPr/>
      </w:pPr>
      <w:r>
        <w:rPr/>
        <w:t>단</w:t>
      </w:r>
      <w:r>
        <w:rPr/>
        <w:t xml:space="preserve">, </w:t>
      </w:r>
      <w:r>
        <w:rPr/>
        <w:t>딜러별 위험회피대상 금액은 딜러별 투자금액과 동일하다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트레이딩거래의 투자한도는 위험관리위원회에서 정한 금액 이내로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딜러별 투자한도는 위험관리위원회에서 정한 상품별 투자한도 이내에서 </w:t>
      </w:r>
      <w:r>
        <w:rPr/>
        <w:t xml:space="preserve">Front Office </w:t>
      </w:r>
      <w:r>
        <w:rPr/>
        <w:t>업무담당부서장이 정한다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>. Front Office</w:t>
      </w:r>
      <w:r>
        <w:rPr/>
        <w:t>업무 담당부서는 딜러의 신규지정</w:t>
      </w:r>
      <w:r>
        <w:rPr/>
        <w:t xml:space="preserve">, </w:t>
      </w:r>
      <w:r>
        <w:rPr/>
        <w:t xml:space="preserve">변경에 따른 한도설정 및 변경시 그 내역을 </w:t>
      </w:r>
      <w:r>
        <w:rPr/>
        <w:t>Middle·Back Office</w:t>
      </w:r>
      <w:r>
        <w:rPr/>
        <w:t>업무 담당부서 및 리스크관리 부서에 통보하여야 한다</w:t>
      </w:r>
      <w:r>
        <w:rPr/>
        <w:t>. &lt;</w:t>
      </w:r>
      <w:r>
        <w:rPr/>
        <w:t xml:space="preserve">신설 </w:t>
      </w:r>
      <w:r>
        <w:rPr/>
        <w:t>2008.11.6.&gt;</w:t>
      </w:r>
    </w:p>
    <w:p>
      <w:pPr>
        <w:pStyle w:val="Compact"/>
        <w:numPr>
          <w:ilvl w:val="0"/>
          <w:numId w:val="25"/>
        </w:numPr>
        <w:rPr/>
      </w:pPr>
      <w:r>
        <w:rPr/>
        <w:t>투자한도의 관리</w:t>
      </w:r>
    </w:p>
    <w:p>
      <w:pPr>
        <w:pStyle w:val="FirstParagraph"/>
        <w:rPr/>
      </w:pPr>
      <w:r>
        <w:rPr/>
        <w:t>원화파생상품거래</w:t>
      </w:r>
      <w:r>
        <w:rPr/>
        <w:t>(</w:t>
      </w:r>
      <w:r>
        <w:rPr/>
        <w:t>장내 및 장외</w:t>
      </w:r>
      <w:r>
        <w:rPr/>
        <w:t xml:space="preserve">) </w:t>
      </w:r>
      <w:r>
        <w:rPr/>
        <w:t>투자한도의 관리는 위험관리위원회에서 정한 바에 따른다</w:t>
      </w:r>
      <w:r>
        <w:rPr/>
        <w:t>.</w:t>
      </w:r>
    </w:p>
    <w:p>
      <w:pPr>
        <w:pStyle w:val="Compact"/>
        <w:numPr>
          <w:ilvl w:val="0"/>
          <w:numId w:val="26"/>
        </w:numPr>
        <w:rPr/>
      </w:pPr>
      <w:r>
        <w:rPr/>
        <w:t>손실한도 및 손절매 한도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원화파생상품거래</w:t>
      </w:r>
      <w:r>
        <w:rPr/>
        <w:t>(</w:t>
      </w:r>
      <w:r>
        <w:rPr/>
        <w:t>장내 및 장외</w:t>
      </w:r>
      <w:r>
        <w:rPr/>
        <w:t xml:space="preserve">) </w:t>
      </w:r>
      <w:r>
        <w:rPr/>
        <w:t>손실한도는 위험관리위원회에서 정한 금액을 준수하여야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헷지거래의 기간별</w:t>
      </w:r>
      <w:r>
        <w:rPr/>
        <w:t xml:space="preserve">, </w:t>
      </w:r>
      <w:r>
        <w:rPr/>
        <w:t>종목별</w:t>
      </w:r>
      <w:r>
        <w:rPr/>
        <w:t xml:space="preserve">, </w:t>
      </w:r>
      <w:r>
        <w:rPr/>
        <w:t>손절매 한도는 별도로 정하지 아니한다</w:t>
      </w:r>
      <w:r>
        <w:rPr/>
        <w:t>. &lt;</w:t>
      </w:r>
      <w:r>
        <w:rPr/>
        <w:t xml:space="preserve">개정 </w:t>
      </w:r>
      <w:r>
        <w:rPr/>
        <w:t>2008.11.6.&gt;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딜러별 손실한도는 위험관리위원회에서 정한 금액 이내에서 </w:t>
      </w:r>
      <w:r>
        <w:rPr/>
        <w:t xml:space="preserve">Front Office </w:t>
      </w:r>
      <w:r>
        <w:rPr/>
        <w:t>업무 담당부서장이 월간</w:t>
      </w:r>
      <w:r>
        <w:rPr/>
        <w:t>·</w:t>
      </w:r>
      <w:r>
        <w:rPr/>
        <w:t>년간 손실한도를 정하며</w:t>
      </w:r>
      <w:r>
        <w:rPr/>
        <w:t xml:space="preserve">, </w:t>
      </w:r>
      <w:r>
        <w:rPr/>
        <w:t xml:space="preserve">한도 설정 또는 변경하는 경우 </w:t>
      </w:r>
      <w:r>
        <w:rPr/>
        <w:t>Middle·Back Office</w:t>
      </w:r>
      <w:r>
        <w:rPr/>
        <w:t>업무 담당부서 및 리스크관리 부서에 그 내역을 통보한다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상품별 트레이딩거래의 기간별 손절매한도는 주가지수선물</w:t>
      </w:r>
      <w:r>
        <w:rPr/>
        <w:t xml:space="preserve">, </w:t>
      </w:r>
      <w:r>
        <w:rPr/>
        <w:t>주가지수옵션</w:t>
      </w:r>
      <w:r>
        <w:rPr/>
        <w:t xml:space="preserve">, </w:t>
      </w:r>
      <w:r>
        <w:rPr/>
        <w:t>금리선물</w:t>
      </w:r>
      <w:r>
        <w:rPr/>
        <w:t xml:space="preserve">, </w:t>
      </w:r>
      <w:r>
        <w:rPr/>
        <w:t>금리스왑 상품별로 다음과 같다</w:t>
      </w:r>
      <w:r>
        <w:rPr/>
        <w:t>. &lt;</w:t>
      </w:r>
      <w:r>
        <w:rPr/>
        <w:t xml:space="preserve">개정 </w:t>
      </w:r>
      <w:r>
        <w:rPr/>
        <w:t>2008.2.29.&gt;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월간 손절매한도는 </w:t>
      </w:r>
      <w:r>
        <w:rPr/>
        <w:t xml:space="preserve">Front Office </w:t>
      </w:r>
      <w:r>
        <w:rPr/>
        <w:t>업무담당부서장이 정한 딜러별 월간 손실한도로 한다</w:t>
      </w:r>
      <w:r>
        <w:rPr/>
        <w:t>. &lt;</w:t>
      </w:r>
      <w:r>
        <w:rPr/>
        <w:t xml:space="preserve">개정 </w:t>
      </w:r>
      <w:r>
        <w:rPr/>
        <w:t>2007.2.22.&gt;</w:t>
      </w:r>
    </w:p>
    <w:p>
      <w:pPr>
        <w:pStyle w:val="Normal"/>
        <w:numPr>
          <w:ilvl w:val="0"/>
          <w:numId w:val="10"/>
        </w:numPr>
        <w:rPr/>
      </w:pPr>
      <w:r>
        <w:rPr/>
        <w:t>주가지수선물 및 주가지수옵션을 합동 운용할 경우 동일상품별 손절매한도를 적용한다</w:t>
      </w:r>
      <w:r>
        <w:rPr/>
        <w:t>.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>파생상품의 복합거래</w:t>
      </w:r>
      <w:r>
        <w:rPr/>
        <w:t>(</w:t>
      </w:r>
      <w:r>
        <w:rPr/>
        <w:t>스프레드거래</w:t>
      </w:r>
      <w:r>
        <w:rPr/>
        <w:t xml:space="preserve">, </w:t>
      </w:r>
      <w:r>
        <w:rPr/>
        <w:t>차익거래</w:t>
      </w:r>
      <w:r>
        <w:rPr/>
        <w:t xml:space="preserve">, </w:t>
      </w:r>
      <w:r>
        <w:rPr/>
        <w:t>합성포지션</w:t>
      </w:r>
      <w:r>
        <w:rPr/>
        <w:t xml:space="preserve">), </w:t>
      </w:r>
      <w:r>
        <w:rPr/>
        <w:t>현물과 연계된 파생상품거래 등은 “라”의 손절매 대상에서 제외한다</w:t>
      </w:r>
      <w:r>
        <w:rPr/>
        <w:t>. &lt;</w:t>
      </w:r>
      <w:r>
        <w:rPr/>
        <w:t xml:space="preserve">개정 </w:t>
      </w:r>
      <w:r>
        <w:rPr/>
        <w:t>2008.2.29.&gt;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 xml:space="preserve">손실한도 초과시 </w:t>
      </w:r>
      <w:r>
        <w:rPr/>
        <w:t>Front Office</w:t>
      </w:r>
      <w:r>
        <w:rPr/>
        <w:t>업무 담당부서장은 한도초과 포지션에 대해 반대매매를 지시하고 신규포지션 설정을 위한 거래를 중단시키는 등 적절한 조치를 취하여야 한다</w:t>
      </w:r>
      <w:r>
        <w:rPr/>
        <w:t>. &lt;</w:t>
      </w:r>
      <w:r>
        <w:rPr/>
        <w:t xml:space="preserve">개정 </w:t>
      </w:r>
      <w:r>
        <w:rPr/>
        <w:t>2007.2.22.&gt;</w:t>
      </w:r>
    </w:p>
    <w:p>
      <w:pPr>
        <w:pStyle w:val="Compact"/>
        <w:numPr>
          <w:ilvl w:val="0"/>
          <w:numId w:val="28"/>
        </w:numPr>
        <w:rPr/>
      </w:pPr>
      <w:r>
        <w:rPr/>
        <w:t>손절매 한도관리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트레이딩거래의 손절매 한도는 장중 또는 장종료후 매영업일 실현손익 및 평가손익을 가감한 순액기준으로 산출하여 딜러별</w:t>
      </w:r>
      <w:r>
        <w:rPr/>
        <w:t xml:space="preserve">, </w:t>
      </w:r>
      <w:r>
        <w:rPr/>
        <w:t>상품별</w:t>
      </w:r>
      <w:r>
        <w:rPr/>
        <w:t xml:space="preserve">, </w:t>
      </w:r>
      <w:r>
        <w:rPr/>
        <w:t>기간별로 구분</w:t>
      </w:r>
      <w:r>
        <w:rPr/>
        <w:t>·</w:t>
      </w:r>
      <w:r>
        <w:rPr/>
        <w:t>관리한다</w:t>
      </w:r>
      <w:r>
        <w:rPr/>
        <w:t>. &lt;</w:t>
      </w:r>
      <w:r>
        <w:rPr/>
        <w:t xml:space="preserve">개정 </w:t>
      </w:r>
      <w:r>
        <w:rPr/>
        <w:t>2005.8.22.&gt;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 “가”에서 정한 평가손익이란 매입옵션의 경우에는 지급프리미엄 대비 시가의 하락 또는 상승분을</w:t>
      </w:r>
      <w:r>
        <w:rPr/>
        <w:t xml:space="preserve">, </w:t>
      </w:r>
      <w:r>
        <w:rPr/>
        <w:t>매도옵션의 경우에는 수입프리미엄 대비 시가의 상승 또는 하락분을 말한다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헷지거래 및 차익거래의 손익은 현물</w:t>
      </w:r>
      <w:r>
        <w:rPr/>
        <w:t>·</w:t>
      </w:r>
      <w:r>
        <w:rPr/>
        <w:t>선물</w:t>
      </w:r>
      <w:r>
        <w:rPr/>
        <w:t>(</w:t>
      </w:r>
      <w:r>
        <w:rPr/>
        <w:t>또는 옵션</w:t>
      </w:r>
      <w:r>
        <w:rPr/>
        <w:t xml:space="preserve">), </w:t>
      </w:r>
      <w:r>
        <w:rPr/>
        <w:t>선물</w:t>
      </w:r>
      <w:r>
        <w:rPr/>
        <w:t>·</w:t>
      </w:r>
      <w:r>
        <w:rPr/>
        <w:t>옵션의 총포지션 기준으로 청산시점까지 영업시간 종료 후 매영업일별로 산출</w:t>
      </w:r>
      <w:r>
        <w:rPr/>
        <w:t>·</w:t>
      </w:r>
      <w:r>
        <w:rPr/>
        <w:t>관리하여야 한다</w:t>
      </w:r>
      <w:r>
        <w:rPr/>
        <w:t>.</w:t>
      </w:r>
    </w:p>
    <w:p>
      <w:pPr>
        <w:pStyle w:val="Compact"/>
        <w:numPr>
          <w:ilvl w:val="0"/>
          <w:numId w:val="29"/>
        </w:numPr>
        <w:rPr/>
      </w:pPr>
      <w:r>
        <w:rPr/>
        <w:t>한도초과시 조치사항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투자한도 초과시 </w:t>
      </w:r>
      <w:r>
        <w:rPr/>
        <w:t>Front Office</w:t>
      </w:r>
      <w:r>
        <w:rPr/>
        <w:t>업무 담당부서장은 한도초과 포지션에 대해 반대매매를 지시하는 등 적절한 조치를 취하여야 한다</w:t>
      </w:r>
      <w:r>
        <w:rPr/>
        <w:t>. &lt;</w:t>
      </w:r>
      <w:r>
        <w:rPr/>
        <w:t xml:space="preserve">개정 </w:t>
      </w:r>
      <w:r>
        <w:rPr/>
        <w:t>2007.2.22.&gt;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 “</w:t>
      </w:r>
      <w:r>
        <w:rPr/>
        <w:t>1”</w:t>
      </w:r>
      <w:r>
        <w:rPr/>
        <w:t>에서 “</w:t>
      </w:r>
      <w:r>
        <w:rPr/>
        <w:t>3”</w:t>
      </w:r>
      <w:r>
        <w:rPr/>
        <w:t>까지 정한 한도를 초과한 경우 담당딜러는 초과분에 해당하는 미결제약정을 반대매매 등을 통하여 즉시 한도 이내가 되도록 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유동성 부족 등의 사유로 즉시 반대매매가 곤란한 경우에는 다음 영업일 장종료시까지 한도 이내가 되도록 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위 “나”의 다음 영업일 장종료시까지 한도초과가 해소되지 않을 경우 </w:t>
      </w:r>
      <w:r>
        <w:rPr/>
        <w:t xml:space="preserve">Front Office </w:t>
      </w:r>
      <w:r>
        <w:rPr/>
        <w:t>업무담당부서장은 한도초과 딜러의 신규거래를 일체 중지하고</w:t>
      </w:r>
      <w:r>
        <w:rPr/>
        <w:t xml:space="preserve">, </w:t>
      </w:r>
      <w:r>
        <w:rPr/>
        <w:t>관련내용을 담당그룹장에게 보고하여야 한다</w:t>
      </w:r>
      <w:r>
        <w:rPr/>
        <w:t xml:space="preserve">. </w:t>
      </w:r>
      <w:r>
        <w:rPr/>
        <w:t>다만</w:t>
      </w:r>
      <w:r>
        <w:rPr/>
        <w:t xml:space="preserve">, “3 - </w:t>
      </w:r>
      <w:r>
        <w:rPr/>
        <w:t>라”의 기간별 손절매 한도를 초과한 경우 다음 영업일 장종료까지 반대매매하면 한도초과가 해소된 것으로 본다</w:t>
      </w:r>
      <w:r>
        <w:rPr/>
        <w:t>. &lt;</w:t>
      </w:r>
      <w:r>
        <w:rPr/>
        <w:t xml:space="preserve">개정 </w:t>
      </w:r>
      <w:r>
        <w:rPr/>
        <w:t>2007.2.22.&gt;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딜러의 거래재개는 </w:t>
      </w:r>
      <w:r>
        <w:rPr/>
        <w:t xml:space="preserve">Front Office </w:t>
      </w:r>
      <w:r>
        <w:rPr/>
        <w:t>업무담당부서장의 승인을 얻은 후 실행한다</w:t>
      </w:r>
      <w:r>
        <w:rPr/>
        <w:t>. &lt;</w:t>
      </w:r>
      <w:r>
        <w:rPr/>
        <w:t xml:space="preserve">개정 </w:t>
      </w:r>
      <w:r>
        <w:rPr/>
        <w:t>2007.2.22.&gt;</w:t>
      </w:r>
      <w:bookmarkEnd w:id="2"/>
    </w:p>
    <w:p>
      <w:pPr>
        <w:pStyle w:val="Heading2"/>
        <w:rPr/>
      </w:pPr>
      <w:bookmarkStart w:id="3" w:name="제3장-기타업무"/>
      <w:r>
        <w:rPr/>
        <w:t>제</w:t>
      </w:r>
      <w:r>
        <w:rPr/>
        <w:t>3</w:t>
      </w:r>
      <w:r>
        <w:rPr/>
        <w:t>장 기타업무</w:t>
      </w:r>
    </w:p>
    <w:p>
      <w:pPr>
        <w:pStyle w:val="Compact"/>
        <w:numPr>
          <w:ilvl w:val="0"/>
          <w:numId w:val="30"/>
        </w:numPr>
        <w:rPr/>
      </w:pPr>
      <w:r>
        <w:rPr/>
        <w:t>보고</w:t>
      </w:r>
    </w:p>
    <w:p>
      <w:pPr>
        <w:pStyle w:val="FirstParagraph"/>
        <w:rPr/>
      </w:pPr>
      <w:r>
        <w:rPr/>
        <w:t xml:space="preserve">딜러는 매영업일 영업시간 종료 후 거래내역을 </w:t>
      </w:r>
      <w:r>
        <w:rPr/>
        <w:t>Front Office</w:t>
      </w:r>
      <w:r>
        <w:rPr/>
        <w:t>업무 담당부서장에게 보고하여야 한다</w:t>
      </w:r>
      <w:r>
        <w:rPr/>
        <w:t>. &lt;</w:t>
      </w:r>
      <w:r>
        <w:rPr/>
        <w:t xml:space="preserve">개정 </w:t>
      </w:r>
      <w:r>
        <w:rPr/>
        <w:t>2007.2.22.&gt;</w:t>
      </w:r>
    </w:p>
    <w:p>
      <w:pPr>
        <w:pStyle w:val="Compact"/>
        <w:numPr>
          <w:ilvl w:val="0"/>
          <w:numId w:val="31"/>
        </w:numPr>
        <w:rPr/>
      </w:pPr>
      <w:r>
        <w:rPr/>
        <w:t>조치사항</w:t>
      </w:r>
    </w:p>
    <w:p>
      <w:pPr>
        <w:pStyle w:val="FirstParagraph"/>
        <w:rPr/>
      </w:pPr>
      <w:r>
        <w:rPr/>
        <w:t xml:space="preserve">Front Office </w:t>
      </w:r>
      <w:r>
        <w:rPr/>
        <w:t>업무담당부서장은 월별 딜러의 거래 성과를 분석 및 평가하고 딜러의 교체</w:t>
      </w:r>
      <w:r>
        <w:rPr/>
        <w:t xml:space="preserve">, </w:t>
      </w:r>
      <w:r>
        <w:rPr/>
        <w:t>투자 및 손실한도의 조정</w:t>
      </w:r>
      <w:r>
        <w:rPr/>
        <w:t xml:space="preserve">, </w:t>
      </w:r>
      <w:r>
        <w:rPr/>
        <w:t>손절매 한도의 하향 등의 조치를 취할 수 있다</w:t>
      </w:r>
      <w:r>
        <w:rPr/>
        <w:t>. &lt;</w:t>
      </w:r>
      <w:r>
        <w:rPr/>
        <w:t xml:space="preserve">개정 </w:t>
      </w:r>
      <w:r>
        <w:rPr/>
        <w:t>2007.2.22.&gt;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내부통제 업무 </w:t>
      </w:r>
      <w:r>
        <w:rPr/>
        <w:t>&lt;</w:t>
      </w:r>
      <w:r>
        <w:rPr/>
        <w:t xml:space="preserve">신설 </w:t>
      </w:r>
      <w:r>
        <w:rPr/>
        <w:t>2008.11.6.&gt;</w:t>
      </w:r>
    </w:p>
    <w:p>
      <w:pPr>
        <w:pStyle w:val="FirstParagraph"/>
        <w:rPr/>
      </w:pPr>
      <w:r>
        <w:rPr/>
        <w:t>원화파생상품거래에 따른 내부통제는 ‘유가증권업무지침 제</w:t>
      </w:r>
      <w:r>
        <w:rPr/>
        <w:t>10</w:t>
      </w:r>
      <w:r>
        <w:rPr/>
        <w:t>장 내부통제’를 준용한다</w:t>
      </w:r>
      <w:r>
        <w:rPr/>
        <w:t>.</w:t>
      </w:r>
      <w:bookmarkEnd w:id="3"/>
    </w:p>
    <w:p>
      <w:pPr>
        <w:pStyle w:val="Heading2"/>
        <w:rPr/>
      </w:pPr>
      <w:bookmarkStart w:id="4" w:name="부-칙"/>
      <w:r>
        <w:rPr/>
        <w:t>부 칙</w:t>
      </w:r>
    </w:p>
    <w:p>
      <w:pPr>
        <w:pStyle w:val="Normal"/>
        <w:numPr>
          <w:ilvl w:val="0"/>
          <w:numId w:val="33"/>
        </w:numPr>
        <w:rPr/>
      </w:pPr>
      <w:r>
        <w:rPr/>
        <w:t>(</w:t>
      </w:r>
      <w:r>
        <w:rPr/>
        <w:t>시행일</w:t>
      </w:r>
      <w:r>
        <w:rPr/>
        <w:t>) 2000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24</w:t>
      </w:r>
      <w:r>
        <w:rPr/>
        <w:t>일</w:t>
      </w:r>
    </w:p>
    <w:p>
      <w:pPr>
        <w:pStyle w:val="Normal"/>
        <w:numPr>
          <w:ilvl w:val="0"/>
          <w:numId w:val="34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지침의 시행과 동시에 종전의 주가지수선물</w:t>
      </w:r>
      <w:r>
        <w:rPr/>
        <w:t>.</w:t>
      </w:r>
      <w:r>
        <w:rPr/>
        <w:t>옵션거래 운용지침은 폐지한다</w:t>
      </w:r>
      <w:r>
        <w:rPr/>
        <w:t>.</w:t>
      </w:r>
      <w:bookmarkEnd w:id="4"/>
    </w:p>
    <w:p>
      <w:pPr>
        <w:pStyle w:val="Heading2"/>
        <w:rPr/>
      </w:pPr>
      <w:bookmarkStart w:id="5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2003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5"/>
    </w:p>
    <w:p>
      <w:pPr>
        <w:pStyle w:val="Heading2"/>
        <w:rPr/>
      </w:pPr>
      <w:bookmarkStart w:id="6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6"/>
    </w:p>
    <w:p>
      <w:pPr>
        <w:pStyle w:val="Heading2"/>
        <w:rPr/>
      </w:pPr>
      <w:bookmarkStart w:id="7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2005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7"/>
    </w:p>
    <w:p>
      <w:pPr>
        <w:pStyle w:val="Heading2"/>
        <w:rPr/>
      </w:pPr>
      <w:bookmarkStart w:id="8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2005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8"/>
    </w:p>
    <w:p>
      <w:pPr>
        <w:pStyle w:val="Heading2"/>
        <w:rPr/>
      </w:pPr>
      <w:bookmarkStart w:id="9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2007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9"/>
    </w:p>
    <w:p>
      <w:pPr>
        <w:pStyle w:val="Heading2"/>
        <w:rPr/>
      </w:pPr>
      <w:bookmarkStart w:id="10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9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12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10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1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1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2023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13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1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2"/>
    <w:lvlOverride w:ilvl="0">
      <w:startOverride w:val="2"/>
    </w:lvlOverride>
  </w:num>
  <w:num w:numId="20">
    <w:abstractNumId w:val="3"/>
    <w:lvlOverride w:ilvl="0">
      <w:startOverride w:val="3"/>
    </w:lvlOverride>
  </w:num>
  <w:num w:numId="21">
    <w:abstractNumId w:val="4"/>
    <w:lvlOverride w:ilvl="0">
      <w:startOverride w:val="4"/>
    </w:lvlOverride>
  </w:num>
  <w:num w:numId="22">
    <w:abstractNumId w:val="5"/>
    <w:lvlOverride w:ilvl="0">
      <w:startOverride w:val="5"/>
    </w:lvlOverride>
  </w:num>
  <w:num w:numId="23">
    <w:abstractNumId w:val="6"/>
    <w:lvlOverride w:ilvl="0">
      <w:startOverride w:val="6"/>
    </w:lvlOverride>
  </w:num>
  <w:num w:numId="24">
    <w:abstractNumId w:val="1"/>
    <w:lvlOverride w:ilvl="0">
      <w:startOverride w:val="1"/>
    </w:lvlOverride>
  </w:num>
  <w:num w:numId="25">
    <w:abstractNumId w:val="2"/>
    <w:lvlOverride w:ilvl="0">
      <w:startOverride w:val="2"/>
    </w:lvlOverride>
  </w:num>
  <w:num w:numId="26">
    <w:abstractNumId w:val="3"/>
    <w:lvlOverride w:ilvl="0">
      <w:startOverride w:val="3"/>
    </w:lvlOverride>
  </w:num>
  <w:num w:numId="27">
    <w:abstractNumId w:val="10"/>
    <w:lvlOverride w:ilvl="0">
      <w:startOverride w:val="1"/>
    </w:lvlOverride>
  </w:num>
  <w:num w:numId="28">
    <w:abstractNumId w:val="4"/>
    <w:lvlOverride w:ilvl="0">
      <w:startOverride w:val="4"/>
    </w:lvlOverride>
  </w:num>
  <w:num w:numId="29">
    <w:abstractNumId w:val="5"/>
    <w:lvlOverride w:ilvl="0">
      <w:startOverride w:val="5"/>
    </w:lvlOverride>
  </w:num>
  <w:num w:numId="30">
    <w:abstractNumId w:val="1"/>
    <w:lvlOverride w:ilvl="0">
      <w:startOverride w:val="1"/>
    </w:lvlOverride>
  </w:num>
  <w:num w:numId="31">
    <w:abstractNumId w:val="2"/>
    <w:lvlOverride w:ilvl="0">
      <w:startOverride w:val="2"/>
    </w:lvlOverride>
  </w:num>
  <w:num w:numId="32">
    <w:abstractNumId w:val="3"/>
    <w:lvlOverride w:ilvl="0">
      <w:startOverride w:val="3"/>
    </w:lvlOverride>
  </w:num>
  <w:num w:numId="33">
    <w:abstractNumId w:val="1"/>
    <w:lvlOverride w:ilvl="0">
      <w:startOverride w:val="1"/>
    </w:lvlOverride>
  </w:num>
  <w:num w:numId="3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2026-09-10T04:14:16Z</dcterms:created>
  <dc:creator/>
  <dc:description/>
  <dc:language>en-US</dc:language>
  <cp:lastModifiedBy/>
  <dcterms:modified xsi:type="dcterms:W3CDTF">2026-09-10T04:14:16Z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