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직무전결규정-별표5-유가증권-부문-여신협의회-부의-기준표"/>
      <w:r>
        <w:rPr/>
        <w:t>직무전결규정 별표</w:t>
      </w:r>
      <w:r>
        <w:rPr/>
        <w:t>5 (</w:t>
      </w:r>
      <w:r>
        <w:rPr/>
        <w:t>유가증권 부문 여신협의회 부의 기준표</w:t>
      </w:r>
      <w:r>
        <w:rPr/>
        <w:t>)</w:t>
      </w:r>
    </w:p>
    <w:p>
      <w:pPr>
        <w:pStyle w:val="FirstParagraph"/>
        <w:rPr/>
      </w:pPr>
      <w:r>
        <w:rPr/>
        <w:t>이 기준표의 금액은 초과기준이며</w:t>
      </w:r>
      <w:r>
        <w:rPr/>
        <w:t xml:space="preserve">, </w:t>
      </w:r>
      <w:r>
        <w:rPr/>
        <w:t>기준표 이하의 금액은 그룹장 전결로 한다</w:t>
      </w:r>
      <w:r>
        <w:rPr/>
        <w:t>.</w:t>
      </w:r>
    </w:p>
    <w:p>
      <w:pPr>
        <w:pStyle w:val="Normal"/>
        <w:numPr>
          <w:ilvl w:val="0"/>
          <w:numId w:val="6"/>
        </w:numPr>
        <w:rPr/>
      </w:pPr>
      <w:r>
        <w:rPr/>
        <w:t>원화 유가증권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</w:t>
      </w:r>
      <w:r>
        <w:rPr>
          <w:rStyle w:val="VerbatimChar"/>
        </w:rPr>
        <w:t>가</w:t>
      </w:r>
      <w:r>
        <w:rPr>
          <w:rStyle w:val="VerbatimChar"/>
        </w:rPr>
        <w:t xml:space="preserve">. </w:t>
      </w:r>
      <w:r>
        <w:rPr>
          <w:rStyle w:val="VerbatimChar"/>
        </w:rPr>
        <w:t xml:space="preserve">무보증회사채                                                                            </w:t>
      </w:r>
      <w:r>
        <w:rPr>
          <w:rStyle w:val="VerbatimChar"/>
        </w:rPr>
        <w:t>(</w:t>
      </w:r>
      <w:r>
        <w:rPr>
          <w:rStyle w:val="VerbatimChar"/>
        </w:rPr>
        <w:t>단위</w:t>
      </w:r>
      <w:r>
        <w:rPr>
          <w:rStyle w:val="VerbatimChar"/>
        </w:rPr>
        <w:t>:</w:t>
      </w:r>
      <w:r>
        <w:rPr>
          <w:rStyle w:val="VerbatimChar"/>
        </w:rPr>
        <w:t>백만원</w:t>
      </w:r>
      <w:r>
        <w:rPr>
          <w:rStyle w:val="VerbatimChar"/>
        </w:rPr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 급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AAA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AA+~A+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~ A-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이하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금 액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60,000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 xml:space="preserve">무보증어음 </w:t>
      </w:r>
      <w:r>
        <w:rPr/>
        <w:t>(</w:t>
      </w:r>
      <w:r>
        <w:rPr/>
        <w:t>단위</w:t>
      </w:r>
      <w:r>
        <w:rPr/>
        <w:t xml:space="preserve">: </w:t>
      </w:r>
      <w:r>
        <w:rPr/>
        <w:t>백만원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 급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A1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A2+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A2 ~ A2-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A3+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이하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금 액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50,000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30,000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Compact"/>
        <w:numPr>
          <w:ilvl w:val="0"/>
          <w:numId w:val="7"/>
        </w:numPr>
        <w:rPr/>
      </w:pPr>
      <w:r>
        <w:rPr/>
        <w:t>신탁 유가증권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 xml:space="preserve">무보증사채 </w:t>
      </w:r>
      <w:r>
        <w:rPr/>
        <w:t>(</w:t>
      </w:r>
      <w:r>
        <w:rPr/>
        <w:t xml:space="preserve">단위 </w:t>
      </w:r>
      <w:r>
        <w:rPr/>
        <w:t xml:space="preserve">: </w:t>
      </w:r>
      <w:r>
        <w:rPr/>
        <w:t>백만원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등 급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AAA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AA+~A+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 ~ A-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이하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금 액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50,000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Normal"/>
        <w:numPr>
          <w:ilvl w:val="0"/>
          <w:numId w:val="8"/>
        </w:numPr>
        <w:rPr/>
      </w:pPr>
      <w:r>
        <w:rPr/>
        <w:t>외화유가증권</w:t>
      </w:r>
    </w:p>
    <w:p>
      <w:pPr>
        <w:pStyle w:val="Normal"/>
        <w:numPr>
          <w:ilvl w:val="0"/>
          <w:numId w:val="1"/>
        </w:numPr>
        <w:rPr/>
      </w:pPr>
      <w:r>
        <w:rPr/>
        <w:t>가</w:t>
      </w:r>
      <w:r>
        <w:rPr/>
        <w:t>.</w:t>
      </w:r>
      <w:r>
        <w:rPr/>
        <w:t xml:space="preserve">국제신용등급 </w:t>
      </w:r>
      <w:r>
        <w:rPr/>
        <w:t>(</w:t>
      </w:r>
      <w:r>
        <w:rPr/>
        <w:t xml:space="preserve">단위 </w:t>
      </w:r>
      <w:r>
        <w:rPr/>
        <w:t xml:space="preserve">: </w:t>
      </w:r>
      <w:r>
        <w:rPr/>
        <w:t>천미불</w:t>
      </w:r>
      <w:r>
        <w:rPr/>
        <w:t>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0"/>
        <w:gridCol w:w="1319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구 분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AAA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AA+~A+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A~A-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BBB+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BBB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이하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국내ㆍ외 기관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Fonts w:ascii="Cambria" w:hAnsi="Cambria" w:cs=""/>
                <w:kern w:val="0"/>
                <w:sz w:val="24"/>
                <w:szCs w:val="24"/>
                <w:lang w:val="en-US" w:eastAsia="en-US" w:bidi="ar-SA"/>
              </w:rPr>
              <w:t>기업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50,000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20,000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15,000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SourceCode"/>
        <w:spacing w:before="0" w:after="200"/>
        <w:rPr/>
      </w:pPr>
      <w:r>
        <w:rPr>
          <w:rStyle w:val="VerbatimChar"/>
        </w:rPr>
        <w:t xml:space="preserve">     </w:t>
      </w:r>
      <w:r>
        <w:rPr>
          <w:rStyle w:val="VerbatimChar"/>
        </w:rPr>
        <w:t>주</w:t>
      </w:r>
      <w:r>
        <w:rPr>
          <w:rStyle w:val="VerbatimChar"/>
        </w:rPr>
        <w:t xml:space="preserve">1) </w:t>
      </w:r>
      <w:r>
        <w:rPr>
          <w:rStyle w:val="VerbatimChar"/>
        </w:rPr>
        <w:t>구조화증권은 신용등급 및 금액상관없이 여신협의회의 승인을 받아야 한다</w:t>
      </w:r>
      <w:r>
        <w:rPr>
          <w:rStyle w:val="VerbatimChar"/>
        </w:rPr>
        <w:t>.</w:t>
      </w:r>
      <w:r>
        <w:rPr/>
        <w:br/>
        <w:br/>
      </w:r>
      <w:r>
        <w:rPr>
          <w:rStyle w:val="VerbatimChar"/>
        </w:rPr>
        <w:t xml:space="preserve">     </w:t>
      </w:r>
      <w:r>
        <w:rPr>
          <w:rStyle w:val="VerbatimChar"/>
        </w:rPr>
        <w:t>주</w:t>
      </w:r>
      <w:r>
        <w:rPr>
          <w:rStyle w:val="VerbatimChar"/>
        </w:rPr>
        <w:t xml:space="preserve">2) </w:t>
      </w:r>
      <w:r>
        <w:rPr>
          <w:rStyle w:val="VerbatimChar"/>
        </w:rPr>
        <w:t>신용등급은「자산건전성분류및대손충당금적립규정」의 외화유가증권 기준을 따른다</w:t>
      </w:r>
      <w:r>
        <w:rPr>
          <w:rStyle w:val="VerbatimChar"/>
        </w:rPr>
        <w:t>.</w:t>
      </w:r>
      <w:bookmarkEnd w:id="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2"/>
    </w:lvlOverride>
  </w:num>
  <w:num w:numId="8">
    <w:abstractNumId w:val="4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