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bookmarkStart w:id="0" w:name="트레이딩정책규정"/>
      <w:r>
        <w:rPr/>
        <w:t>트레이딩정책규정</w:t>
      </w:r>
    </w:p>
    <w:p>
      <w:pPr>
        <w:pStyle w:val="FirstParagraph"/>
        <w:rPr/>
      </w:pPr>
      <w:r>
        <w:rPr/>
        <w:t xml:space="preserve">ㆍ제정 </w:t>
      </w:r>
      <w:r>
        <w:rPr/>
        <w:t>2001-10-01</w:t>
      </w:r>
    </w:p>
    <w:p>
      <w:pPr>
        <w:pStyle w:val="BodyText"/>
        <w:rPr/>
      </w:pPr>
      <w:r>
        <w:rPr/>
        <w:t xml:space="preserve">ㆍ개정 </w:t>
      </w:r>
      <w:r>
        <w:rPr/>
        <w:t>2003-03-01</w:t>
      </w:r>
    </w:p>
    <w:p>
      <w:pPr>
        <w:pStyle w:val="BodyText"/>
        <w:rPr/>
      </w:pPr>
      <w:r>
        <w:rPr/>
        <w:t xml:space="preserve">ㆍ개정 </w:t>
      </w:r>
      <w:r>
        <w:rPr/>
        <w:t>2003-06-30</w:t>
      </w:r>
    </w:p>
    <w:p>
      <w:pPr>
        <w:pStyle w:val="BodyText"/>
        <w:rPr/>
      </w:pPr>
      <w:r>
        <w:rPr/>
        <w:t xml:space="preserve">ㆍ개정 </w:t>
      </w:r>
      <w:r>
        <w:rPr/>
        <w:t>2004-08-09</w:t>
      </w:r>
    </w:p>
    <w:p>
      <w:pPr>
        <w:pStyle w:val="BodyText"/>
        <w:rPr/>
      </w:pPr>
      <w:r>
        <w:rPr/>
        <w:t xml:space="preserve">ㆍ개정 </w:t>
      </w:r>
      <w:r>
        <w:rPr/>
        <w:t>2005-05-02</w:t>
      </w:r>
    </w:p>
    <w:p>
      <w:pPr>
        <w:pStyle w:val="BodyText"/>
        <w:rPr/>
      </w:pPr>
      <w:r>
        <w:rPr/>
        <w:t xml:space="preserve">ㆍ개정 </w:t>
      </w:r>
      <w:r>
        <w:rPr/>
        <w:t>2005-08-29</w:t>
      </w:r>
    </w:p>
    <w:p>
      <w:pPr>
        <w:pStyle w:val="BodyText"/>
        <w:rPr/>
      </w:pPr>
      <w:r>
        <w:rPr/>
        <w:t xml:space="preserve">ㆍ개정 </w:t>
      </w:r>
      <w:r>
        <w:rPr/>
        <w:t>2006-01-26</w:t>
      </w:r>
    </w:p>
    <w:p>
      <w:pPr>
        <w:pStyle w:val="BodyText"/>
        <w:rPr/>
      </w:pPr>
      <w:r>
        <w:rPr/>
        <w:t xml:space="preserve">ㆍ개정 </w:t>
      </w:r>
      <w:r>
        <w:rPr/>
        <w:t>2006-12-27</w:t>
      </w:r>
    </w:p>
    <w:p>
      <w:pPr>
        <w:pStyle w:val="BodyText"/>
        <w:rPr/>
      </w:pPr>
      <w:r>
        <w:rPr/>
        <w:t xml:space="preserve">ㆍ개정 </w:t>
      </w:r>
      <w:r>
        <w:rPr/>
        <w:t>2007-12-27</w:t>
      </w:r>
    </w:p>
    <w:p>
      <w:pPr>
        <w:pStyle w:val="BodyText"/>
        <w:rPr/>
      </w:pPr>
      <w:r>
        <w:rPr/>
        <w:t xml:space="preserve">ㆍ개정 </w:t>
      </w:r>
      <w:r>
        <w:rPr/>
        <w:t>2008-12-31</w:t>
      </w:r>
    </w:p>
    <w:p>
      <w:pPr>
        <w:pStyle w:val="BodyText"/>
        <w:rPr/>
      </w:pPr>
      <w:r>
        <w:rPr/>
        <w:t xml:space="preserve">ㆍ개정 </w:t>
      </w:r>
      <w:r>
        <w:rPr/>
        <w:t>2009-02-04</w:t>
      </w:r>
    </w:p>
    <w:p>
      <w:pPr>
        <w:pStyle w:val="BodyText"/>
        <w:rPr/>
      </w:pPr>
      <w:r>
        <w:rPr/>
        <w:t xml:space="preserve">ㆍ개정 </w:t>
      </w:r>
      <w:r>
        <w:rPr/>
        <w:t>2009-03-26</w:t>
      </w:r>
    </w:p>
    <w:p>
      <w:pPr>
        <w:pStyle w:val="BodyText"/>
        <w:rPr/>
      </w:pPr>
      <w:r>
        <w:rPr/>
        <w:t xml:space="preserve">ㆍ개정 </w:t>
      </w:r>
      <w:r>
        <w:rPr/>
        <w:t>2010-03-05</w:t>
      </w:r>
    </w:p>
    <w:p>
      <w:pPr>
        <w:pStyle w:val="BodyText"/>
        <w:rPr/>
      </w:pPr>
      <w:r>
        <w:rPr/>
        <w:t xml:space="preserve">ㆍ개정 </w:t>
      </w:r>
      <w:r>
        <w:rPr/>
        <w:t>2012-12-27</w:t>
      </w:r>
    </w:p>
    <w:p>
      <w:pPr>
        <w:pStyle w:val="BodyText"/>
        <w:rPr/>
      </w:pPr>
      <w:r>
        <w:rPr/>
        <w:t xml:space="preserve">ㆍ개정 </w:t>
      </w:r>
      <w:r>
        <w:rPr/>
        <w:t>2013-07-23</w:t>
      </w:r>
    </w:p>
    <w:p>
      <w:pPr>
        <w:pStyle w:val="BodyText"/>
        <w:rPr/>
      </w:pPr>
      <w:r>
        <w:rPr/>
        <w:t xml:space="preserve">ㆍ개정 </w:t>
      </w:r>
      <w:r>
        <w:rPr/>
        <w:t>2014-12-26</w:t>
      </w:r>
    </w:p>
    <w:p>
      <w:pPr>
        <w:pStyle w:val="BodyText"/>
        <w:rPr/>
      </w:pPr>
      <w:r>
        <w:rPr/>
        <w:t xml:space="preserve">ㆍ개정 </w:t>
      </w:r>
      <w:r>
        <w:rPr/>
        <w:t>2016-10-27</w:t>
      </w:r>
    </w:p>
    <w:p>
      <w:pPr>
        <w:pStyle w:val="BodyText"/>
        <w:rPr/>
      </w:pPr>
      <w:r>
        <w:rPr/>
        <w:t xml:space="preserve">ㆍ개정 </w:t>
      </w:r>
      <w:r>
        <w:rPr/>
        <w:t>2018-01-01</w:t>
      </w:r>
    </w:p>
    <w:p>
      <w:pPr>
        <w:pStyle w:val="BodyText"/>
        <w:rPr/>
      </w:pPr>
      <w:r>
        <w:rPr/>
        <w:t xml:space="preserve">ㆍ개정 </w:t>
      </w:r>
      <w:r>
        <w:rPr/>
        <w:t>2018-12-26</w:t>
      </w:r>
    </w:p>
    <w:p>
      <w:pPr>
        <w:pStyle w:val="BodyText"/>
        <w:rPr/>
      </w:pPr>
      <w:r>
        <w:rPr/>
        <w:t xml:space="preserve">ㆍ개정 </w:t>
      </w:r>
      <w:r>
        <w:rPr/>
        <w:t>2020-07-31</w:t>
      </w:r>
    </w:p>
    <w:p>
      <w:pPr>
        <w:pStyle w:val="BodyText"/>
        <w:rPr/>
      </w:pPr>
      <w:r>
        <w:rPr/>
        <w:t xml:space="preserve">ㆍ개정 </w:t>
      </w:r>
      <w:r>
        <w:rPr/>
        <w:t>2021-01-01</w:t>
      </w:r>
    </w:p>
    <w:p>
      <w:pPr>
        <w:pStyle w:val="BodyText"/>
        <w:rPr/>
      </w:pPr>
      <w:r>
        <w:rPr/>
        <w:t xml:space="preserve">ㆍ개정 </w:t>
      </w:r>
      <w:r>
        <w:rPr/>
        <w:t>2023-01-30</w:t>
      </w:r>
    </w:p>
    <w:p>
      <w:pPr>
        <w:pStyle w:val="BodyText"/>
        <w:rPr/>
      </w:pPr>
      <w:r>
        <w:rPr/>
        <w:t xml:space="preserve">ㆍ개정 </w:t>
      </w:r>
      <w:r>
        <w:rPr/>
        <w:t>2024-01-01</w:t>
      </w:r>
    </w:p>
    <w:p>
      <w:pPr>
        <w:pStyle w:val="BodyText"/>
        <w:rPr/>
      </w:pPr>
      <w:r>
        <w:rPr/>
        <w:t xml:space="preserve">ㆍ개정 </w:t>
      </w:r>
      <w:r>
        <w:rPr/>
        <w:t>2025-01-01</w:t>
      </w:r>
    </w:p>
    <w:p>
      <w:pPr>
        <w:pStyle w:val="BodyText"/>
        <w:rPr/>
      </w:pPr>
      <w:r>
        <w:rPr/>
        <w:t xml:space="preserve">ㆍ개정 </w:t>
      </w:r>
      <w:r>
        <w:rPr/>
        <w:t>2025-03-26</w:t>
      </w:r>
    </w:p>
    <w:p>
      <w:pPr>
        <w:pStyle w:val="BodyText"/>
        <w:rPr/>
      </w:pPr>
      <w:r>
        <w:rPr/>
        <w:t xml:space="preserve">ㆍ개정 </w:t>
      </w:r>
      <w:r>
        <w:rPr/>
        <w:t>2025-12-12</w:t>
      </w:r>
    </w:p>
    <w:p>
      <w:pPr>
        <w:pStyle w:val="BodyText"/>
        <w:rPr/>
      </w:pPr>
      <w:r>
        <w:rPr/>
        <w:t xml:space="preserve">ㆍ개정 </w:t>
      </w:r>
      <w:r>
        <w:rPr/>
        <w:t>2026-07-01</w:t>
      </w:r>
    </w:p>
    <w:p>
      <w:pPr>
        <w:pStyle w:val="Heading2"/>
        <w:rPr/>
      </w:pPr>
      <w:bookmarkStart w:id="1" w:name="제1장-총-칙"/>
      <w:r>
        <w:rPr/>
        <w:t>제</w:t>
      </w:r>
      <w:r>
        <w:rPr/>
        <w:t>1</w:t>
      </w:r>
      <w:r>
        <w:rPr/>
        <w:t>장 총 칙</w:t>
      </w:r>
    </w:p>
    <w:p>
      <w:pPr>
        <w:pStyle w:val="Heading3"/>
        <w:rPr/>
      </w:pPr>
      <w:bookmarkStart w:id="2" w:name="제1조의-의"/>
      <w:r>
        <w:rPr/>
        <w:t>제</w:t>
      </w:r>
      <w:r>
        <w:rPr/>
        <w:t>1</w:t>
      </w:r>
      <w:r>
        <w:rPr/>
        <w:t>조</w:t>
      </w:r>
      <w:r>
        <w:rPr/>
        <w:t>(</w:t>
      </w:r>
      <w:r>
        <w:rPr/>
        <w:t>의 의</w:t>
      </w:r>
      <w:r>
        <w:rPr/>
        <w:t>)</w:t>
      </w:r>
    </w:p>
    <w:p>
      <w:pPr>
        <w:pStyle w:val="FirstParagraph"/>
        <w:rPr/>
      </w:pPr>
      <w:r>
        <w:rPr/>
        <w:t>트레이딩정책규정</w:t>
      </w:r>
      <w:r>
        <w:rPr/>
        <w:t>(</w:t>
      </w:r>
      <w:r>
        <w:rPr/>
        <w:t>이하 “정책규정”이라 한다</w:t>
      </w:r>
      <w:r>
        <w:rPr/>
        <w:t>)</w:t>
      </w:r>
      <w:r>
        <w:rPr/>
        <w:t>은 시장리스크 측정대상 포지션을 구분</w:t>
      </w:r>
      <w:r>
        <w:rPr/>
        <w:t>·</w:t>
      </w:r>
      <w:r>
        <w:rPr/>
        <w:t>관리하고 이를 준수토록 하는데 필요한 제반사항을 정함을 목적으로 한다</w:t>
      </w:r>
      <w:r>
        <w:rPr/>
        <w:t>.</w:t>
      </w:r>
      <w:bookmarkEnd w:id="2"/>
    </w:p>
    <w:p>
      <w:pPr>
        <w:pStyle w:val="Heading3"/>
        <w:rPr/>
      </w:pPr>
      <w:bookmarkStart w:id="3" w:name="제2조용어의-정의"/>
      <w:r>
        <w:rPr/>
        <w:t>제</w:t>
      </w:r>
      <w:r>
        <w:rPr/>
        <w:t>2</w:t>
      </w:r>
      <w:r>
        <w:rPr/>
        <w:t>조</w:t>
      </w:r>
      <w:r>
        <w:rPr/>
        <w:t>(</w:t>
      </w:r>
      <w:r>
        <w:rPr/>
        <w:t>용어의 정의</w:t>
      </w:r>
      <w:r>
        <w:rPr/>
        <w:t>)</w:t>
      </w:r>
    </w:p>
    <w:p>
      <w:pPr>
        <w:pStyle w:val="FirstParagraph"/>
        <w:rPr/>
      </w:pPr>
      <w:r>
        <w:rPr/>
        <w:t>이 정책규정에서 사용하는 용어의 정의는 다음 각 호와 같다</w:t>
      </w:r>
      <w:r>
        <w:rPr/>
        <w:t>.</w:t>
      </w:r>
    </w:p>
    <w:p>
      <w:pPr>
        <w:pStyle w:val="Normal"/>
        <w:numPr>
          <w:ilvl w:val="0"/>
          <w:numId w:val="38"/>
        </w:numPr>
        <w:rPr/>
      </w:pPr>
      <w:r>
        <w:rPr/>
        <w:t>“</w:t>
      </w:r>
      <w:r>
        <w:rPr/>
        <w:t>시장리스크”란 시장가격의 비우호적인 변동으로 인하여 은행 난내･외 익스포져에서 손실이 발생하는 리스크를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상품” 이란 금융상품･외환상품･일반상품을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트레이딩계정”이란 은행이 단기매매 목적 등으로 보유하는 상품의 집합을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은행계정”이란 은행이 보유하는 상품 중 트레이딩계정으로 분류되지 않는 상품의 집합을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트레이딩데스크”란 명확한 리스크관리 구조 아래에서 분명하게 정의된 사업전략을 수행하는 트레이더 또는 트레이딩계좌의 그룹을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구조적 외환포지션”은 환율 변화에 따라 자기자본비율이 하락하는 것을 완전히 또는 부분적으로 방지하기 위해 보유하는 외환포지션으로 트레이딩 포지션에서 제외시킬 수 있는 외환포지션을 말한다</w:t>
      </w:r>
      <w:r>
        <w:rPr/>
        <w:t>.</w:t>
      </w:r>
    </w:p>
    <w:p>
      <w:pPr>
        <w:pStyle w:val="Normal"/>
        <w:numPr>
          <w:ilvl w:val="0"/>
          <w:numId w:val="2"/>
        </w:numPr>
        <w:rPr/>
      </w:pPr>
      <w:r>
        <w:rPr/>
        <w:t>“</w:t>
      </w:r>
      <w:r>
        <w:rPr/>
        <w:t>표준방법”이란 바젤은행감독위원회가 제시하는 시장리스크 소요자기자본에 대한 표준화된 산출방법을 말한다</w:t>
      </w:r>
      <w:r>
        <w:rPr/>
        <w:t>.</w:t>
      </w:r>
      <w:bookmarkEnd w:id="3"/>
    </w:p>
    <w:p>
      <w:pPr>
        <w:pStyle w:val="Heading3"/>
        <w:rPr/>
      </w:pPr>
      <w:bookmarkStart w:id="4" w:name="제3조적용범위"/>
      <w:r>
        <w:rPr/>
        <w:t>제</w:t>
      </w:r>
      <w:r>
        <w:rPr/>
        <w:t>3</w:t>
      </w:r>
      <w:r>
        <w:rPr/>
        <w:t>조</w:t>
      </w:r>
      <w:r>
        <w:rPr/>
        <w:t>(</w:t>
      </w:r>
      <w:r>
        <w:rPr/>
        <w:t>적용범위</w:t>
      </w:r>
      <w:r>
        <w:rPr/>
        <w:t>)</w:t>
      </w:r>
    </w:p>
    <w:p>
      <w:pPr>
        <w:pStyle w:val="Normal"/>
        <w:numPr>
          <w:ilvl w:val="0"/>
          <w:numId w:val="39"/>
        </w:numPr>
        <w:rPr/>
      </w:pPr>
      <w:r>
        <w:rPr/>
        <w:t>이 정책규정은 트레이딩계정</w:t>
      </w:r>
      <w:r>
        <w:rPr/>
        <w:t xml:space="preserve">, </w:t>
      </w:r>
      <w:r>
        <w:rPr/>
        <w:t>은행계정</w:t>
      </w:r>
      <w:r>
        <w:rPr/>
        <w:t xml:space="preserve">, </w:t>
      </w:r>
      <w:r>
        <w:rPr/>
        <w:t>원본 또는 이익보전 계약이 있는 신탁계정 및 연결대상 자회사에 적용한다</w:t>
      </w:r>
      <w:r>
        <w:rPr/>
        <w:t>.</w:t>
      </w:r>
    </w:p>
    <w:p>
      <w:pPr>
        <w:pStyle w:val="Normal"/>
        <w:numPr>
          <w:ilvl w:val="0"/>
          <w:numId w:val="40"/>
        </w:numPr>
        <w:rPr/>
      </w:pPr>
      <w:r>
        <w:rPr/>
        <w:t xml:space="preserve">연결대상 자회사에 관한 사항은 제 </w:t>
      </w:r>
      <w:r>
        <w:rPr/>
        <w:t xml:space="preserve">5 </w:t>
      </w:r>
      <w:r>
        <w:rPr/>
        <w:t>장에서 규정하며</w:t>
      </w:r>
      <w:r>
        <w:rPr/>
        <w:t xml:space="preserve">, </w:t>
      </w:r>
      <w:r>
        <w:rPr/>
        <w:t>자회사에 관하여는 별도의 트레이딩정책지침을 제정하여 운용한다</w:t>
      </w:r>
      <w:r>
        <w:rPr/>
        <w:t>.</w:t>
      </w:r>
      <w:bookmarkEnd w:id="4"/>
    </w:p>
    <w:p>
      <w:pPr>
        <w:pStyle w:val="Heading3"/>
        <w:rPr/>
      </w:pPr>
      <w:bookmarkStart w:id="5" w:name="제4조관련부서-및-역할"/>
      <w:r>
        <w:rPr/>
        <w:t>제</w:t>
      </w:r>
      <w:r>
        <w:rPr/>
        <w:t>4</w:t>
      </w:r>
      <w:r>
        <w:rPr/>
        <w:t>조</w:t>
      </w:r>
      <w:r>
        <w:rPr/>
        <w:t>(</w:t>
      </w:r>
      <w:r>
        <w:rPr/>
        <w:t>관련부서 및 역할</w:t>
      </w:r>
      <w:r>
        <w:rPr/>
        <w:t>)</w:t>
      </w:r>
    </w:p>
    <w:p>
      <w:pPr>
        <w:pStyle w:val="FirstParagraph"/>
        <w:rPr/>
      </w:pPr>
      <w:r>
        <w:rPr/>
        <w:t>정책규정의 운영에 관한 관련부서 및 주요 역할은 다음과 같다</w:t>
      </w:r>
      <w:r>
        <w:rPr/>
        <w:t>.</w:t>
      </w:r>
    </w:p>
    <w:p>
      <w:pPr>
        <w:pStyle w:val="Compact"/>
        <w:numPr>
          <w:ilvl w:val="0"/>
          <w:numId w:val="41"/>
        </w:numPr>
        <w:rPr/>
      </w:pPr>
      <w:r>
        <w:rPr/>
        <w:t>리스크관리부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정책규정의 제정 및 개정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시장리스크 전반에 대한 총괄</w:t>
      </w:r>
    </w:p>
    <w:p>
      <w:pPr>
        <w:pStyle w:val="Compact"/>
        <w:numPr>
          <w:ilvl w:val="0"/>
          <w:numId w:val="42"/>
        </w:numPr>
        <w:rPr/>
      </w:pPr>
      <w:r>
        <w:rPr/>
        <w:t>전략기획부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연결대상 자회사에 대한 트레이딩정책규정 제정 및 총괄</w:t>
      </w:r>
    </w:p>
    <w:p>
      <w:pPr>
        <w:pStyle w:val="Compact"/>
        <w:numPr>
          <w:ilvl w:val="0"/>
          <w:numId w:val="43"/>
        </w:numPr>
        <w:rPr/>
      </w:pPr>
      <w:r>
        <w:rPr/>
        <w:t>재무기획부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트레이딩계정의 회계처리에 관한 사항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표준모형에 의한 자기자본비율의 산출 및 관리</w:t>
      </w:r>
    </w:p>
    <w:p>
      <w:pPr>
        <w:pStyle w:val="Compact"/>
        <w:numPr>
          <w:ilvl w:val="0"/>
          <w:numId w:val="44"/>
        </w:numPr>
        <w:rPr/>
      </w:pPr>
      <w:r>
        <w:rPr/>
        <w:t>자금부</w:t>
      </w:r>
    </w:p>
    <w:p>
      <w:pPr>
        <w:pStyle w:val="FirstParagraph"/>
        <w:rPr/>
      </w:pPr>
      <w:r>
        <w:rPr/>
        <w:t xml:space="preserve">CD </w:t>
      </w:r>
      <w:r>
        <w:rPr/>
        <w:t xml:space="preserve">또는 </w:t>
      </w:r>
      <w:r>
        <w:rPr/>
        <w:t xml:space="preserve">RP </w:t>
      </w:r>
      <w:r>
        <w:rPr/>
        <w:t>관련 자금조달 사항</w:t>
      </w:r>
    </w:p>
    <w:p>
      <w:pPr>
        <w:pStyle w:val="Compact"/>
        <w:numPr>
          <w:ilvl w:val="0"/>
          <w:numId w:val="45"/>
        </w:numPr>
        <w:rPr/>
      </w:pPr>
      <w:r>
        <w:rPr/>
        <w:t>자금운용부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원화</w:t>
      </w:r>
      <w:r>
        <w:rPr/>
        <w:t>·</w:t>
      </w:r>
      <w:r>
        <w:rPr/>
        <w:t>외화 부문 트레이딩계정의 운용 및 관리</w:t>
      </w:r>
    </w:p>
    <w:p>
      <w:pPr>
        <w:pStyle w:val="BodyText"/>
        <w:rPr/>
      </w:pPr>
      <w:r>
        <w:rPr/>
        <w:t>나</w:t>
      </w:r>
      <w:r>
        <w:rPr/>
        <w:t xml:space="preserve">. CD </w:t>
      </w:r>
      <w:r>
        <w:rPr/>
        <w:t xml:space="preserve">또는 </w:t>
      </w:r>
      <w:r>
        <w:rPr/>
        <w:t xml:space="preserve">RP </w:t>
      </w:r>
      <w:r>
        <w:rPr/>
        <w:t>운용 관련 사항</w:t>
      </w:r>
    </w:p>
    <w:p>
      <w:pPr>
        <w:pStyle w:val="Compact"/>
        <w:numPr>
          <w:ilvl w:val="0"/>
          <w:numId w:val="46"/>
        </w:numPr>
        <w:rPr/>
      </w:pPr>
      <w:r>
        <w:rPr/>
        <w:t>신탁사업부</w:t>
      </w:r>
      <w:r>
        <w:rPr/>
        <w:t xml:space="preserve">, </w:t>
      </w:r>
      <w:r>
        <w:rPr/>
        <w:t xml:space="preserve">퇴직연금사업부 </w:t>
      </w:r>
      <w:r>
        <w:rPr/>
        <w:t>&lt;</w:t>
      </w:r>
      <w:r>
        <w:rPr/>
        <w:t xml:space="preserve">개정 </w:t>
      </w:r>
      <w:r>
        <w:rPr/>
        <w:t>2026.07.01.&gt;</w:t>
      </w:r>
    </w:p>
    <w:p>
      <w:pPr>
        <w:pStyle w:val="FirstParagraph"/>
        <w:rPr/>
      </w:pPr>
      <w:r>
        <w:rPr/>
        <w:t>신탁부문 트레이딩계정의 운용 및 관리</w:t>
      </w:r>
    </w:p>
    <w:p>
      <w:pPr>
        <w:pStyle w:val="Compact"/>
        <w:numPr>
          <w:ilvl w:val="0"/>
          <w:numId w:val="47"/>
        </w:numPr>
        <w:rPr/>
      </w:pPr>
      <w:r>
        <w:rPr/>
        <w:t>ICT</w:t>
      </w:r>
      <w:r>
        <w:rPr/>
        <w:t>개발부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전산데이터 제공에 관한 사항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전산개발 관리에 관한 사항</w:t>
      </w:r>
    </w:p>
    <w:p>
      <w:pPr>
        <w:pStyle w:val="Normal"/>
        <w:numPr>
          <w:ilvl w:val="0"/>
          <w:numId w:val="48"/>
        </w:numPr>
        <w:rPr/>
      </w:pPr>
      <w:r>
        <w:rPr/>
        <w:t>검사부</w:t>
      </w:r>
    </w:p>
    <w:p>
      <w:pPr>
        <w:pStyle w:val="SourceCode"/>
        <w:numPr>
          <w:ilvl w:val="0"/>
          <w:numId w:val="1"/>
        </w:numPr>
        <w:rPr/>
      </w:pPr>
      <w:r>
        <w:rPr>
          <w:rStyle w:val="VerbatimChar"/>
        </w:rPr>
        <w:t xml:space="preserve"> </w:t>
      </w:r>
      <w:r>
        <w:rPr>
          <w:rStyle w:val="VerbatimChar"/>
        </w:rPr>
        <w:t>가</w:t>
      </w:r>
      <w:r>
        <w:rPr>
          <w:rStyle w:val="VerbatimChar"/>
        </w:rPr>
        <w:t xml:space="preserve">. </w:t>
      </w:r>
      <w:r>
        <w:rPr>
          <w:rStyle w:val="VerbatimChar"/>
        </w:rPr>
        <w:t>트레이딩정책규정 운영과 관련된 검사</w:t>
      </w:r>
    </w:p>
    <w:p>
      <w:pPr>
        <w:pStyle w:val="FirstParagraph"/>
        <w:rPr/>
      </w:pPr>
      <w:r>
        <w:rPr/>
        <w:t>나</w:t>
      </w:r>
      <w:r>
        <w:rPr/>
        <w:t xml:space="preserve">. </w:t>
      </w:r>
      <w:r>
        <w:rPr/>
        <w:t>한도초과 여부와 관련된 상시검사 및 조치사항</w:t>
      </w:r>
      <w:bookmarkEnd w:id="1"/>
      <w:bookmarkEnd w:id="5"/>
    </w:p>
    <w:p>
      <w:pPr>
        <w:pStyle w:val="Heading2"/>
        <w:rPr/>
      </w:pPr>
      <w:bookmarkStart w:id="6" w:name="제2장-계정의-구분관리"/>
      <w:r>
        <w:rPr/>
        <w:t>제</w:t>
      </w:r>
      <w:r>
        <w:rPr/>
        <w:t>2</w:t>
      </w:r>
      <w:r>
        <w:rPr/>
        <w:t>장 계정의 구분관리</w:t>
      </w:r>
    </w:p>
    <w:p>
      <w:pPr>
        <w:pStyle w:val="Heading3"/>
        <w:rPr/>
      </w:pPr>
      <w:bookmarkStart w:id="7" w:name="제5조일반-원칙"/>
      <w:r>
        <w:rPr/>
        <w:t>제</w:t>
      </w:r>
      <w:r>
        <w:rPr/>
        <w:t>5</w:t>
      </w:r>
      <w:r>
        <w:rPr/>
        <w:t>조</w:t>
      </w:r>
      <w:r>
        <w:rPr/>
        <w:t>(</w:t>
      </w:r>
      <w:r>
        <w:rPr/>
        <w:t>일반 원칙</w:t>
      </w:r>
      <w:r>
        <w:rPr/>
        <w:t>)</w:t>
      </w:r>
    </w:p>
    <w:p>
      <w:pPr>
        <w:pStyle w:val="Normal"/>
        <w:numPr>
          <w:ilvl w:val="0"/>
          <w:numId w:val="49"/>
        </w:numPr>
        <w:rPr/>
      </w:pPr>
      <w:r>
        <w:rPr/>
        <w:t>보유하는 모든 상품을 트레이딩계정 또는 은행계정 중 어느 하나로 분류하여야 한다</w:t>
      </w:r>
      <w:r>
        <w:rPr/>
        <w:t>.</w:t>
      </w:r>
    </w:p>
    <w:p>
      <w:pPr>
        <w:pStyle w:val="Normal"/>
        <w:numPr>
          <w:ilvl w:val="0"/>
          <w:numId w:val="50"/>
        </w:numPr>
        <w:rPr/>
      </w:pPr>
      <w:r>
        <w:rPr/>
        <w:t>매도 또는 완전 헤지에 법적 제약이 없는 상품만을 트레이딩계정으로 분류할 수 있다</w:t>
      </w:r>
      <w:r>
        <w:rPr/>
        <w:t>.</w:t>
      </w:r>
    </w:p>
    <w:p>
      <w:pPr>
        <w:pStyle w:val="Normal"/>
        <w:numPr>
          <w:ilvl w:val="0"/>
          <w:numId w:val="51"/>
        </w:numPr>
        <w:rPr/>
      </w:pPr>
      <w:r>
        <w:rPr/>
        <w:t>트레이딩계정 상품의 공정가치를 매영업일 측정하고</w:t>
      </w:r>
      <w:r>
        <w:rPr/>
        <w:t xml:space="preserve">, </w:t>
      </w:r>
      <w:r>
        <w:rPr/>
        <w:t>변동을 손익계정에 인식하여야 한다</w:t>
      </w:r>
      <w:r>
        <w:rPr/>
        <w:t>.</w:t>
      </w:r>
      <w:bookmarkEnd w:id="7"/>
    </w:p>
    <w:p>
      <w:pPr>
        <w:pStyle w:val="Heading3"/>
        <w:rPr/>
      </w:pPr>
      <w:bookmarkStart w:id="8" w:name="제6조트레이딩-계정분류"/>
      <w:r>
        <w:rPr/>
        <w:t>제</w:t>
      </w:r>
      <w:r>
        <w:rPr/>
        <w:t>6</w:t>
      </w:r>
      <w:r>
        <w:rPr/>
        <w:t>조</w:t>
      </w:r>
      <w:r>
        <w:rPr/>
        <w:t>(</w:t>
      </w:r>
      <w:r>
        <w:rPr/>
        <w:t>트레이딩 계정분류</w:t>
      </w:r>
      <w:r>
        <w:rPr/>
        <w:t>)</w:t>
      </w:r>
    </w:p>
    <w:p>
      <w:pPr>
        <w:pStyle w:val="Compact"/>
        <w:numPr>
          <w:ilvl w:val="0"/>
          <w:numId w:val="52"/>
        </w:numPr>
        <w:rPr/>
      </w:pPr>
      <w:r>
        <w:rPr/>
        <w:t>최초 인식시점에서 보유목적이 다음 각 호의 어느 하나에 해당하는 상품은 트레이딩계정으로 분류해야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제</w:t>
      </w:r>
      <w:r>
        <w:rPr/>
        <w:t>2</w:t>
      </w:r>
      <w:r>
        <w:rPr/>
        <w:t xml:space="preserve">장 </w:t>
      </w:r>
      <w:r>
        <w:rPr/>
        <w:t>5</w:t>
      </w:r>
      <w:r>
        <w:rPr/>
        <w:t xml:space="preserve">조의 </w:t>
      </w:r>
      <w:r>
        <w:rPr/>
        <w:t>2</w:t>
      </w:r>
      <w:r>
        <w:rPr/>
        <w:t>항에 따라 트레이딩계정으로 분류할 수 없는 상품과</w:t>
      </w:r>
    </w:p>
    <w:p>
      <w:pPr>
        <w:pStyle w:val="FirstParagraph"/>
        <w:rPr/>
      </w:pPr>
      <w:r>
        <w:rPr/>
        <w:t>제</w:t>
      </w:r>
      <w:r>
        <w:rPr/>
        <w:t>7</w:t>
      </w:r>
      <w:r>
        <w:rPr/>
        <w:t xml:space="preserve">조의 </w:t>
      </w:r>
      <w:r>
        <w:rPr/>
        <w:t>2</w:t>
      </w:r>
      <w:r>
        <w:rPr/>
        <w:t>항의 상품은 제외한다</w:t>
      </w:r>
      <w:r>
        <w:rPr/>
        <w:t>.</w:t>
      </w:r>
    </w:p>
    <w:p>
      <w:pPr>
        <w:pStyle w:val="BodyText"/>
        <w:rPr/>
      </w:pPr>
      <w:r>
        <w:rPr/>
        <w:t>가</w:t>
      </w:r>
      <w:r>
        <w:rPr/>
        <w:t xml:space="preserve">. </w:t>
      </w:r>
      <w:r>
        <w:rPr/>
        <w:t>단기 재판매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단기 가격변동을 통한 차익 추구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무위험차익 확정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보유목적이 가</w:t>
      </w:r>
      <w:r>
        <w:rPr/>
        <w:t xml:space="preserve">. </w:t>
      </w:r>
      <w:r>
        <w:rPr/>
        <w:t>에서 다</w:t>
      </w:r>
      <w:r>
        <w:rPr/>
        <w:t xml:space="preserve">. </w:t>
      </w:r>
      <w:r>
        <w:rPr/>
        <w:t>중 어느 하나에 해당하여 트레이딩계정으로 분류되는 상품의 헤지</w:t>
      </w:r>
    </w:p>
    <w:p>
      <w:pPr>
        <w:pStyle w:val="Compact"/>
        <w:numPr>
          <w:ilvl w:val="0"/>
          <w:numId w:val="53"/>
        </w:numPr>
        <w:rPr/>
      </w:pPr>
      <w:r>
        <w:rPr/>
        <w:t>다음 각 호의 상품은 트레이딩계정 상품으로 분류한다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제</w:t>
      </w:r>
      <w:r>
        <w:rPr/>
        <w:t>2</w:t>
      </w:r>
      <w:r>
        <w:rPr/>
        <w:t xml:space="preserve">장 </w:t>
      </w:r>
      <w:r>
        <w:rPr/>
        <w:t>5</w:t>
      </w:r>
      <w:r>
        <w:rPr/>
        <w:t xml:space="preserve">조의 </w:t>
      </w:r>
      <w:r>
        <w:rPr/>
        <w:t>2</w:t>
      </w:r>
      <w:r>
        <w:rPr/>
        <w:t>항에 따라 트레이딩계정으로 분류할 수 없는 상품과 제</w:t>
      </w:r>
      <w:r>
        <w:rPr/>
        <w:t>7</w:t>
      </w:r>
      <w:r>
        <w:rPr/>
        <w:t xml:space="preserve">조의 </w:t>
      </w:r>
      <w:r>
        <w:rPr/>
        <w:t>2</w:t>
      </w:r>
      <w:r>
        <w:rPr/>
        <w:t>항의 상품은 제외한다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상관관계 트레이딩 포트폴리오에 포함하는 상품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은행계정에서 신용 또는 주식 순매도포지션을 발생시키는 상품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은행이 결제일에 실제로 매입할 것으로 예상되는 유가증권의 인수약정</w:t>
      </w:r>
      <w:bookmarkEnd w:id="8"/>
    </w:p>
    <w:p>
      <w:pPr>
        <w:pStyle w:val="Heading3"/>
        <w:rPr/>
      </w:pPr>
      <w:bookmarkStart w:id="9" w:name="제7조은행-계정분류"/>
      <w:r>
        <w:rPr/>
        <w:t>제</w:t>
      </w:r>
      <w:r>
        <w:rPr/>
        <w:t>7</w:t>
      </w:r>
      <w:r>
        <w:rPr/>
        <w:t>조</w:t>
      </w:r>
      <w:r>
        <w:rPr/>
        <w:t>(</w:t>
      </w:r>
      <w:r>
        <w:rPr/>
        <w:t>은행 계정분류</w:t>
      </w:r>
      <w:r>
        <w:rPr/>
        <w:t>)</w:t>
      </w:r>
    </w:p>
    <w:p>
      <w:pPr>
        <w:pStyle w:val="Normal"/>
        <w:numPr>
          <w:ilvl w:val="0"/>
          <w:numId w:val="54"/>
        </w:numPr>
        <w:rPr/>
      </w:pPr>
      <w:r>
        <w:rPr/>
        <w:t>제</w:t>
      </w:r>
      <w:r>
        <w:rPr/>
        <w:t>6</w:t>
      </w:r>
      <w:r>
        <w:rPr/>
        <w:t>조에 따라 트레이딩계정으로 분류할 수 없는 다음 각 호의 상품은 은행계정으로 분류한다</w:t>
      </w:r>
      <w:r>
        <w:rPr/>
        <w:t>.</w:t>
      </w:r>
    </w:p>
    <w:p>
      <w:pPr>
        <w:pStyle w:val="Normal"/>
        <w:numPr>
          <w:ilvl w:val="0"/>
          <w:numId w:val="55"/>
        </w:numPr>
        <w:rPr/>
      </w:pPr>
      <w:r>
        <w:rPr/>
        <w:t>다음 상품은 은행계정 상품으로 본다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비상장주식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유동화 대상으로 지정하는 상품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 xml:space="preserve">보유 부동산 </w:t>
      </w:r>
      <w:r>
        <w:rPr/>
        <w:t>(</w:t>
      </w:r>
      <w:r>
        <w:rPr/>
        <w:t>직접보유 뿐만 아니라 파생상품 또한 포함한다</w:t>
      </w:r>
      <w:r>
        <w:rPr/>
        <w:t>.)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소매∙중소기업 신용공여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다음 각 호의 요건을 모두 충족하지 않는 집합투자증권</w:t>
      </w:r>
    </w:p>
    <w:p>
      <w:pPr>
        <w:pStyle w:val="Normal"/>
        <w:numPr>
          <w:ilvl w:val="0"/>
          <w:numId w:val="56"/>
        </w:numPr>
        <w:rPr/>
      </w:pPr>
      <w:r>
        <w:rPr/>
        <w:t>집합투자증권의 기초자산을 모두 파악할 수 있으며</w:t>
      </w:r>
      <w:r>
        <w:rPr/>
        <w:t xml:space="preserve">, </w:t>
      </w:r>
      <w:r>
        <w:rPr/>
        <w:t>독립적인 제</w:t>
      </w:r>
      <w:r>
        <w:rPr/>
        <w:t>3</w:t>
      </w:r>
      <w:r>
        <w:rPr/>
        <w:t>자가 검증한 기초자산에 대한 정보를 충분하고 빈번하게 입수할 수 있을 것</w:t>
      </w:r>
    </w:p>
    <w:p>
      <w:pPr>
        <w:pStyle w:val="Normal"/>
        <w:numPr>
          <w:ilvl w:val="0"/>
          <w:numId w:val="16"/>
        </w:numPr>
        <w:rPr/>
      </w:pPr>
      <w:r>
        <w:rPr/>
        <w:t>집합투자증권의 고시가격을 일 단위로 입수할 수 있으며</w:t>
      </w:r>
      <w:r>
        <w:rPr/>
        <w:t xml:space="preserve">, </w:t>
      </w:r>
      <w:r>
        <w:rPr/>
        <w:t>투자약정서나 해당 집합투자기구와 관련된 규제의 내용을 열람할 수 있을 것</w:t>
      </w:r>
    </w:p>
    <w:p>
      <w:pPr>
        <w:pStyle w:val="FirstParagraph"/>
        <w:rPr/>
      </w:pPr>
      <w:r>
        <w:rPr/>
        <w:t>바</w:t>
      </w:r>
      <w:r>
        <w:rPr/>
        <w:t xml:space="preserve">. </w:t>
      </w:r>
      <w:r>
        <w:rPr/>
        <w:t>「자본시장과 금융투자업에 관한 법률」의 사모집합투자기구 중 운용목적이 전문투자인 집합투자기구</w:t>
      </w:r>
      <w:r>
        <w:rPr/>
        <w:t>(hedge fund)</w:t>
      </w:r>
      <w:r>
        <w:rPr/>
        <w:t>가 발행한 집합투자증권</w:t>
      </w:r>
    </w:p>
    <w:p>
      <w:pPr>
        <w:pStyle w:val="BodyText"/>
        <w:rPr/>
      </w:pPr>
      <w:r>
        <w:rPr/>
        <w:t>사</w:t>
      </w:r>
      <w:r>
        <w:rPr/>
        <w:t xml:space="preserve">. </w:t>
      </w:r>
      <w:r>
        <w:rPr/>
        <w:t>기초자산이 가</w:t>
      </w:r>
      <w:r>
        <w:rPr/>
        <w:t>.</w:t>
      </w:r>
      <w:r>
        <w:rPr/>
        <w:t>에서 바</w:t>
      </w:r>
      <w:r>
        <w:rPr/>
        <w:t>.</w:t>
      </w:r>
      <w:r>
        <w:rPr/>
        <w:t>중 어느 하나에 해당하는 파생상품 또는 집합투자증권</w:t>
      </w:r>
    </w:p>
    <w:p>
      <w:pPr>
        <w:pStyle w:val="BodyText"/>
        <w:rPr/>
      </w:pPr>
      <w:r>
        <w:rPr/>
        <w:t>아</w:t>
      </w:r>
      <w:r>
        <w:rPr/>
        <w:t xml:space="preserve">. </w:t>
      </w:r>
      <w:r>
        <w:rPr/>
        <w:t>가</w:t>
      </w:r>
      <w:r>
        <w:rPr/>
        <w:t>.</w:t>
      </w:r>
      <w:r>
        <w:rPr/>
        <w:t>에서 사</w:t>
      </w:r>
      <w:r>
        <w:rPr/>
        <w:t>.</w:t>
      </w:r>
      <w:r>
        <w:rPr/>
        <w:t>의 상품을 헤지하기 위해 보유하는 상품</w:t>
      </w:r>
      <w:bookmarkEnd w:id="9"/>
    </w:p>
    <w:p>
      <w:pPr>
        <w:pStyle w:val="Heading3"/>
        <w:rPr/>
      </w:pPr>
      <w:bookmarkStart w:id="10" w:name="제8조트레이딩계정-추정상품"/>
      <w:r>
        <w:rPr/>
        <w:t>제</w:t>
      </w:r>
      <w:r>
        <w:rPr/>
        <w:t>8</w:t>
      </w:r>
      <w:r>
        <w:rPr/>
        <w:t>조</w:t>
      </w:r>
      <w:r>
        <w:rPr/>
        <w:t>(</w:t>
      </w:r>
      <w:r>
        <w:rPr/>
        <w:t>트레이딩계정 추정상품</w:t>
      </w:r>
      <w:r>
        <w:rPr/>
        <w:t>)</w:t>
      </w:r>
    </w:p>
    <w:p>
      <w:pPr>
        <w:pStyle w:val="Compact"/>
        <w:numPr>
          <w:ilvl w:val="0"/>
          <w:numId w:val="57"/>
        </w:numPr>
        <w:rPr/>
      </w:pPr>
      <w:r>
        <w:rPr/>
        <w:t>다음 상품은 제</w:t>
      </w:r>
      <w:r>
        <w:rPr/>
        <w:t>6</w:t>
      </w:r>
      <w:r>
        <w:rPr/>
        <w:t xml:space="preserve">조 </w:t>
      </w:r>
      <w:r>
        <w:rPr/>
        <w:t>1</w:t>
      </w:r>
      <w:r>
        <w:rPr/>
        <w:t>항의 가</w:t>
      </w:r>
      <w:r>
        <w:rPr/>
        <w:t>.</w:t>
      </w:r>
      <w:r>
        <w:rPr/>
        <w:t>에서 라</w:t>
      </w:r>
      <w:r>
        <w:rPr/>
        <w:t xml:space="preserve">. </w:t>
      </w:r>
      <w:r>
        <w:rPr/>
        <w:t>중 어느 하나의 목적으로 보유하는 것으로 추정한다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제</w:t>
      </w:r>
      <w:r>
        <w:rPr/>
        <w:t>2</w:t>
      </w:r>
      <w:r>
        <w:rPr/>
        <w:t xml:space="preserve">장 </w:t>
      </w:r>
      <w:r>
        <w:rPr/>
        <w:t>5</w:t>
      </w:r>
      <w:r>
        <w:rPr/>
        <w:t xml:space="preserve">조의 </w:t>
      </w:r>
      <w:r>
        <w:rPr/>
        <w:t>2</w:t>
      </w:r>
      <w:r>
        <w:rPr/>
        <w:t>항에 따라 트레이딩계정으로 분류할 수 없는 상품과 제</w:t>
      </w:r>
      <w:r>
        <w:rPr/>
        <w:t>7</w:t>
      </w:r>
      <w:r>
        <w:rPr/>
        <w:t xml:space="preserve">조의 </w:t>
      </w:r>
      <w:r>
        <w:rPr/>
        <w:t>2</w:t>
      </w:r>
      <w:r>
        <w:rPr/>
        <w:t>항의 상품은 제외한다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회계기준상 단기매매 목적의 자산 또는 부채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시장조성활동으로 보유하는 상품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제</w:t>
      </w:r>
      <w:r>
        <w:rPr/>
        <w:t>7</w:t>
      </w:r>
      <w:r>
        <w:rPr/>
        <w:t xml:space="preserve">조 </w:t>
      </w:r>
      <w:r>
        <w:rPr/>
        <w:t>2</w:t>
      </w:r>
      <w:r>
        <w:rPr/>
        <w:t>항 마</w:t>
      </w:r>
      <w:r>
        <w:rPr/>
        <w:t>.</w:t>
      </w:r>
      <w:r>
        <w:rPr/>
        <w:t>를 제외한 집합투자증권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상장주식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매매목적의 환매조건부거래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 xml:space="preserve">옵션 </w:t>
      </w:r>
      <w:r>
        <w:rPr/>
        <w:t>(</w:t>
      </w:r>
      <w:r>
        <w:rPr/>
        <w:t>이는 은행계정으로 발행되는 신용 또는 주식리스크 관련 상품의 내재파생상품 또한 포함한다</w:t>
      </w:r>
      <w:r>
        <w:rPr/>
        <w:t>.)</w:t>
      </w:r>
    </w:p>
    <w:p>
      <w:pPr>
        <w:pStyle w:val="Compact"/>
        <w:numPr>
          <w:ilvl w:val="0"/>
          <w:numId w:val="58"/>
        </w:numPr>
        <w:rPr/>
      </w:pPr>
      <w:r>
        <w:rPr/>
        <w:t>트레이딩계정 추정 상품을 은행계정으로 분류하는 경우</w:t>
      </w:r>
      <w:r>
        <w:rPr/>
        <w:t xml:space="preserve">, </w:t>
      </w:r>
      <w:r>
        <w:rPr/>
        <w:t>은행은 해당 상품을 제</w:t>
      </w:r>
      <w:r>
        <w:rPr/>
        <w:t>6</w:t>
      </w:r>
      <w:r>
        <w:rPr/>
        <w:t>조 가</w:t>
      </w:r>
      <w:r>
        <w:rPr/>
        <w:t>.</w:t>
      </w:r>
      <w:r>
        <w:rPr/>
        <w:t>부터 라</w:t>
      </w:r>
      <w:r>
        <w:rPr/>
        <w:t>.</w:t>
      </w:r>
      <w:r>
        <w:rPr/>
        <w:t>의 목적으로 보유하는 것이 아니라는 사실을 금융감독원장에게 입증하고 승인을 받아야 한다</w:t>
      </w:r>
      <w:r>
        <w:rPr/>
        <w:t>.</w:t>
      </w:r>
      <w:bookmarkEnd w:id="10"/>
    </w:p>
    <w:p>
      <w:pPr>
        <w:pStyle w:val="Heading3"/>
        <w:rPr/>
      </w:pPr>
      <w:bookmarkStart w:id="11" w:name="제9조트레이딩계정의-구분-및-관리를-위한-통제"/>
      <w:r>
        <w:rPr/>
        <w:t>제</w:t>
      </w:r>
      <w:r>
        <w:rPr/>
        <w:t>9</w:t>
      </w:r>
      <w:r>
        <w:rPr/>
        <w:t>조</w:t>
      </w:r>
      <w:r>
        <w:rPr/>
        <w:t>(</w:t>
      </w:r>
      <w:r>
        <w:rPr/>
        <w:t>트레이딩계정의 구분 및 관리를 위한 통제</w:t>
      </w:r>
      <w:r>
        <w:rPr/>
        <w:t>)</w:t>
      </w:r>
    </w:p>
    <w:p>
      <w:pPr>
        <w:pStyle w:val="Normal"/>
        <w:numPr>
          <w:ilvl w:val="0"/>
          <w:numId w:val="59"/>
        </w:numPr>
        <w:rPr/>
      </w:pPr>
      <w:r>
        <w:rPr/>
        <w:t>트레이딩계정의 구분 및 관리를 용이하게 하기 위해 전산상의 구분표시 및 회계적으로 구분</w:t>
      </w:r>
      <w:r>
        <w:rPr/>
        <w:t>·</w:t>
      </w:r>
      <w:r>
        <w:rPr/>
        <w:t>운용한다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신탁계정은 전산상의 구분표시 및 관리로 이에 갈음할 수 있다</w:t>
      </w:r>
      <w:r>
        <w:rPr/>
        <w:t>.</w:t>
      </w:r>
    </w:p>
    <w:p>
      <w:pPr>
        <w:pStyle w:val="Normal"/>
        <w:numPr>
          <w:ilvl w:val="0"/>
          <w:numId w:val="60"/>
        </w:numPr>
        <w:rPr/>
      </w:pPr>
      <w:r>
        <w:rPr/>
        <w:t>트레이딩데스크와 비트레이딩데스크를 분리하여 운용한다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신탁계정과 트레이딩 및 은행계정의 규모가 미미하여 분리가 용이하지 않을 경우는 제외할 수 있다</w:t>
      </w:r>
      <w:r>
        <w:rPr/>
        <w:t>.</w:t>
      </w:r>
    </w:p>
    <w:p>
      <w:pPr>
        <w:pStyle w:val="Normal"/>
        <w:numPr>
          <w:ilvl w:val="0"/>
          <w:numId w:val="61"/>
        </w:numPr>
        <w:rPr/>
      </w:pPr>
      <w:r>
        <w:rPr/>
        <w:t>기타포괄손익</w:t>
      </w:r>
      <w:r>
        <w:rPr/>
        <w:t>-</w:t>
      </w:r>
      <w:r>
        <w:rPr/>
        <w:t>공정가치채권</w:t>
      </w:r>
      <w:r>
        <w:rPr/>
        <w:t xml:space="preserve">, </w:t>
      </w:r>
      <w:r>
        <w:rPr/>
        <w:t>기타포괄손익</w:t>
      </w:r>
      <w:r>
        <w:rPr/>
        <w:t>-</w:t>
      </w:r>
      <w:r>
        <w:rPr/>
        <w:t>공정가치주식 등 은행계정이 트레이딩계정과 유사하게 운용되는 것을 방지하기 위하여 유가증권업무지침에 내부통제시스템을 마련하여야 한다</w:t>
      </w:r>
    </w:p>
    <w:p>
      <w:pPr>
        <w:pStyle w:val="Normal"/>
        <w:numPr>
          <w:ilvl w:val="0"/>
          <w:numId w:val="62"/>
        </w:numPr>
        <w:rPr/>
      </w:pPr>
      <w:r>
        <w:rPr/>
        <w:t>자의적인 판단에 따라 최초 계정분류를 변경하는 행위는 엄격히 제한되며</w:t>
      </w:r>
      <w:r>
        <w:rPr/>
        <w:t xml:space="preserve">, </w:t>
      </w:r>
      <w:r>
        <w:rPr/>
        <w:t>다음 각호의 극히 예외적인 상황에서 금융감독원장의 승인을 받는 경우에만 허용된다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구조조정에 의한 관련 트레이딩데스크의 영구적인 폐쇄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사업부문에서 철수하는 경우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특정 항목을 공정가치로 측정하고 그 변동을 당기손익으로 인식하도록 하는 회계기준의 변경</w:t>
      </w:r>
    </w:p>
    <w:p>
      <w:pPr>
        <w:pStyle w:val="Normal"/>
        <w:numPr>
          <w:ilvl w:val="0"/>
          <w:numId w:val="63"/>
        </w:numPr>
        <w:rPr/>
      </w:pPr>
      <w:r>
        <w:rPr/>
        <w:t>계정변경으로 소요자기자본이 감소하는 경우</w:t>
      </w:r>
      <w:r>
        <w:rPr/>
        <w:t xml:space="preserve">, </w:t>
      </w:r>
      <w:r>
        <w:rPr/>
        <w:t>그 차액을 별도 소요자기자본으로 인식하여 계정변경에도 은행의 전체 소요자기자본이 변동하지 않도록 해야 한다</w:t>
      </w:r>
      <w:r>
        <w:rPr/>
        <w:t>.</w:t>
      </w:r>
    </w:p>
    <w:p>
      <w:pPr>
        <w:pStyle w:val="Normal"/>
        <w:numPr>
          <w:ilvl w:val="0"/>
          <w:numId w:val="64"/>
        </w:numPr>
        <w:rPr/>
      </w:pPr>
      <w:r>
        <w:rPr/>
        <w:t>계정변경시 정책을 준수하는지 점검하여 명확히 문서화하고 경영진과 금융감독원장의 승인을 받아야 한다</w:t>
      </w:r>
      <w:r>
        <w:rPr/>
        <w:t>.</w:t>
      </w:r>
    </w:p>
    <w:p>
      <w:pPr>
        <w:pStyle w:val="Normal"/>
        <w:numPr>
          <w:ilvl w:val="0"/>
          <w:numId w:val="65"/>
        </w:numPr>
        <w:rPr/>
      </w:pPr>
      <w:r>
        <w:rPr/>
        <w:t>6.</w:t>
      </w:r>
      <w:r>
        <w:rPr/>
        <w:t>항에서 경영진과 금융감독원장의 승인을 받는 경우</w:t>
      </w:r>
      <w:r>
        <w:rPr/>
        <w:t xml:space="preserve">, </w:t>
      </w:r>
      <w:r>
        <w:rPr/>
        <w:t>은행은 계정변경 상품과 제</w:t>
      </w:r>
      <w:r>
        <w:rPr/>
        <w:t>9</w:t>
      </w:r>
      <w:r>
        <w:rPr/>
        <w:t xml:space="preserve">조 </w:t>
      </w:r>
      <w:r>
        <w:rPr/>
        <w:t>5</w:t>
      </w:r>
      <w:r>
        <w:rPr/>
        <w:t>항의 계정변경으로 인한 소요자기자본 등 계정변경에 대한 사항을 지체없이 공시해야 한다</w:t>
      </w:r>
      <w:r>
        <w:rPr/>
        <w:t>.</w:t>
      </w:r>
    </w:p>
    <w:p>
      <w:pPr>
        <w:pStyle w:val="Normal"/>
        <w:numPr>
          <w:ilvl w:val="0"/>
          <w:numId w:val="66"/>
        </w:numPr>
        <w:rPr/>
      </w:pPr>
      <w:r>
        <w:rPr/>
        <w:t>계정변경의 취소는 허용되지 않는다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포지션의 성격이 변하여 계정을 다시 분류해야 하는 경우에는 그렇지 않다</w:t>
      </w:r>
      <w:r>
        <w:rPr/>
        <w:t>.</w:t>
      </w:r>
    </w:p>
    <w:p>
      <w:pPr>
        <w:pStyle w:val="Normal"/>
        <w:numPr>
          <w:ilvl w:val="0"/>
          <w:numId w:val="67"/>
        </w:numPr>
        <w:rPr/>
      </w:pPr>
      <w:r>
        <w:rPr/>
        <w:t>은행은 전년도 인식한 모든 극히 예외적인 상황을 분석하고</w:t>
      </w:r>
      <w:r>
        <w:rPr/>
        <w:t xml:space="preserve">, </w:t>
      </w:r>
      <w:r>
        <w:rPr/>
        <w:t>이에 근거하여 계정 변경 정책을 적어도 연 단위로 갱신해야 한다</w:t>
      </w:r>
      <w:r>
        <w:rPr/>
        <w:t>.</w:t>
      </w:r>
      <w:bookmarkEnd w:id="6"/>
      <w:bookmarkEnd w:id="11"/>
    </w:p>
    <w:p>
      <w:pPr>
        <w:pStyle w:val="Heading2"/>
        <w:rPr/>
      </w:pPr>
      <w:bookmarkStart w:id="12" w:name="제3장-트레이딩데스크"/>
      <w:r>
        <w:rPr/>
        <w:t>제</w:t>
      </w:r>
      <w:r>
        <w:rPr/>
        <w:t>3</w:t>
      </w:r>
      <w:r>
        <w:rPr/>
        <w:t>장 트레이딩데스크</w:t>
      </w:r>
    </w:p>
    <w:p>
      <w:pPr>
        <w:pStyle w:val="Heading3"/>
        <w:rPr/>
      </w:pPr>
      <w:bookmarkStart w:id="13" w:name="제10조트레이딩데스크"/>
      <w:r>
        <w:rPr/>
        <w:t>제</w:t>
      </w:r>
      <w:r>
        <w:rPr/>
        <w:t>10</w:t>
      </w:r>
      <w:r>
        <w:rPr/>
        <w:t>조</w:t>
      </w:r>
      <w:r>
        <w:rPr/>
        <w:t>(</w:t>
      </w:r>
      <w:r>
        <w:rPr/>
        <w:t>트레이딩데스크</w:t>
      </w:r>
      <w:r>
        <w:rPr/>
        <w:t>)</w:t>
      </w:r>
    </w:p>
    <w:p>
      <w:pPr>
        <w:pStyle w:val="FirstParagraph"/>
        <w:rPr/>
      </w:pPr>
      <w:r>
        <w:rPr/>
        <w:t>트레이딩계정 운용부서는 다음의 사항을 준수해야한다</w:t>
      </w:r>
      <w:r>
        <w:rPr/>
        <w:t>.</w:t>
      </w:r>
    </w:p>
    <w:p>
      <w:pPr>
        <w:pStyle w:val="Normal"/>
        <w:numPr>
          <w:ilvl w:val="0"/>
          <w:numId w:val="68"/>
        </w:numPr>
        <w:rPr/>
      </w:pPr>
      <w:r>
        <w:rPr/>
        <w:t>조직 구조에 따라 트레이딩데스크 구조를 정의해야 하며</w:t>
      </w:r>
      <w:r>
        <w:rPr/>
        <w:t xml:space="preserve">, </w:t>
      </w:r>
      <w:r>
        <w:rPr/>
        <w:t>각 트레이딩데스크의 정책을 문서화해야 한다</w:t>
      </w:r>
      <w:r>
        <w:rPr/>
        <w:t>.</w:t>
      </w:r>
    </w:p>
    <w:p>
      <w:pPr>
        <w:pStyle w:val="Normal"/>
        <w:numPr>
          <w:ilvl w:val="0"/>
          <w:numId w:val="69"/>
        </w:numPr>
        <w:rPr/>
      </w:pPr>
      <w:r>
        <w:rPr/>
        <w:t>1.</w:t>
      </w:r>
      <w:r>
        <w:rPr/>
        <w:t xml:space="preserve">에 따라 트레이딩데스크 구조를 정의할 때 제 </w:t>
      </w:r>
      <w:r>
        <w:rPr/>
        <w:t>11</w:t>
      </w:r>
      <w:r>
        <w:rPr/>
        <w:t>조의 질적요건을 고려할 수 있으며</w:t>
      </w:r>
      <w:r>
        <w:rPr/>
        <w:t xml:space="preserve">, </w:t>
      </w:r>
      <w:r>
        <w:rPr/>
        <w:t>각 트레이딩데스크의 정책을 문서화할 때 질적요건을 충족하는지와 그 근거를 포함해야 한다</w:t>
      </w:r>
      <w:r>
        <w:rPr/>
        <w:t>.</w:t>
      </w:r>
    </w:p>
    <w:p>
      <w:pPr>
        <w:pStyle w:val="Normal"/>
        <w:numPr>
          <w:ilvl w:val="0"/>
          <w:numId w:val="70"/>
        </w:numPr>
        <w:rPr/>
      </w:pPr>
      <w:r>
        <w:rPr/>
        <w:t xml:space="preserve">은행은 </w:t>
      </w:r>
      <w:r>
        <w:rPr/>
        <w:t>1.</w:t>
      </w:r>
      <w:r>
        <w:rPr/>
        <w:t xml:space="preserve">에 따라 정의한 트레이딩데스크에서 제 </w:t>
      </w:r>
      <w:r>
        <w:rPr/>
        <w:t>11</w:t>
      </w:r>
      <w:r>
        <w:rPr/>
        <w:t>조의 질적요건과 무관하게 하위 트레이딩데스크를 내부적인 목적으로 정의하고 운영할 수 있다</w:t>
      </w:r>
      <w:r>
        <w:rPr/>
        <w:t>.</w:t>
      </w:r>
      <w:bookmarkEnd w:id="13"/>
    </w:p>
    <w:p>
      <w:pPr>
        <w:pStyle w:val="Heading3"/>
        <w:rPr/>
      </w:pPr>
      <w:bookmarkStart w:id="14" w:name="제11조트레이딩데스크의-질적요건"/>
      <w:r>
        <w:rPr/>
        <w:t>제</w:t>
      </w:r>
      <w:r>
        <w:rPr/>
        <w:t>11</w:t>
      </w:r>
      <w:r>
        <w:rPr/>
        <w:t>조</w:t>
      </w:r>
      <w:r>
        <w:rPr/>
        <w:t>(</w:t>
      </w:r>
      <w:r>
        <w:rPr/>
        <w:t>트레이딩데스크의 질적요건</w:t>
      </w:r>
      <w:r>
        <w:rPr/>
        <w:t>)</w:t>
      </w:r>
    </w:p>
    <w:p>
      <w:pPr>
        <w:pStyle w:val="FirstParagraph"/>
        <w:rPr/>
      </w:pPr>
      <w:r>
        <w:rPr/>
        <w:t>트레이딩데스크를 정의할 때 고려할 수 있는 질적요건이란 다음과 같다</w:t>
      </w:r>
      <w:r>
        <w:rPr/>
        <w:t>.</w:t>
      </w:r>
    </w:p>
    <w:p>
      <w:pPr>
        <w:pStyle w:val="Compact"/>
        <w:numPr>
          <w:ilvl w:val="0"/>
          <w:numId w:val="71"/>
        </w:numPr>
        <w:rPr/>
      </w:pPr>
      <w:r>
        <w:rPr/>
        <w:t>트레이딩데스크는 다음 요건을 모두 충족하는 트레이더 또는 트레이딩계좌의 그룹으로 명확히 정의되어야 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트레이딩계좌는 트레이딩 활동을 설명하는 명확한 관측 단위로서</w:t>
      </w:r>
      <w:r>
        <w:rPr/>
        <w:t xml:space="preserve">, </w:t>
      </w:r>
      <w:r>
        <w:rPr/>
        <w:t>하나의 트레이딩계좌는 오직 하나의 트레이딩데스크에만 할당될 것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하나의 트레이더는 오직 하나의 트레이딩데스크에만 소속될 것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규제차익 목적이 아니라 건전한 경영･영업･자원배분에 필요하다는 사실을 금융감독원장에게 입증하는 경우 하나 이상의 트레이딩데스크에 소속될 수 있다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트레이더 또는 트레이딩계좌는 명확히 정의된 전문분야를 보유할 것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트레이딩데스크는 트레이더 중 트레이딩데스크에 대한 직접적인 감독 권한을 가지는 트레이더</w:t>
      </w:r>
      <w:r>
        <w:rPr/>
        <w:t>(</w:t>
      </w:r>
      <w:r>
        <w:rPr/>
        <w:t>이하 “대표 트레이더”라 한다</w:t>
      </w:r>
      <w:r>
        <w:rPr/>
        <w:t>)</w:t>
      </w:r>
      <w:r>
        <w:rPr/>
        <w:t>가 하나 이상 있을 것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대표 트레이더가 둘 이상인 경우 역할･책임이 명확히 분리되거나 하나가 다른 하나에 대한 궁극적인 감독 권한을 가져야 한다</w:t>
      </w:r>
      <w:r>
        <w:rPr/>
        <w:t>.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트레이딩데스크가 부담하는 리스크의 범위는 사전에 수립된 트레이딩데스크의 목표와 일관되게 명확히 정의될 것</w:t>
      </w:r>
      <w:r>
        <w:rPr/>
        <w:t xml:space="preserve">. </w:t>
      </w:r>
      <w:r>
        <w:rPr/>
        <w:t>이 경우 해당 범위에는 전반적인 리스크군과 허용되는 리스크요소가 상세히 포함되어야 한다</w:t>
      </w:r>
      <w:r>
        <w:rPr/>
        <w:t>.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트레이딩데스크는 경영진에 대한 명확한 보고체계를 가지며</w:t>
      </w:r>
      <w:r>
        <w:rPr/>
        <w:t xml:space="preserve">, </w:t>
      </w:r>
      <w:r>
        <w:rPr/>
        <w:t>사전에 수립된 트레이딩데스크의 목표에 연계되며 명확하고 공식적인 보상정책을 가질 것</w:t>
      </w:r>
    </w:p>
    <w:p>
      <w:pPr>
        <w:pStyle w:val="Compact"/>
        <w:numPr>
          <w:ilvl w:val="0"/>
          <w:numId w:val="72"/>
        </w:numPr>
        <w:rPr/>
      </w:pPr>
      <w:r>
        <w:rPr/>
        <w:t>트레이딩데스크는 다음 사항을 모두 포함하여 명확히 정의되고 문서화된 사업전략을 보유 해야한다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관련 경제상황</w:t>
      </w:r>
      <w:r>
        <w:rPr/>
        <w:t xml:space="preserve">, </w:t>
      </w:r>
      <w:r>
        <w:rPr/>
        <w:t>주요활동 및 매매∙헤지전략에 대한 기술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대표 트레이더를 포함하는 관리조직이 수립한 트레이딩데스크의 예산･인력에 대한 연간 계획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트레이딩데스크의 수익･비용･위험가중자산 등에 대한 정기적인 경영정보 보고</w:t>
      </w:r>
    </w:p>
    <w:p>
      <w:pPr>
        <w:pStyle w:val="Compact"/>
        <w:numPr>
          <w:ilvl w:val="0"/>
          <w:numId w:val="73"/>
        </w:numPr>
        <w:rPr/>
      </w:pPr>
      <w:r>
        <w:rPr/>
        <w:t>트레이딩데스크는 은행업감독업무시행세칙 에 의거하여 명확한 리스크관리체계를 보유하여야 한다</w:t>
      </w:r>
      <w:r>
        <w:rPr/>
        <w:t>.</w:t>
      </w:r>
      <w:bookmarkEnd w:id="12"/>
      <w:bookmarkEnd w:id="14"/>
    </w:p>
    <w:p>
      <w:pPr>
        <w:pStyle w:val="Heading2"/>
        <w:rPr/>
      </w:pPr>
      <w:bookmarkStart w:id="15" w:name="제4장-가치평가"/>
      <w:r>
        <w:rPr/>
        <w:t>제</w:t>
      </w:r>
      <w:r>
        <w:rPr/>
        <w:t>4</w:t>
      </w:r>
      <w:r>
        <w:rPr/>
        <w:t>장 가치평가</w:t>
      </w:r>
    </w:p>
    <w:p>
      <w:pPr>
        <w:pStyle w:val="Heading3"/>
        <w:rPr/>
      </w:pPr>
      <w:bookmarkStart w:id="16" w:name="제12조트레이딩계정의-시가평가-원칙"/>
      <w:r>
        <w:rPr/>
        <w:t>제</w:t>
      </w:r>
      <w:r>
        <w:rPr/>
        <w:t>12</w:t>
      </w:r>
      <w:r>
        <w:rPr/>
        <w:t>조</w:t>
      </w:r>
      <w:r>
        <w:rPr/>
        <w:t>(</w:t>
      </w:r>
      <w:r>
        <w:rPr/>
        <w:t>트레이딩계정의 시가평가 원칙</w:t>
      </w:r>
      <w:r>
        <w:rPr/>
        <w:t>)</w:t>
      </w:r>
    </w:p>
    <w:p>
      <w:pPr>
        <w:pStyle w:val="FirstParagraph"/>
        <w:rPr/>
      </w:pPr>
      <w:r>
        <w:rPr/>
        <w:t xml:space="preserve">트레이딩계정 및 시가평가 하여야 하는 계정의 가치평가는 한국채택국제회계기준서 제 </w:t>
      </w:r>
      <w:r>
        <w:rPr/>
        <w:t>1109</w:t>
      </w:r>
      <w:r>
        <w:rPr/>
        <w:t>호 금융상품</w:t>
      </w:r>
      <w:r>
        <w:rPr/>
        <w:t xml:space="preserve">, </w:t>
      </w:r>
      <w:r>
        <w:rPr/>
        <w:t>은행업감독업무시행세칙  파생상품거래 회계처리기준 등 상위 법규에서 규정하는 범위내에서 즉시 청산 가능한 가격으로 포지션을 매일 평가함을 원칙으로 하며</w:t>
      </w:r>
      <w:r>
        <w:rPr/>
        <w:t xml:space="preserve">, </w:t>
      </w:r>
      <w:r>
        <w:rPr/>
        <w:t>부득이한 경우 일정한 주기를 정하여 평가한다</w:t>
      </w:r>
      <w:r>
        <w:rPr/>
        <w:t>.</w:t>
      </w:r>
      <w:bookmarkEnd w:id="16"/>
    </w:p>
    <w:p>
      <w:pPr>
        <w:pStyle w:val="Heading3"/>
        <w:rPr/>
      </w:pPr>
      <w:bookmarkStart w:id="17" w:name="제13조트레이딩계정에-대한-시가평가기준"/>
      <w:r>
        <w:rPr/>
        <w:t>제</w:t>
      </w:r>
      <w:r>
        <w:rPr/>
        <w:t>13</w:t>
      </w:r>
      <w:r>
        <w:rPr/>
        <w:t>조</w:t>
      </w:r>
      <w:r>
        <w:rPr/>
        <w:t>(</w:t>
      </w:r>
      <w:r>
        <w:rPr/>
        <w:t>트레이딩계정에 대한 시가평가기준</w:t>
      </w:r>
      <w:r>
        <w:rPr/>
        <w:t>)</w:t>
      </w:r>
    </w:p>
    <w:p>
      <w:pPr>
        <w:pStyle w:val="Normal"/>
        <w:numPr>
          <w:ilvl w:val="0"/>
          <w:numId w:val="74"/>
        </w:numPr>
        <w:rPr/>
      </w:pPr>
      <w:r>
        <w:rPr/>
        <w:t>트레이딩계정은 제</w:t>
      </w:r>
      <w:r>
        <w:rPr/>
        <w:t>2</w:t>
      </w:r>
      <w:r>
        <w:rPr/>
        <w:t>항 내지 제</w:t>
      </w:r>
      <w:r>
        <w:rPr/>
        <w:t>3</w:t>
      </w:r>
      <w:r>
        <w:rPr/>
        <w:t>항에 따라 일별 시가평가 하는 것을 원칙으로 하며</w:t>
      </w:r>
      <w:r>
        <w:rPr/>
        <w:t xml:space="preserve">, </w:t>
      </w:r>
      <w:r>
        <w:rPr/>
        <w:t>부득이한 경우 일정한 주기를 정하여 평가할 수 있다</w:t>
      </w:r>
      <w:r>
        <w:rPr/>
        <w:t>.</w:t>
      </w:r>
    </w:p>
    <w:p>
      <w:pPr>
        <w:pStyle w:val="Normal"/>
        <w:numPr>
          <w:ilvl w:val="0"/>
          <w:numId w:val="75"/>
        </w:numPr>
        <w:rPr/>
      </w:pPr>
      <w:r>
        <w:rPr/>
        <w:t>상품별 시가평가방법은 다음 각 호와 같다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주식</w:t>
      </w:r>
      <w:r>
        <w:rPr/>
        <w:t xml:space="preserve">: </w:t>
      </w:r>
      <w:r>
        <w:rPr/>
        <w:t>관련시장의 당일종가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평가일의 종가가 없는 경우에는 직전거래일의 종가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채권은 다음 자료를 이용하여 평가한다</w:t>
      </w:r>
      <w:r>
        <w:rPr/>
        <w:t>.</w:t>
      </w:r>
    </w:p>
    <w:p>
      <w:pPr>
        <w:pStyle w:val="Normal"/>
        <w:numPr>
          <w:ilvl w:val="0"/>
          <w:numId w:val="76"/>
        </w:numPr>
        <w:rPr/>
      </w:pPr>
      <w:r>
        <w:rPr/>
        <w:t>관련시장의 종가</w:t>
      </w:r>
      <w:r>
        <w:rPr/>
        <w:t xml:space="preserve">, </w:t>
      </w:r>
      <w:r>
        <w:rPr/>
        <w:t>또는 일반적으로 인정되는 시세정보공표기관에서 발표하는 해당 채권의 직전 최근 거래일의 종가</w:t>
      </w:r>
    </w:p>
    <w:p>
      <w:pPr>
        <w:pStyle w:val="Normal"/>
        <w:numPr>
          <w:ilvl w:val="0"/>
          <w:numId w:val="77"/>
        </w:numPr>
        <w:rPr/>
      </w:pPr>
      <w:r>
        <w:rPr/>
        <w:t>시장가격을 구할 수 없는 경우 채권의 공정가액은 평가대상 채권의 미래현금흐름을 무이표채수익률곡선의 해당기간별 이자율로 할인하여 산정</w:t>
      </w:r>
    </w:p>
    <w:p>
      <w:pPr>
        <w:pStyle w:val="Normal"/>
        <w:numPr>
          <w:ilvl w:val="0"/>
          <w:numId w:val="78"/>
        </w:numPr>
        <w:rPr/>
      </w:pPr>
      <w:r>
        <w:rPr/>
        <w:t>한국증권업협회가 공시하는 채권시가평가 기준수익률에 의하여 산정된 가격</w:t>
      </w:r>
      <w:r>
        <w:rPr/>
        <w:t>(</w:t>
      </w:r>
      <w:r>
        <w:rPr/>
        <w:t>원화채권</w:t>
      </w:r>
      <w:r>
        <w:rPr/>
        <w:t>)</w:t>
      </w:r>
    </w:p>
    <w:p>
      <w:pPr>
        <w:pStyle w:val="Normal"/>
        <w:numPr>
          <w:ilvl w:val="0"/>
          <w:numId w:val="79"/>
        </w:numPr>
        <w:rPr/>
      </w:pPr>
      <w:r>
        <w:rPr/>
        <w:t>외화채권의 공정가액을 평가함에 있어 무이표채수익률곡선 또는 채권발행자의 신용도를 합리적으로 산출할 수 없는 경우에는 로이터</w:t>
      </w:r>
      <w:r>
        <w:rPr/>
        <w:t xml:space="preserve">, </w:t>
      </w:r>
      <w:r>
        <w:rPr/>
        <w:t>블룸버그 등 공신력 있는 기관을 통한 거래별 예시가격 또는 유사증권의 거래가격</w:t>
      </w:r>
    </w:p>
    <w:p>
      <w:pPr>
        <w:pStyle w:val="Normal"/>
        <w:numPr>
          <w:ilvl w:val="0"/>
          <w:numId w:val="80"/>
        </w:numPr>
        <w:rPr/>
      </w:pPr>
      <w:r>
        <w:rPr/>
        <w:t>수익증권</w:t>
      </w:r>
      <w:r>
        <w:rPr/>
        <w:t xml:space="preserve">: </w:t>
      </w:r>
      <w:r>
        <w:rPr/>
        <w:t>증권투자신탁회사가 발표한 기준가격</w:t>
      </w:r>
    </w:p>
    <w:p>
      <w:pPr>
        <w:pStyle w:val="Normal"/>
        <w:numPr>
          <w:ilvl w:val="0"/>
          <w:numId w:val="81"/>
        </w:numPr>
        <w:rPr/>
      </w:pPr>
      <w:r>
        <w:rPr/>
        <w:t>뮤추얼펀드</w:t>
      </w:r>
      <w:r>
        <w:rPr/>
        <w:t xml:space="preserve">: </w:t>
      </w:r>
      <w:r>
        <w:rPr/>
        <w:t>시가 또는 펀드평가회사에서 평가한 가격</w:t>
      </w:r>
    </w:p>
    <w:p>
      <w:pPr>
        <w:pStyle w:val="Normal"/>
        <w:numPr>
          <w:ilvl w:val="0"/>
          <w:numId w:val="82"/>
        </w:numPr>
        <w:rPr/>
      </w:pPr>
      <w:r>
        <w:rPr/>
        <w:t>파생상품</w:t>
      </w:r>
    </w:p>
    <w:p>
      <w:pPr>
        <w:pStyle w:val="FirstParagraph"/>
        <w:rPr/>
      </w:pPr>
      <w:r>
        <w:rPr/>
        <w:t xml:space="preserve">① </w:t>
      </w:r>
      <w:r>
        <w:rPr/>
        <w:t>장내파생상품은 평가일 현재 관련시장의 종가</w:t>
      </w:r>
      <w:r>
        <w:rPr/>
        <w:t xml:space="preserve">. </w:t>
      </w:r>
      <w:r>
        <w:rPr/>
        <w:t>단</w:t>
      </w:r>
      <w:r>
        <w:rPr/>
        <w:t xml:space="preserve">, </w:t>
      </w:r>
      <w:r>
        <w:rPr/>
        <w:t>평가일 현재의 종가를 구할 수 없는 경우에는 직전 거래일의 종가</w:t>
      </w:r>
    </w:p>
    <w:p>
      <w:pPr>
        <w:pStyle w:val="BodyText"/>
        <w:rPr/>
      </w:pPr>
      <w:r>
        <w:rPr/>
        <w:t xml:space="preserve">② </w:t>
      </w:r>
      <w:r>
        <w:rPr/>
        <w:t>장외파생상품은 로이터</w:t>
      </w:r>
      <w:r>
        <w:rPr/>
        <w:t xml:space="preserve">, </w:t>
      </w:r>
      <w:r>
        <w:rPr/>
        <w:t>블룸버그 등 공신력 있는 기관을 통하여 입수한 대용가격 또는 가격결정모형을 통하여 합리적으로 산정한 가격</w:t>
      </w:r>
    </w:p>
    <w:p>
      <w:pPr>
        <w:pStyle w:val="Compact"/>
        <w:numPr>
          <w:ilvl w:val="0"/>
          <w:numId w:val="83"/>
        </w:numPr>
        <w:rPr/>
      </w:pPr>
      <w:r>
        <w:rPr/>
        <w:t xml:space="preserve">적용환율 등 기타 시가평가에 필요한 기준은 한국채택국제회계기준서 제 </w:t>
      </w:r>
      <w:r>
        <w:rPr/>
        <w:t>1109</w:t>
      </w:r>
      <w:r>
        <w:rPr/>
        <w:t>호 금융상품</w:t>
      </w:r>
      <w:r>
        <w:rPr/>
        <w:t xml:space="preserve">, </w:t>
      </w:r>
      <w:r>
        <w:rPr/>
        <w:t>은행업감독업무시행세칙  파생상품거래 회계처리기준 등에서 정하는 내용을 적용한다</w:t>
      </w:r>
      <w:r>
        <w:rPr/>
        <w:t>.</w:t>
      </w:r>
    </w:p>
    <w:p>
      <w:pPr>
        <w:pStyle w:val="Compact"/>
        <w:numPr>
          <w:ilvl w:val="0"/>
          <w:numId w:val="84"/>
        </w:numPr>
        <w:rPr/>
      </w:pPr>
      <w:r>
        <w:rPr/>
        <w:t>가격결정모형을 이용하여 시가평가를 실시하는 경우</w:t>
      </w:r>
      <w:r>
        <w:rPr/>
        <w:t xml:space="preserve">, </w:t>
      </w:r>
      <w:r>
        <w:rPr/>
        <w:t>다음 각 호의 기준을 고려하여야 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보수적인 관점을 적용하고 모형의 건전성 입증이 가능해야 한다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평가에 사용되는 자료는 외부에서 입수함을 원칙으로 한다</w:t>
      </w:r>
      <w:r>
        <w:rPr/>
        <w:t>.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모형사용에 대한 내부적인 승인 및 변경절차가 마련되어야 하며</w:t>
      </w:r>
      <w:r>
        <w:rPr/>
        <w:t xml:space="preserve">, </w:t>
      </w:r>
      <w:r>
        <w:rPr/>
        <w:t>주기적으로 모형</w:t>
      </w:r>
      <w:r>
        <w:rPr/>
        <w:t xml:space="preserve">, </w:t>
      </w:r>
      <w:r>
        <w:rPr/>
        <w:t>가정사항 등의 적정성을 점검하여야 한다</w:t>
      </w:r>
      <w:r>
        <w:rPr/>
        <w:t>.</w:t>
      </w:r>
    </w:p>
    <w:p>
      <w:pPr>
        <w:pStyle w:val="Compact"/>
        <w:numPr>
          <w:ilvl w:val="0"/>
          <w:numId w:val="85"/>
        </w:numPr>
        <w:rPr/>
      </w:pPr>
      <w:r>
        <w:rPr/>
        <w:t>제</w:t>
      </w:r>
      <w:r>
        <w:rPr/>
        <w:t>2</w:t>
      </w:r>
      <w:r>
        <w:rPr/>
        <w:t>항 내지 제</w:t>
      </w:r>
      <w:r>
        <w:rPr/>
        <w:t>3</w:t>
      </w:r>
      <w:r>
        <w:rPr/>
        <w:t>항에서 정한 방법 및 시장에서 인정되는 일반적인 평가방법이 아닌 다른 방법을 적용하거나</w:t>
      </w:r>
      <w:r>
        <w:rPr/>
        <w:t xml:space="preserve">, </w:t>
      </w:r>
      <w:r>
        <w:rPr/>
        <w:t>신상품에 대한 평가방법 결정 등 시가평가와 관련된 주요사항에 대하여는 시가평가위원회에서 결정한다</w:t>
      </w:r>
      <w:r>
        <w:rPr/>
        <w:t>.</w:t>
      </w:r>
      <w:bookmarkEnd w:id="17"/>
    </w:p>
    <w:p>
      <w:pPr>
        <w:pStyle w:val="Heading3"/>
        <w:rPr/>
      </w:pPr>
      <w:bookmarkStart w:id="18" w:name="제14조시가평가위원회-운영"/>
      <w:r>
        <w:rPr/>
        <w:t>제</w:t>
      </w:r>
      <w:r>
        <w:rPr/>
        <w:t>14</w:t>
      </w:r>
      <w:r>
        <w:rPr/>
        <w:t>조</w:t>
      </w:r>
      <w:r>
        <w:rPr/>
        <w:t>(</w:t>
      </w:r>
      <w:r>
        <w:rPr/>
        <w:t>시가평가위원회 운영</w:t>
      </w:r>
      <w:r>
        <w:rPr/>
        <w:t>)</w:t>
      </w:r>
    </w:p>
    <w:p>
      <w:pPr>
        <w:pStyle w:val="Normal"/>
        <w:numPr>
          <w:ilvl w:val="0"/>
          <w:numId w:val="86"/>
        </w:numPr>
        <w:rPr/>
      </w:pPr>
      <w:r>
        <w:rPr/>
        <w:t>신상품에 대한 시가평가방법의 결정</w:t>
      </w:r>
      <w:r>
        <w:rPr/>
        <w:t xml:space="preserve">, </w:t>
      </w:r>
      <w:r>
        <w:rPr/>
        <w:t>금융상품별 시가평가방법의 적정성 검토 및 보유 계정의 건전한 가치평가 등을 위하여 리스크관리 전담부서는 시가평가위원회를 구성</w:t>
      </w:r>
      <w:r>
        <w:rPr/>
        <w:t>·</w:t>
      </w:r>
      <w:r>
        <w:rPr/>
        <w:t>운영한다</w:t>
      </w:r>
      <w:r>
        <w:rPr/>
        <w:t>.</w:t>
      </w:r>
    </w:p>
    <w:p>
      <w:pPr>
        <w:pStyle w:val="Normal"/>
        <w:numPr>
          <w:ilvl w:val="0"/>
          <w:numId w:val="87"/>
        </w:numPr>
        <w:rPr/>
      </w:pPr>
      <w:r>
        <w:rPr/>
        <w:t>시가평가위원회의 설치운영은 리스크관리 전담부서가 주관하며</w:t>
      </w:r>
      <w:r>
        <w:rPr/>
        <w:t xml:space="preserve">, </w:t>
      </w:r>
      <w:r>
        <w:rPr/>
        <w:t>위원장은 리스크관리 전담부서의 부서장이 담당한다</w:t>
      </w:r>
      <w:r>
        <w:rPr/>
        <w:t>.</w:t>
      </w:r>
    </w:p>
    <w:p>
      <w:pPr>
        <w:pStyle w:val="Normal"/>
        <w:numPr>
          <w:ilvl w:val="0"/>
          <w:numId w:val="88"/>
        </w:numPr>
        <w:rPr/>
      </w:pPr>
      <w:r>
        <w:rPr/>
        <w:t>시가평가위원회는 리스크관리 전담부서 및 트레이딩계정 운용부서 담당자를 포함하여야 한다</w:t>
      </w:r>
      <w:r>
        <w:rPr/>
        <w:t>.</w:t>
      </w:r>
    </w:p>
    <w:p>
      <w:pPr>
        <w:pStyle w:val="Normal"/>
        <w:numPr>
          <w:ilvl w:val="0"/>
          <w:numId w:val="89"/>
        </w:numPr>
        <w:rPr/>
      </w:pPr>
      <w:r>
        <w:rPr/>
        <w:t>시가평가위원회에서 결정된 사항은 결정사항을 기록</w:t>
      </w:r>
      <w:r>
        <w:rPr/>
        <w:t>·</w:t>
      </w:r>
      <w:r>
        <w:rPr/>
        <w:t>유지하여 평가실무에 적용한다</w:t>
      </w:r>
      <w:r>
        <w:rPr/>
        <w:t>.</w:t>
      </w:r>
      <w:bookmarkEnd w:id="18"/>
    </w:p>
    <w:p>
      <w:pPr>
        <w:pStyle w:val="Heading3"/>
        <w:rPr/>
      </w:pPr>
      <w:bookmarkStart w:id="19" w:name="제15조신탁계정의-측정"/>
      <w:r>
        <w:rPr/>
        <w:t>제</w:t>
      </w:r>
      <w:r>
        <w:rPr/>
        <w:t>15</w:t>
      </w:r>
      <w:r>
        <w:rPr/>
        <w:t>조</w:t>
      </w:r>
      <w:r>
        <w:rPr/>
        <w:t>(</w:t>
      </w:r>
      <w:r>
        <w:rPr/>
        <w:t>신탁계정의 측정</w:t>
      </w:r>
      <w:r>
        <w:rPr/>
        <w:t>)</w:t>
      </w:r>
    </w:p>
    <w:p>
      <w:pPr>
        <w:pStyle w:val="FirstParagraph"/>
        <w:rPr/>
      </w:pPr>
      <w:r>
        <w:rPr/>
        <w:t xml:space="preserve">은행업감독업무시행세칙 </w:t>
      </w:r>
      <w:r>
        <w:rPr/>
        <w:t>2.</w:t>
      </w:r>
      <w:r>
        <w:rPr/>
        <w:t>가</w:t>
      </w:r>
      <w:r>
        <w:rPr/>
        <w:t>.(2)</w:t>
      </w:r>
      <w:r>
        <w:rPr/>
        <w:t>에 따라 연결대상에 해당하는 원본 또는 이익보전계약이 있는 신탁자산 중 제</w:t>
      </w:r>
      <w:r>
        <w:rPr/>
        <w:t>2</w:t>
      </w:r>
      <w:r>
        <w:rPr/>
        <w:t>장에 따라 트레이딩계정으로 분류되는 상품을 시장리스크 소요자기자본 산출대상에 포함해야 한다</w:t>
      </w:r>
      <w:r>
        <w:rPr/>
        <w:t>.</w:t>
      </w:r>
      <w:bookmarkEnd w:id="19"/>
    </w:p>
    <w:p>
      <w:pPr>
        <w:pStyle w:val="Heading3"/>
        <w:rPr/>
      </w:pPr>
      <w:bookmarkStart w:id="20" w:name="제16조신탁계정에-대한-정책규정의-적용"/>
      <w:r>
        <w:rPr/>
        <w:t>제</w:t>
      </w:r>
      <w:r>
        <w:rPr/>
        <w:t>16</w:t>
      </w:r>
      <w:r>
        <w:rPr/>
        <w:t>조</w:t>
      </w:r>
      <w:r>
        <w:rPr/>
        <w:t>(</w:t>
      </w:r>
      <w:r>
        <w:rPr/>
        <w:t>신탁계정에 대한 정책규정의 적용</w:t>
      </w:r>
      <w:r>
        <w:rPr/>
        <w:t>)</w:t>
      </w:r>
    </w:p>
    <w:p>
      <w:pPr>
        <w:pStyle w:val="FirstParagraph"/>
        <w:rPr/>
      </w:pPr>
      <w:r>
        <w:rPr/>
        <w:t>신탁계정은 원본 또는 이익보전 약정이 있는 시가평가대상 신탁계정에 대하여 정책규정을 적용한다</w:t>
      </w:r>
      <w:r>
        <w:rPr/>
        <w:t>.</w:t>
      </w:r>
      <w:bookmarkEnd w:id="20"/>
    </w:p>
    <w:p>
      <w:pPr>
        <w:pStyle w:val="Heading3"/>
        <w:rPr/>
      </w:pPr>
      <w:bookmarkStart w:id="21" w:name="제17조건전한-가치평가"/>
      <w:r>
        <w:rPr/>
        <w:t>제</w:t>
      </w:r>
      <w:r>
        <w:rPr/>
        <w:t>17</w:t>
      </w:r>
      <w:r>
        <w:rPr/>
        <w:t>조</w:t>
      </w:r>
      <w:r>
        <w:rPr/>
        <w:t>(</w:t>
      </w:r>
      <w:r>
        <w:rPr/>
        <w:t>건전한 가치평가</w:t>
      </w:r>
      <w:r>
        <w:rPr/>
        <w:t>)</w:t>
      </w:r>
    </w:p>
    <w:p>
      <w:pPr>
        <w:pStyle w:val="FirstParagraph"/>
        <w:rPr/>
      </w:pPr>
      <w:r>
        <w:rPr/>
        <w:t>은행은 실제 시장가격이 존재하지 않거나</w:t>
      </w:r>
      <w:r>
        <w:rPr/>
        <w:t xml:space="preserve">, </w:t>
      </w:r>
      <w:r>
        <w:rPr/>
        <w:t>가치평가 투입변수가 관측 불가능하거나 또는 유동성이 부족하여 건전한 가치평가가 어려운 포지션에 대하여 은행업감독업무시행세칙 을 특히 엄격하게 충족해야 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은행이 회계목적상 가치평가를 은행업감독업무시행세칙 에서 요구하는 사항을 충족하도록 변경해야 하는 것은 아니다</w:t>
      </w:r>
      <w:r>
        <w:rPr/>
        <w:t>.</w:t>
      </w:r>
      <w:bookmarkEnd w:id="15"/>
      <w:bookmarkEnd w:id="21"/>
    </w:p>
    <w:p>
      <w:pPr>
        <w:pStyle w:val="Heading2"/>
        <w:rPr/>
      </w:pPr>
      <w:bookmarkStart w:id="22" w:name="제5장-자회사에-대한-트레이딩정책규정-적용"/>
      <w:r>
        <w:rPr/>
        <w:t>제</w:t>
      </w:r>
      <w:r>
        <w:rPr/>
        <w:t>5</w:t>
      </w:r>
      <w:r>
        <w:rPr/>
        <w:t>장 자회사에 대한 트레이딩정책규정 적용</w:t>
      </w:r>
    </w:p>
    <w:p>
      <w:pPr>
        <w:pStyle w:val="Heading3"/>
        <w:rPr/>
      </w:pPr>
      <w:bookmarkStart w:id="23" w:name="제18조트레이딩정책규정의-총괄"/>
      <w:r>
        <w:rPr/>
        <w:t>제</w:t>
      </w:r>
      <w:r>
        <w:rPr/>
        <w:t>18</w:t>
      </w:r>
      <w:r>
        <w:rPr/>
        <w:t>조</w:t>
      </w:r>
      <w:r>
        <w:rPr/>
        <w:t>(</w:t>
      </w:r>
      <w:r>
        <w:rPr/>
        <w:t>트레이딩정책규정의 총괄</w:t>
      </w:r>
      <w:r>
        <w:rPr/>
        <w:t>)</w:t>
      </w:r>
    </w:p>
    <w:p>
      <w:pPr>
        <w:pStyle w:val="Normal"/>
        <w:numPr>
          <w:ilvl w:val="0"/>
          <w:numId w:val="90"/>
        </w:numPr>
        <w:rPr/>
      </w:pPr>
      <w:r>
        <w:rPr/>
        <w:t>자회사에 대한 정책규정의 적용은 전략기획부에서 총괄하며</w:t>
      </w:r>
      <w:r>
        <w:rPr/>
        <w:t xml:space="preserve">, </w:t>
      </w:r>
      <w:r>
        <w:rPr/>
        <w:t>투자기업체관리지침</w:t>
      </w:r>
      <w:r>
        <w:rPr/>
        <w:t xml:space="preserve">, </w:t>
      </w:r>
      <w:r>
        <w:rPr/>
        <w:t>투자기업체리스크관리지침 등을 통해 제</w:t>
      </w:r>
      <w:r>
        <w:rPr/>
        <w:t>2</w:t>
      </w:r>
      <w:r>
        <w:rPr/>
        <w:t>항 내지 제</w:t>
      </w:r>
      <w:r>
        <w:rPr/>
        <w:t>3</w:t>
      </w:r>
      <w:r>
        <w:rPr/>
        <w:t>항의 사항을 관리한다</w:t>
      </w:r>
      <w:r>
        <w:rPr/>
        <w:t>.</w:t>
      </w:r>
    </w:p>
    <w:p>
      <w:pPr>
        <w:pStyle w:val="Normal"/>
        <w:numPr>
          <w:ilvl w:val="0"/>
          <w:numId w:val="91"/>
        </w:numPr>
        <w:rPr/>
      </w:pPr>
      <w:r>
        <w:rPr/>
        <w:t>자회사는 트레이딩정책지침을 제정하여 운용하되</w:t>
      </w:r>
      <w:r>
        <w:rPr/>
        <w:t xml:space="preserve">, </w:t>
      </w:r>
      <w:r>
        <w:rPr/>
        <w:t>다음 각 호를 준수하여야 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트레이딩계정을 운용하고자 하는 연결기준 자기자본비율 산출대상 자회사는 이 정책규정의 적용을 받는다</w:t>
      </w:r>
      <w:r>
        <w:rPr/>
        <w:t>.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트레이딩계정을 운용하는 연결기준 자기자본비율 산출대상 자회사는 자체 트레이딩정책지침을 제정하여 운용할 수 있으며</w:t>
      </w:r>
      <w:r>
        <w:rPr/>
        <w:t xml:space="preserve">, </w:t>
      </w:r>
      <w:r>
        <w:rPr/>
        <w:t>이 경우 모회사에 사전협의 및 모회사의 위험관리집행위원회 승인을 득하여야 한다</w:t>
      </w:r>
      <w:r>
        <w:rPr/>
        <w:t>.</w:t>
      </w:r>
    </w:p>
    <w:p>
      <w:pPr>
        <w:pStyle w:val="Compact"/>
        <w:numPr>
          <w:ilvl w:val="0"/>
          <w:numId w:val="92"/>
        </w:numPr>
        <w:rPr/>
      </w:pPr>
      <w:r>
        <w:rPr/>
        <w:t>자회사에 적용되는 트레이딩 활동범위는 다음 각 호와 같다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고정 또는 변동금리부 채권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채권과 유사한 가격변동성을 나타내는 전환사채</w:t>
      </w:r>
      <w:r>
        <w:rPr/>
        <w:t xml:space="preserve">, </w:t>
      </w:r>
      <w:r>
        <w:rPr/>
        <w:t>수익증권</w:t>
      </w:r>
      <w:r>
        <w:rPr/>
        <w:t xml:space="preserve">, </w:t>
      </w:r>
      <w:r>
        <w:rPr/>
        <w:t>우선주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주식</w:t>
      </w:r>
    </w:p>
    <w:p>
      <w:pPr>
        <w:pStyle w:val="BodyText"/>
        <w:rPr/>
      </w:pPr>
      <w:r>
        <w:rPr/>
        <w:t>라</w:t>
      </w:r>
      <w:r>
        <w:rPr/>
        <w:t xml:space="preserve">. </w:t>
      </w:r>
      <w:r>
        <w:rPr/>
        <w:t>주식과 유사한 가격변동성을 나타내는 전환증권</w:t>
      </w:r>
      <w:r>
        <w:rPr/>
        <w:t xml:space="preserve">, </w:t>
      </w:r>
      <w:r>
        <w:rPr/>
        <w:t>수익증권</w:t>
      </w:r>
    </w:p>
    <w:p>
      <w:pPr>
        <w:pStyle w:val="BodyText"/>
        <w:rPr/>
      </w:pPr>
      <w:r>
        <w:rPr/>
        <w:t>마</w:t>
      </w:r>
      <w:r>
        <w:rPr/>
        <w:t xml:space="preserve">. </w:t>
      </w:r>
      <w:r>
        <w:rPr/>
        <w:t>주식예탁증서</w:t>
      </w:r>
      <w:r>
        <w:rPr/>
        <w:t xml:space="preserve">, </w:t>
      </w:r>
      <w:r>
        <w:rPr/>
        <w:t>주식매매에 관한 약정 등의 매입 매도포지션</w:t>
      </w:r>
    </w:p>
    <w:p>
      <w:pPr>
        <w:pStyle w:val="BodyText"/>
        <w:rPr/>
      </w:pPr>
      <w:r>
        <w:rPr/>
        <w:t>바</w:t>
      </w:r>
      <w:r>
        <w:rPr/>
        <w:t xml:space="preserve">. </w:t>
      </w:r>
      <w:r>
        <w:rPr/>
        <w:t>기타 금리 또는 주식관련 금융수단을 기초자산으로 하는 파생상품</w:t>
      </w:r>
    </w:p>
    <w:p>
      <w:pPr>
        <w:pStyle w:val="Compact"/>
        <w:numPr>
          <w:ilvl w:val="0"/>
          <w:numId w:val="93"/>
        </w:numPr>
        <w:rPr/>
      </w:pPr>
      <w:r>
        <w:rPr/>
        <w:t>자회사는 트레이딩계정을 운용하고자 할 경우</w:t>
      </w:r>
      <w:r>
        <w:rPr/>
        <w:t xml:space="preserve">, </w:t>
      </w:r>
      <w:r>
        <w:rPr/>
        <w:t>모회사의 위험관리위원회로부터 포지션한도를 승인 받아 운용하여야 한다</w:t>
      </w:r>
      <w:r>
        <w:rPr/>
        <w:t>.</w:t>
      </w:r>
      <w:bookmarkEnd w:id="23"/>
    </w:p>
    <w:p>
      <w:pPr>
        <w:pStyle w:val="Heading3"/>
        <w:rPr/>
      </w:pPr>
      <w:bookmarkStart w:id="24" w:name="제19조연결기준-시장리스크-측정방법"/>
      <w:r>
        <w:rPr/>
        <w:t>제</w:t>
      </w:r>
      <w:r>
        <w:rPr/>
        <w:t>19</w:t>
      </w:r>
      <w:r>
        <w:rPr/>
        <w:t>조</w:t>
      </w:r>
      <w:r>
        <w:rPr/>
        <w:t>(</w:t>
      </w:r>
      <w:r>
        <w:rPr/>
        <w:t>연결기준 시장리스크 측정방법</w:t>
      </w:r>
      <w:r>
        <w:rPr/>
        <w:t>)</w:t>
      </w:r>
    </w:p>
    <w:p>
      <w:pPr>
        <w:pStyle w:val="FirstParagraph"/>
        <w:rPr/>
      </w:pPr>
      <w:r>
        <w:rPr/>
        <w:t xml:space="preserve">은행업감독업무시행세칙 </w:t>
      </w:r>
      <w:r>
        <w:rPr/>
        <w:t>2.</w:t>
      </w:r>
      <w:r>
        <w:rPr/>
        <w:t>가</w:t>
      </w:r>
      <w:r>
        <w:rPr/>
        <w:t>.</w:t>
      </w:r>
      <w:r>
        <w:rPr/>
        <w:t>에 따라 연결기준으로 시장리스크 소요자기자본을 산출해야 하며</w:t>
      </w:r>
      <w:r>
        <w:rPr/>
        <w:t xml:space="preserve">, </w:t>
      </w:r>
      <w:r>
        <w:rPr/>
        <w:t xml:space="preserve">이 경우 은행업감독업무시행세칙 </w:t>
      </w:r>
      <w:r>
        <w:rPr/>
        <w:t>2.</w:t>
      </w:r>
      <w:r>
        <w:rPr/>
        <w:t>가</w:t>
      </w:r>
      <w:r>
        <w:rPr/>
        <w:t>.(2)</w:t>
      </w:r>
      <w:r>
        <w:rPr/>
        <w:t>에 따라 연결대상에 해당하는 원본 또는 이익보전계약이 있는 신탁자산 중 트레이딩계정으로 분류되는 상품을 시장리스크 소요자기자본 산출대상에 포함해야 한다</w:t>
      </w:r>
      <w:r>
        <w:rPr/>
        <w:t>.</w:t>
      </w:r>
      <w:bookmarkEnd w:id="22"/>
      <w:bookmarkEnd w:id="24"/>
    </w:p>
    <w:p>
      <w:pPr>
        <w:pStyle w:val="Heading2"/>
        <w:rPr/>
      </w:pPr>
      <w:bookmarkStart w:id="25" w:name="제6장-기-타"/>
      <w:r>
        <w:rPr/>
        <w:t>제</w:t>
      </w:r>
      <w:r>
        <w:rPr/>
        <w:t>6</w:t>
      </w:r>
      <w:r>
        <w:rPr/>
        <w:t>장 기 타</w:t>
      </w:r>
    </w:p>
    <w:p>
      <w:pPr>
        <w:pStyle w:val="Heading3"/>
        <w:rPr/>
      </w:pPr>
      <w:bookmarkStart w:id="26" w:name="제20조구조적-외환포지션"/>
      <w:r>
        <w:rPr/>
        <w:t>제</w:t>
      </w:r>
      <w:r>
        <w:rPr/>
        <w:t>20</w:t>
      </w:r>
      <w:r>
        <w:rPr/>
        <w:t>조</w:t>
      </w:r>
      <w:r>
        <w:rPr/>
        <w:t>(</w:t>
      </w:r>
      <w:r>
        <w:rPr/>
        <w:t>구조적 외환포지션</w:t>
      </w:r>
      <w:r>
        <w:rPr/>
        <w:t>)</w:t>
      </w:r>
    </w:p>
    <w:p>
      <w:pPr>
        <w:pStyle w:val="Normal"/>
        <w:numPr>
          <w:ilvl w:val="0"/>
          <w:numId w:val="94"/>
        </w:numPr>
        <w:rPr/>
      </w:pPr>
      <w:r>
        <w:rPr/>
        <w:t>구조적 외환포지션의 식별 및 관리방법 등에 대한 제반사항은 자금운용부에서 총괄하며</w:t>
      </w:r>
      <w:r>
        <w:rPr/>
        <w:t xml:space="preserve">, </w:t>
      </w:r>
      <w:r>
        <w:rPr/>
        <w:t>재무기획부가 지원한다</w:t>
      </w:r>
      <w:r>
        <w:rPr/>
        <w:t>.</w:t>
      </w:r>
    </w:p>
    <w:p>
      <w:pPr>
        <w:pStyle w:val="Normal"/>
        <w:numPr>
          <w:ilvl w:val="0"/>
          <w:numId w:val="95"/>
        </w:numPr>
        <w:rPr/>
      </w:pPr>
      <w:r>
        <w:rPr/>
        <w:t>구조적 외환포지션을 운영하고자 할 경우에는 위험관리위원회의 결의를 득한 후 금융감독원장의 승인을 받아 운영한다</w:t>
      </w:r>
      <w:r>
        <w:rPr/>
        <w:t>.</w:t>
      </w:r>
    </w:p>
    <w:p>
      <w:pPr>
        <w:pStyle w:val="Normal"/>
        <w:numPr>
          <w:ilvl w:val="0"/>
          <w:numId w:val="96"/>
        </w:numPr>
        <w:rPr/>
      </w:pPr>
      <w:r>
        <w:rPr/>
        <w:t xml:space="preserve">구조적 외환포지션은 환율 변동에 대한 자기자본비율 보호를 목적으로 외환리스크 소요자기자본 산출에서 최소 </w:t>
      </w:r>
      <w:r>
        <w:rPr/>
        <w:t>6</w:t>
      </w:r>
      <w:r>
        <w:rPr/>
        <w:t>개월 이상 제외하여야 한다</w:t>
      </w:r>
      <w:r>
        <w:rPr/>
        <w:t>.</w:t>
      </w:r>
    </w:p>
    <w:p>
      <w:pPr>
        <w:pStyle w:val="Normal"/>
        <w:numPr>
          <w:ilvl w:val="0"/>
          <w:numId w:val="97"/>
        </w:numPr>
        <w:rPr/>
      </w:pPr>
      <w:r>
        <w:rPr/>
        <w:t>구조적 외환포지션이 다음 각 호에 해당하는 경우 지체없이 금융감독원장에게 통지한다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금융감독원장이 승인 통보한 내용의 중요한 변경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적용통화 변경</w:t>
      </w:r>
      <w:r>
        <w:rPr/>
        <w:t xml:space="preserve">, </w:t>
      </w:r>
      <w:r>
        <w:rPr/>
        <w:t>포지션 소멸 등 승인 요건 불충족 사유의 발생</w:t>
      </w:r>
      <w:bookmarkEnd w:id="26"/>
    </w:p>
    <w:p>
      <w:pPr>
        <w:pStyle w:val="Heading3"/>
        <w:rPr/>
      </w:pPr>
      <w:bookmarkStart w:id="27" w:name="제21조제정-및-개정의-승인권자"/>
      <w:r>
        <w:rPr/>
        <w:t>제</w:t>
      </w:r>
      <w:r>
        <w:rPr/>
        <w:t>21</w:t>
      </w:r>
      <w:r>
        <w:rPr/>
        <w:t>조</w:t>
      </w:r>
      <w:r>
        <w:rPr/>
        <w:t>(</w:t>
      </w:r>
      <w:r>
        <w:rPr/>
        <w:t>제정 및 개정의 승인권자</w:t>
      </w:r>
      <w:r>
        <w:rPr/>
        <w:t>)</w:t>
      </w:r>
    </w:p>
    <w:p>
      <w:pPr>
        <w:pStyle w:val="Normal"/>
        <w:numPr>
          <w:ilvl w:val="0"/>
          <w:numId w:val="98"/>
        </w:numPr>
        <w:rPr/>
      </w:pPr>
      <w:r>
        <w:rPr/>
        <w:t>이 정책규정은 위험관리위원회의 결의로써 제정하며</w:t>
      </w:r>
      <w:r>
        <w:rPr/>
        <w:t xml:space="preserve">, </w:t>
      </w:r>
      <w:r>
        <w:rPr/>
        <w:t>금융감독원장의 승인을 받은 후 시행한다</w:t>
      </w:r>
      <w:r>
        <w:rPr/>
        <w:t>.</w:t>
      </w:r>
    </w:p>
    <w:p>
      <w:pPr>
        <w:pStyle w:val="Normal"/>
        <w:numPr>
          <w:ilvl w:val="0"/>
          <w:numId w:val="99"/>
        </w:numPr>
        <w:rPr/>
      </w:pPr>
      <w:r>
        <w:rPr/>
        <w:t>이 정책규정은 위험관리위원회의 결의로써 개정하는 것을 원칙으로 하며</w:t>
      </w:r>
      <w:r>
        <w:rPr/>
        <w:t xml:space="preserve">, </w:t>
      </w:r>
      <w:r>
        <w:rPr/>
        <w:t>개정 후 즉시 금융감독원장에게 통지한다</w:t>
      </w:r>
      <w:r>
        <w:rPr/>
        <w:t xml:space="preserve">. </w:t>
      </w:r>
      <w:r>
        <w:rPr/>
        <w:t>다만</w:t>
      </w:r>
      <w:r>
        <w:rPr/>
        <w:t xml:space="preserve">, </w:t>
      </w:r>
      <w:r>
        <w:rPr/>
        <w:t>단순 자구수정</w:t>
      </w:r>
      <w:r>
        <w:rPr/>
        <w:t xml:space="preserve">, </w:t>
      </w:r>
      <w:r>
        <w:rPr/>
        <w:t>외규에 의한 단순한 수정 등 보완차원의 개정시에는 위험관리위원회 보고로써 대체한다</w:t>
      </w:r>
      <w:r>
        <w:rPr/>
        <w:t>.</w:t>
      </w:r>
      <w:bookmarkEnd w:id="27"/>
    </w:p>
    <w:p>
      <w:pPr>
        <w:pStyle w:val="Heading3"/>
        <w:rPr/>
      </w:pPr>
      <w:bookmarkStart w:id="28" w:name="제22조내부감사"/>
      <w:r>
        <w:rPr/>
        <w:t>제</w:t>
      </w:r>
      <w:r>
        <w:rPr/>
        <w:t>22</w:t>
      </w:r>
      <w:r>
        <w:rPr/>
        <w:t>조</w:t>
      </w:r>
      <w:r>
        <w:rPr/>
        <w:t>(</w:t>
      </w:r>
      <w:r>
        <w:rPr/>
        <w:t>내부감사</w:t>
      </w:r>
      <w:r>
        <w:rPr/>
        <w:t>)</w:t>
      </w:r>
    </w:p>
    <w:p>
      <w:pPr>
        <w:pStyle w:val="Normal"/>
        <w:numPr>
          <w:ilvl w:val="0"/>
          <w:numId w:val="100"/>
        </w:numPr>
        <w:rPr/>
      </w:pPr>
      <w:r>
        <w:rPr/>
        <w:t xml:space="preserve">이 정책규정의 운영에 대하여 최소 연 </w:t>
      </w:r>
      <w:r>
        <w:rPr/>
        <w:t>1</w:t>
      </w:r>
      <w:r>
        <w:rPr/>
        <w:t>회 이상 내부감사를 실시한다</w:t>
      </w:r>
      <w:r>
        <w:rPr/>
        <w:t>.</w:t>
      </w:r>
    </w:p>
    <w:p>
      <w:pPr>
        <w:pStyle w:val="Normal"/>
        <w:numPr>
          <w:ilvl w:val="0"/>
          <w:numId w:val="101"/>
        </w:numPr>
        <w:rPr/>
      </w:pPr>
      <w:r>
        <w:rPr/>
        <w:t>내부감사 대상에는 이 정책규정의 관리를 통할하는 부서 및 트레이딩 부서를 모두 포함한다</w:t>
      </w:r>
      <w:r>
        <w:rPr/>
        <w:t>.</w:t>
      </w:r>
    </w:p>
    <w:p>
      <w:pPr>
        <w:pStyle w:val="Normal"/>
        <w:numPr>
          <w:ilvl w:val="0"/>
          <w:numId w:val="102"/>
        </w:numPr>
        <w:rPr/>
      </w:pPr>
      <w:r>
        <w:rPr/>
        <w:t>내부감사시 최소한 다음 각 호의 사항이 점검되어야 한다</w:t>
      </w:r>
      <w:r>
        <w:rPr/>
        <w:t>.</w:t>
      </w:r>
    </w:p>
    <w:p>
      <w:pPr>
        <w:pStyle w:val="FirstParagraph"/>
        <w:rPr/>
      </w:pPr>
      <w:r>
        <w:rPr/>
        <w:t>가</w:t>
      </w:r>
      <w:r>
        <w:rPr/>
        <w:t xml:space="preserve">. </w:t>
      </w:r>
      <w:r>
        <w:rPr/>
        <w:t>이 정책규정의 제정 및 개정과 관련된 제반 절차의 적정성 여부</w:t>
      </w:r>
    </w:p>
    <w:p>
      <w:pPr>
        <w:pStyle w:val="BodyText"/>
        <w:rPr/>
      </w:pPr>
      <w:r>
        <w:rPr/>
        <w:t>나</w:t>
      </w:r>
      <w:r>
        <w:rPr/>
        <w:t xml:space="preserve">. </w:t>
      </w:r>
      <w:r>
        <w:rPr/>
        <w:t>계정간의 구분원칙의 준수</w:t>
      </w:r>
      <w:r>
        <w:rPr/>
        <w:t xml:space="preserve">, </w:t>
      </w:r>
      <w:r>
        <w:rPr/>
        <w:t>구분원칙의 일관성 유지 여부</w:t>
      </w:r>
      <w:r>
        <w:rPr/>
        <w:t xml:space="preserve">, </w:t>
      </w:r>
      <w:r>
        <w:rPr/>
        <w:t>재분류의 적정성</w:t>
      </w:r>
    </w:p>
    <w:p>
      <w:pPr>
        <w:pStyle w:val="BodyText"/>
        <w:rPr/>
      </w:pPr>
      <w:r>
        <w:rPr/>
        <w:t>다</w:t>
      </w:r>
      <w:r>
        <w:rPr/>
        <w:t xml:space="preserve">. </w:t>
      </w:r>
      <w:r>
        <w:rPr/>
        <w:t>기타포괄손익</w:t>
      </w:r>
      <w:r>
        <w:rPr/>
        <w:t>-</w:t>
      </w:r>
      <w:r>
        <w:rPr/>
        <w:t>공정가치채권 운용의 적정성</w:t>
      </w:r>
      <w:bookmarkEnd w:id="28"/>
    </w:p>
    <w:p>
      <w:pPr>
        <w:pStyle w:val="Heading3"/>
        <w:rPr/>
      </w:pPr>
      <w:bookmarkStart w:id="29" w:name="제23조공-시"/>
      <w:r>
        <w:rPr/>
        <w:t>제</w:t>
      </w:r>
      <w:r>
        <w:rPr/>
        <w:t>23</w:t>
      </w:r>
      <w:r>
        <w:rPr/>
        <w:t>조</w:t>
      </w:r>
      <w:r>
        <w:rPr/>
        <w:t>(</w:t>
      </w:r>
      <w:r>
        <w:rPr/>
        <w:t>공 시</w:t>
      </w:r>
      <w:r>
        <w:rPr/>
        <w:t>)</w:t>
      </w:r>
    </w:p>
    <w:p>
      <w:pPr>
        <w:pStyle w:val="FirstParagraph"/>
        <w:rPr/>
      </w:pPr>
      <w:r>
        <w:rPr/>
        <w:t xml:space="preserve">정책규정의 주요내용에 대해서는 매년 </w:t>
      </w:r>
      <w:r>
        <w:rPr/>
        <w:t>1</w:t>
      </w:r>
      <w:r>
        <w:rPr/>
        <w:t>회 경영공시자료에 공시한다</w:t>
      </w:r>
      <w:r>
        <w:rPr/>
        <w:t>.</w:t>
      </w:r>
      <w:bookmarkEnd w:id="25"/>
      <w:bookmarkEnd w:id="29"/>
    </w:p>
    <w:p>
      <w:pPr>
        <w:pStyle w:val="Heading2"/>
        <w:rPr/>
      </w:pPr>
      <w:bookmarkStart w:id="30" w:name="부-칙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2001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0"/>
    </w:p>
    <w:p>
      <w:pPr>
        <w:pStyle w:val="Heading2"/>
        <w:rPr/>
      </w:pPr>
      <w:bookmarkStart w:id="31" w:name="부-칙-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2002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1"/>
    </w:p>
    <w:p>
      <w:pPr>
        <w:pStyle w:val="Heading2"/>
        <w:rPr/>
      </w:pPr>
      <w:bookmarkStart w:id="32" w:name="부-칙-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2"/>
    </w:p>
    <w:p>
      <w:pPr>
        <w:pStyle w:val="Heading2"/>
        <w:rPr/>
      </w:pPr>
      <w:bookmarkStart w:id="33" w:name="부-칙-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2003</w:t>
      </w:r>
      <w:r>
        <w:rPr/>
        <w:t xml:space="preserve">년 </w:t>
      </w:r>
      <w:r>
        <w:rPr/>
        <w:t>6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33"/>
    </w:p>
    <w:p>
      <w:pPr>
        <w:pStyle w:val="Heading2"/>
        <w:rPr/>
      </w:pPr>
      <w:bookmarkStart w:id="34" w:name="부-칙-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14</w:t>
      </w:r>
      <w:r>
        <w:rPr/>
        <w:t>일부터 시행한다</w:t>
      </w:r>
      <w:r>
        <w:rPr/>
        <w:t>.</w:t>
      </w:r>
      <w:bookmarkEnd w:id="34"/>
    </w:p>
    <w:p>
      <w:pPr>
        <w:pStyle w:val="Heading2"/>
        <w:rPr/>
      </w:pPr>
      <w:bookmarkStart w:id="35" w:name="부-칙-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2004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9</w:t>
      </w:r>
      <w:r>
        <w:rPr/>
        <w:t>일부터 시행한다</w:t>
      </w:r>
      <w:r>
        <w:rPr/>
        <w:t>.</w:t>
      </w:r>
      <w:bookmarkEnd w:id="35"/>
    </w:p>
    <w:p>
      <w:pPr>
        <w:pStyle w:val="Heading2"/>
        <w:rPr/>
      </w:pPr>
      <w:bookmarkStart w:id="36" w:name="부-칙-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4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36"/>
    </w:p>
    <w:p>
      <w:pPr>
        <w:pStyle w:val="Heading2"/>
        <w:rPr/>
      </w:pPr>
      <w:bookmarkStart w:id="37" w:name="부-칙-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5</w:t>
      </w:r>
      <w:r>
        <w:rPr/>
        <w:t xml:space="preserve">월 </w:t>
      </w:r>
      <w:r>
        <w:rPr/>
        <w:t>2</w:t>
      </w:r>
      <w:r>
        <w:rPr/>
        <w:t>일부터 시행한다</w:t>
      </w:r>
      <w:r>
        <w:rPr/>
        <w:t>.</w:t>
      </w:r>
      <w:bookmarkEnd w:id="37"/>
    </w:p>
    <w:p>
      <w:pPr>
        <w:pStyle w:val="Heading2"/>
        <w:rPr/>
      </w:pPr>
      <w:bookmarkStart w:id="38" w:name="부-칙-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2005</w:t>
      </w:r>
      <w:r>
        <w:rPr/>
        <w:t xml:space="preserve">년 </w:t>
      </w:r>
      <w:r>
        <w:rPr/>
        <w:t>8</w:t>
      </w:r>
      <w:r>
        <w:rPr/>
        <w:t xml:space="preserve">월 </w:t>
      </w:r>
      <w:r>
        <w:rPr/>
        <w:t>29</w:t>
      </w:r>
      <w:r>
        <w:rPr/>
        <w:t>일부터 시행한다</w:t>
      </w:r>
      <w:r>
        <w:rPr/>
        <w:t>.</w:t>
      </w:r>
      <w:bookmarkEnd w:id="38"/>
    </w:p>
    <w:p>
      <w:pPr>
        <w:pStyle w:val="Heading2"/>
        <w:rPr/>
      </w:pPr>
      <w:bookmarkStart w:id="39" w:name="부-칙-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39"/>
    </w:p>
    <w:p>
      <w:pPr>
        <w:pStyle w:val="Heading2"/>
        <w:rPr/>
      </w:pPr>
      <w:bookmarkStart w:id="40" w:name="부-칙-1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2006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bookmarkEnd w:id="40"/>
    </w:p>
    <w:p>
      <w:pPr>
        <w:pStyle w:val="Heading2"/>
        <w:rPr/>
      </w:pPr>
      <w:bookmarkStart w:id="41" w:name="부-칙-1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2007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41"/>
    </w:p>
    <w:p>
      <w:pPr>
        <w:pStyle w:val="Heading2"/>
        <w:rPr/>
      </w:pPr>
      <w:bookmarkStart w:id="42" w:name="부-칙-1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42"/>
    </w:p>
    <w:p>
      <w:pPr>
        <w:pStyle w:val="Heading2"/>
        <w:rPr/>
      </w:pPr>
      <w:bookmarkStart w:id="43" w:name="부-칙-1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43"/>
    </w:p>
    <w:p>
      <w:pPr>
        <w:pStyle w:val="Heading2"/>
        <w:rPr/>
      </w:pPr>
      <w:bookmarkStart w:id="44" w:name="부-칙-1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2</w:t>
      </w:r>
      <w:r>
        <w:rPr/>
        <w:t xml:space="preserve">월 </w:t>
      </w:r>
      <w:r>
        <w:rPr/>
        <w:t>4</w:t>
      </w:r>
      <w:r>
        <w:rPr/>
        <w:t>일부터 시행한다</w:t>
      </w:r>
      <w:r>
        <w:rPr/>
        <w:t>.</w:t>
      </w:r>
      <w:bookmarkEnd w:id="44"/>
    </w:p>
    <w:p>
      <w:pPr>
        <w:pStyle w:val="Heading2"/>
        <w:rPr/>
      </w:pPr>
      <w:bookmarkStart w:id="45" w:name="부-칙-1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2009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45"/>
    </w:p>
    <w:p>
      <w:pPr>
        <w:pStyle w:val="Heading2"/>
        <w:rPr/>
      </w:pPr>
      <w:bookmarkStart w:id="46" w:name="부-칙-1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2010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5</w:t>
      </w:r>
      <w:r>
        <w:rPr/>
        <w:t>일부터 시행한다</w:t>
      </w:r>
      <w:r>
        <w:rPr/>
        <w:t>.</w:t>
      </w:r>
      <w:bookmarkEnd w:id="46"/>
    </w:p>
    <w:p>
      <w:pPr>
        <w:pStyle w:val="Heading2"/>
        <w:rPr/>
      </w:pPr>
      <w:bookmarkStart w:id="47" w:name="부-칙-1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2012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47"/>
    </w:p>
    <w:p>
      <w:pPr>
        <w:pStyle w:val="Heading2"/>
        <w:rPr/>
      </w:pPr>
      <w:bookmarkStart w:id="48" w:name="부-칙-1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2013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23</w:t>
      </w:r>
      <w:r>
        <w:rPr/>
        <w:t>일부터 시행한다</w:t>
      </w:r>
      <w:r>
        <w:rPr/>
        <w:t>.</w:t>
      </w:r>
      <w:bookmarkEnd w:id="48"/>
    </w:p>
    <w:p>
      <w:pPr>
        <w:pStyle w:val="Heading2"/>
        <w:rPr/>
      </w:pPr>
      <w:bookmarkStart w:id="49" w:name="부-칙-1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2014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49"/>
    </w:p>
    <w:p>
      <w:pPr>
        <w:pStyle w:val="Heading2"/>
        <w:rPr/>
      </w:pPr>
      <w:bookmarkStart w:id="50" w:name="부-칙-20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2016</w:t>
      </w:r>
      <w:r>
        <w:rPr/>
        <w:t xml:space="preserve">년 </w:t>
      </w:r>
      <w:r>
        <w:rPr/>
        <w:t>10</w:t>
      </w:r>
      <w:r>
        <w:rPr/>
        <w:t xml:space="preserve">월 </w:t>
      </w:r>
      <w:r>
        <w:rPr/>
        <w:t>27</w:t>
      </w:r>
      <w:r>
        <w:rPr/>
        <w:t>일부터 시행한다</w:t>
      </w:r>
      <w:r>
        <w:rPr/>
        <w:t>.</w:t>
      </w:r>
      <w:bookmarkEnd w:id="50"/>
    </w:p>
    <w:p>
      <w:pPr>
        <w:pStyle w:val="Heading2"/>
        <w:rPr/>
      </w:pPr>
      <w:bookmarkStart w:id="51" w:name="부-칙-21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1"/>
    </w:p>
    <w:p>
      <w:pPr>
        <w:pStyle w:val="Heading2"/>
        <w:rPr/>
      </w:pPr>
      <w:bookmarkStart w:id="52" w:name="부-칙-22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2018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52"/>
    </w:p>
    <w:p>
      <w:pPr>
        <w:pStyle w:val="Heading2"/>
        <w:rPr/>
      </w:pPr>
      <w:bookmarkStart w:id="53" w:name="부-칙-23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2020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31</w:t>
      </w:r>
      <w:r>
        <w:rPr/>
        <w:t>일부터 시행한다</w:t>
      </w:r>
      <w:r>
        <w:rPr/>
        <w:t>.</w:t>
      </w:r>
      <w:bookmarkEnd w:id="53"/>
    </w:p>
    <w:p>
      <w:pPr>
        <w:pStyle w:val="Heading2"/>
        <w:rPr/>
      </w:pPr>
      <w:bookmarkStart w:id="54" w:name="부-칙-24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2021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4"/>
    </w:p>
    <w:p>
      <w:pPr>
        <w:pStyle w:val="Heading2"/>
        <w:rPr/>
      </w:pPr>
      <w:bookmarkStart w:id="55" w:name="부-칙-25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2023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30</w:t>
      </w:r>
      <w:r>
        <w:rPr/>
        <w:t>일부터 시행한다</w:t>
      </w:r>
      <w:r>
        <w:rPr/>
        <w:t>.</w:t>
      </w:r>
      <w:bookmarkEnd w:id="55"/>
    </w:p>
    <w:p>
      <w:pPr>
        <w:pStyle w:val="Heading2"/>
        <w:rPr/>
      </w:pPr>
      <w:bookmarkStart w:id="56" w:name="부-칙-26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2024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6"/>
    </w:p>
    <w:p>
      <w:pPr>
        <w:pStyle w:val="Heading2"/>
        <w:rPr/>
      </w:pPr>
      <w:bookmarkStart w:id="57" w:name="부-칙-27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57"/>
    </w:p>
    <w:p>
      <w:pPr>
        <w:pStyle w:val="Heading2"/>
        <w:rPr/>
      </w:pPr>
      <w:bookmarkStart w:id="58" w:name="부-칙-28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3</w:t>
      </w:r>
      <w:r>
        <w:rPr/>
        <w:t xml:space="preserve">월 </w:t>
      </w:r>
      <w:r>
        <w:rPr/>
        <w:t>26</w:t>
      </w:r>
      <w:r>
        <w:rPr/>
        <w:t>일부터 시행한다</w:t>
      </w:r>
      <w:r>
        <w:rPr/>
        <w:t>.</w:t>
      </w:r>
      <w:bookmarkEnd w:id="58"/>
    </w:p>
    <w:p>
      <w:pPr>
        <w:pStyle w:val="Heading2"/>
        <w:rPr/>
      </w:pPr>
      <w:bookmarkStart w:id="59" w:name="부-칙-29"/>
      <w:r>
        <w:rPr/>
        <w:t>부 칙</w:t>
      </w:r>
    </w:p>
    <w:p>
      <w:pPr>
        <w:pStyle w:val="FirstParagraph"/>
        <w:rPr/>
      </w:pPr>
      <w:r>
        <w:rPr/>
        <w:t xml:space="preserve">이 규정은 </w:t>
      </w:r>
      <w:r>
        <w:rPr/>
        <w:t>2025</w:t>
      </w:r>
      <w:r>
        <w:rPr/>
        <w:t xml:space="preserve">년 </w:t>
      </w:r>
      <w:r>
        <w:rPr/>
        <w:t>12</w:t>
      </w:r>
      <w:r>
        <w:rPr/>
        <w:t xml:space="preserve">월 </w:t>
      </w:r>
      <w:r>
        <w:rPr/>
        <w:t>12</w:t>
      </w:r>
      <w:r>
        <w:rPr/>
        <w:t>일부터 시행한다</w:t>
      </w:r>
      <w:r>
        <w:rPr/>
        <w:t>.</w:t>
      </w:r>
      <w:bookmarkEnd w:id="59"/>
    </w:p>
    <w:p>
      <w:pPr>
        <w:pStyle w:val="Heading2"/>
        <w:rPr/>
      </w:pPr>
      <w:bookmarkStart w:id="60" w:name="부-칙-30"/>
      <w:r>
        <w:rPr/>
        <w:t>부 칙</w:t>
      </w:r>
    </w:p>
    <w:p>
      <w:pPr>
        <w:pStyle w:val="FirstParagraph"/>
        <w:spacing w:before="180" w:after="180"/>
        <w:rPr/>
      </w:pPr>
      <w:r>
        <w:rPr/>
        <w:t xml:space="preserve">이 규정은 </w:t>
      </w:r>
      <w:r>
        <w:rPr/>
        <w:t>2026</w:t>
      </w:r>
      <w:r>
        <w:rPr/>
        <w:t xml:space="preserve">년 </w:t>
      </w:r>
      <w:r>
        <w:rPr/>
        <w:t>7</w:t>
      </w:r>
      <w:r>
        <w:rPr/>
        <w:t xml:space="preserve">월 </w:t>
      </w:r>
      <w:r>
        <w:rPr/>
        <w:t>1</w:t>
      </w:r>
      <w:r>
        <w:rPr/>
        <w:t>일부터 시행한다</w:t>
      </w:r>
      <w:r>
        <w:rPr/>
        <w:t>.</w:t>
      </w:r>
      <w:bookmarkEnd w:id="0"/>
      <w:bookmarkEnd w:id="6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6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7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7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7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7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7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7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7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7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7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8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8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0">
    <w:lvl w:ilvl="0">
      <w:start w:val="5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3">
    <w:lvl w:ilvl="0">
      <w:start w:val="2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2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2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2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2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2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2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2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2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6">
    <w:lvl w:ilvl="0">
      <w:start w:val="1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7">
    <w:lvl w:ilvl="0">
      <w:start w:val="8"/>
      <w:numFmt w:val="decimal"/>
      <w:lvlText w:val="(%1)"/>
      <w:lvlJc w:val="left"/>
      <w:pPr>
        <w:tabs>
          <w:tab w:val="num" w:pos="0"/>
        </w:tabs>
        <w:ind w:left="720" w:hanging="480"/>
      </w:pPr>
      <w:rPr/>
    </w:lvl>
    <w:lvl w:ilvl="1">
      <w:start w:val="8"/>
      <w:numFmt w:val="decimal"/>
      <w:lvlText w:val="(%2)"/>
      <w:lvlJc w:val="left"/>
      <w:pPr>
        <w:tabs>
          <w:tab w:val="num" w:pos="0"/>
        </w:tabs>
        <w:ind w:left="1440" w:hanging="480"/>
      </w:pPr>
      <w:rPr/>
    </w:lvl>
    <w:lvl w:ilvl="2">
      <w:start w:val="8"/>
      <w:numFmt w:val="decimal"/>
      <w:lvlText w:val="(%3)"/>
      <w:lvlJc w:val="left"/>
      <w:pPr>
        <w:tabs>
          <w:tab w:val="num" w:pos="0"/>
        </w:tabs>
        <w:ind w:left="2160" w:hanging="480"/>
      </w:pPr>
      <w:rPr/>
    </w:lvl>
    <w:lvl w:ilvl="3">
      <w:start w:val="8"/>
      <w:numFmt w:val="decimal"/>
      <w:lvlText w:val="(%4)"/>
      <w:lvlJc w:val="left"/>
      <w:pPr>
        <w:tabs>
          <w:tab w:val="num" w:pos="0"/>
        </w:tabs>
        <w:ind w:left="2880" w:hanging="480"/>
      </w:pPr>
      <w:rPr/>
    </w:lvl>
    <w:lvl w:ilvl="4">
      <w:start w:val="8"/>
      <w:numFmt w:val="decimal"/>
      <w:lvlText w:val="(%5)"/>
      <w:lvlJc w:val="left"/>
      <w:pPr>
        <w:tabs>
          <w:tab w:val="num" w:pos="0"/>
        </w:tabs>
        <w:ind w:left="3600" w:hanging="480"/>
      </w:pPr>
      <w:rPr/>
    </w:lvl>
    <w:lvl w:ilvl="5">
      <w:start w:val="8"/>
      <w:numFmt w:val="decimal"/>
      <w:lvlText w:val="(%6)"/>
      <w:lvlJc w:val="left"/>
      <w:pPr>
        <w:tabs>
          <w:tab w:val="num" w:pos="0"/>
        </w:tabs>
        <w:ind w:left="4320" w:hanging="480"/>
      </w:pPr>
      <w:rPr/>
    </w:lvl>
    <w:lvl w:ilvl="6">
      <w:start w:val="8"/>
      <w:numFmt w:val="decimal"/>
      <w:lvlText w:val="(%7)"/>
      <w:lvlJc w:val="left"/>
      <w:pPr>
        <w:tabs>
          <w:tab w:val="num" w:pos="0"/>
        </w:tabs>
        <w:ind w:left="5040" w:hanging="480"/>
      </w:pPr>
      <w:rPr/>
    </w:lvl>
    <w:lvl w:ilvl="7">
      <w:start w:val="8"/>
      <w:numFmt w:val="decimal"/>
      <w:lvlText w:val="(%8)"/>
      <w:lvlJc w:val="left"/>
      <w:pPr>
        <w:tabs>
          <w:tab w:val="num" w:pos="0"/>
        </w:tabs>
        <w:ind w:left="5760" w:hanging="480"/>
      </w:pPr>
      <w:rPr/>
    </w:lvl>
    <w:lvl w:ilvl="8">
      <w:start w:val="8"/>
      <w:numFmt w:val="decimal"/>
      <w:lvlText w:val="(%9)"/>
      <w:lvlJc w:val="left"/>
      <w:pPr>
        <w:tabs>
          <w:tab w:val="num" w:pos="0"/>
        </w:tabs>
        <w:ind w:left="6480" w:hanging="480"/>
      </w:pPr>
      <w:rPr/>
    </w:lvl>
  </w:abstractNum>
  <w:abstractNum w:abstractNumId="28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9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3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3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3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3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3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3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3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3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3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start w:val="4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</w:num>
  <w:num w:numId="41">
    <w:abstractNumId w:val="2"/>
    <w:lvlOverride w:ilvl="0">
      <w:startOverride w:val="1"/>
    </w:lvlOverride>
  </w:num>
  <w:num w:numId="42">
    <w:abstractNumId w:val="5"/>
    <w:lvlOverride w:ilvl="0">
      <w:startOverride w:val="2"/>
    </w:lvlOverride>
  </w:num>
  <w:num w:numId="43">
    <w:abstractNumId w:val="6"/>
    <w:lvlOverride w:ilvl="0">
      <w:startOverride w:val="3"/>
    </w:lvlOverride>
  </w:num>
  <w:num w:numId="44">
    <w:abstractNumId w:val="7"/>
    <w:lvlOverride w:ilvl="0">
      <w:startOverride w:val="4"/>
    </w:lvlOverride>
  </w:num>
  <w:num w:numId="45">
    <w:abstractNumId w:val="8"/>
    <w:lvlOverride w:ilvl="0">
      <w:startOverride w:val="5"/>
    </w:lvlOverride>
  </w:num>
  <w:num w:numId="46">
    <w:abstractNumId w:val="9"/>
    <w:lvlOverride w:ilvl="0">
      <w:startOverride w:val="6"/>
    </w:lvlOverride>
  </w:num>
  <w:num w:numId="47">
    <w:abstractNumId w:val="10"/>
    <w:lvlOverride w:ilvl="0">
      <w:startOverride w:val="7"/>
    </w:lvlOverride>
  </w:num>
  <w:num w:numId="48">
    <w:abstractNumId w:val="11"/>
    <w:lvlOverride w:ilvl="0">
      <w:startOverride w:val="8"/>
    </w:lvlOverride>
  </w:num>
  <w:num w:numId="49">
    <w:abstractNumId w:val="2"/>
    <w:lvlOverride w:ilvl="0">
      <w:startOverride w:val="1"/>
    </w:lvlOverride>
  </w:num>
  <w:num w:numId="50">
    <w:abstractNumId w:val="2"/>
  </w:num>
  <w:num w:numId="51">
    <w:abstractNumId w:val="2"/>
  </w:num>
  <w:num w:numId="52">
    <w:abstractNumId w:val="2"/>
    <w:lvlOverride w:ilvl="0">
      <w:startOverride w:val="1"/>
    </w:lvlOverride>
  </w:num>
  <w:num w:numId="53">
    <w:abstractNumId w:val="5"/>
    <w:lvlOverride w:ilvl="0">
      <w:startOverride w:val="2"/>
    </w:lvlOverride>
  </w:num>
  <w:num w:numId="54">
    <w:abstractNumId w:val="2"/>
    <w:lvlOverride w:ilvl="0">
      <w:startOverride w:val="1"/>
    </w:lvlOverride>
  </w:num>
  <w:num w:numId="55">
    <w:abstractNumId w:val="2"/>
  </w:num>
  <w:num w:numId="56">
    <w:abstractNumId w:val="16"/>
    <w:lvlOverride w:ilvl="0">
      <w:startOverride w:val="1"/>
    </w:lvlOverride>
  </w:num>
  <w:num w:numId="57">
    <w:abstractNumId w:val="2"/>
    <w:lvlOverride w:ilvl="0">
      <w:startOverride w:val="1"/>
    </w:lvlOverride>
  </w:num>
  <w:num w:numId="58">
    <w:abstractNumId w:val="5"/>
    <w:lvlOverride w:ilvl="0">
      <w:startOverride w:val="2"/>
    </w:lvlOverride>
  </w:num>
  <w:num w:numId="59">
    <w:abstractNumId w:val="2"/>
    <w:lvlOverride w:ilvl="0">
      <w:startOverride w:val="1"/>
    </w:lvlOverride>
  </w:num>
  <w:num w:numId="60">
    <w:abstractNumId w:val="2"/>
  </w:num>
  <w:num w:numId="61">
    <w:abstractNumId w:val="2"/>
  </w:num>
  <w:num w:numId="62">
    <w:abstractNumId w:val="2"/>
  </w:num>
  <w:num w:numId="63">
    <w:abstractNumId w:val="8"/>
    <w:lvlOverride w:ilvl="0">
      <w:startOverride w:val="5"/>
    </w:lvlOverride>
  </w:num>
  <w:num w:numId="64">
    <w:abstractNumId w:val="8"/>
  </w:num>
  <w:num w:numId="65">
    <w:abstractNumId w:val="8"/>
  </w:num>
  <w:num w:numId="66">
    <w:abstractNumId w:val="8"/>
  </w:num>
  <w:num w:numId="67">
    <w:abstractNumId w:val="8"/>
  </w:num>
  <w:num w:numId="68">
    <w:abstractNumId w:val="2"/>
    <w:lvlOverride w:ilvl="0">
      <w:startOverride w:val="1"/>
    </w:lvlOverride>
  </w:num>
  <w:num w:numId="69">
    <w:abstractNumId w:val="2"/>
  </w:num>
  <w:num w:numId="70">
    <w:abstractNumId w:val="2"/>
  </w:num>
  <w:num w:numId="71">
    <w:abstractNumId w:val="2"/>
    <w:lvlOverride w:ilvl="0">
      <w:startOverride w:val="1"/>
    </w:lvlOverride>
  </w:num>
  <w:num w:numId="72">
    <w:abstractNumId w:val="5"/>
    <w:lvlOverride w:ilvl="0">
      <w:startOverride w:val="2"/>
    </w:lvlOverride>
  </w:num>
  <w:num w:numId="73">
    <w:abstractNumId w:val="6"/>
    <w:lvlOverride w:ilvl="0">
      <w:startOverride w:val="3"/>
    </w:lvlOverride>
  </w:num>
  <w:num w:numId="74">
    <w:abstractNumId w:val="2"/>
    <w:lvlOverride w:ilvl="0">
      <w:startOverride w:val="1"/>
    </w:lvlOverride>
  </w:num>
  <w:num w:numId="75">
    <w:abstractNumId w:val="2"/>
  </w:num>
  <w:num w:numId="76">
    <w:abstractNumId w:val="16"/>
    <w:lvlOverride w:ilvl="0">
      <w:startOverride w:val="1"/>
    </w:lvlOverride>
  </w:num>
  <w:num w:numId="77">
    <w:abstractNumId w:val="16"/>
  </w:num>
  <w:num w:numId="78">
    <w:abstractNumId w:val="16"/>
  </w:num>
  <w:num w:numId="79">
    <w:abstractNumId w:val="16"/>
  </w:num>
  <w:num w:numId="80">
    <w:abstractNumId w:val="16"/>
  </w:num>
  <w:num w:numId="81">
    <w:abstractNumId w:val="16"/>
  </w:num>
  <w:num w:numId="82">
    <w:abstractNumId w:val="16"/>
  </w:num>
  <w:num w:numId="83">
    <w:abstractNumId w:val="27"/>
    <w:lvlOverride w:ilvl="0">
      <w:startOverride w:val="8"/>
    </w:lvlOverride>
  </w:num>
  <w:num w:numId="84">
    <w:abstractNumId w:val="6"/>
    <w:lvlOverride w:ilvl="0">
      <w:startOverride w:val="3"/>
    </w:lvlOverride>
  </w:num>
  <w:num w:numId="85">
    <w:abstractNumId w:val="7"/>
    <w:lvlOverride w:ilvl="0">
      <w:startOverride w:val="4"/>
    </w:lvlOverride>
  </w:num>
  <w:num w:numId="86">
    <w:abstractNumId w:val="2"/>
    <w:lvlOverride w:ilvl="0">
      <w:startOverride w:val="1"/>
    </w:lvlOverride>
  </w:num>
  <w:num w:numId="87">
    <w:abstractNumId w:val="2"/>
  </w:num>
  <w:num w:numId="88">
    <w:abstractNumId w:val="2"/>
  </w:num>
  <w:num w:numId="89">
    <w:abstractNumId w:val="2"/>
  </w:num>
  <w:num w:numId="90">
    <w:abstractNumId w:val="2"/>
    <w:lvlOverride w:ilvl="0">
      <w:startOverride w:val="1"/>
    </w:lvlOverride>
  </w:num>
  <w:num w:numId="91">
    <w:abstractNumId w:val="2"/>
  </w:num>
  <w:num w:numId="92">
    <w:abstractNumId w:val="6"/>
    <w:lvlOverride w:ilvl="0">
      <w:startOverride w:val="3"/>
    </w:lvlOverride>
  </w:num>
  <w:num w:numId="93">
    <w:abstractNumId w:val="7"/>
    <w:lvlOverride w:ilvl="0">
      <w:startOverride w:val="4"/>
    </w:lvlOverride>
  </w:num>
  <w:num w:numId="94">
    <w:abstractNumId w:val="2"/>
    <w:lvlOverride w:ilvl="0">
      <w:startOverride w:val="1"/>
    </w:lvlOverride>
  </w:num>
  <w:num w:numId="95">
    <w:abstractNumId w:val="2"/>
  </w:num>
  <w:num w:numId="96">
    <w:abstractNumId w:val="2"/>
  </w:num>
  <w:num w:numId="97">
    <w:abstractNumId w:val="2"/>
  </w:num>
  <w:num w:numId="98">
    <w:abstractNumId w:val="2"/>
    <w:lvlOverride w:ilvl="0">
      <w:startOverride w:val="1"/>
    </w:lvlOverride>
  </w:num>
  <w:num w:numId="99">
    <w:abstractNumId w:val="2"/>
  </w:num>
  <w:num w:numId="100">
    <w:abstractNumId w:val="2"/>
    <w:lvlOverride w:ilvl="0">
      <w:startOverride w:val="1"/>
    </w:lvlOverride>
  </w:num>
  <w:num w:numId="101">
    <w:abstractNumId w:val="2"/>
  </w:num>
  <w:num w:numId="102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2026-09-10T04:14:15Z</dcterms:created>
  <dc:creator/>
  <dc:description/>
  <dc:language>en-US</dc:language>
  <cp:lastModifiedBy/>
  <dcterms:modified xsi:type="dcterms:W3CDTF">2026-09-10T04:14:15Z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