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외화여유자금비율 현황 및 관리방안</w:t>
            </w:r>
          </w:p>
        </w:tc>
      </w:tr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(2025.03.20) iM뱅크 자금부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개요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외화여유자금비율 = 가용외화여유자금 / 3개월 내 만기도래 차입금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가용외화여유자금 = 여유자금 * (1-헤어컷) + 국공채 + 커미티드라인 미사용 잔액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다. 여유자금 = 순콜론 잔액 + 여유자금MMDA예치분* + FX스왑 순운용 잔액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* 외화타점예치금 중 MMDA 外 예치분은 인정되지 않음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외화여유자금비율 현황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월별 평균 비율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2200"/>
        <w:gridCol w:w="2200"/>
        <w:gridCol w:w="208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가용외화여유자금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만기도래차입금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외화여유자금비율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최저 5영업일 평균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25.01월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54.64%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33.03%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25.02월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446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50.16%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35.11%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25.03월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71.69%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59.48%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25.04월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429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76.69%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55.41%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25.05월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79.14%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59.21%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25.06월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63.65%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48.54%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25.07월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79.33%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62.93%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25.08월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61.17%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49.56%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25.09월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397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68.00%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52.17%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25.10월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82.87%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73.68%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25.11월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77.22%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64.63%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25.12월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81.78%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65.96%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26.01월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79.45%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61.80%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26.02월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348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87.53%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70.50%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26.03월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74.67%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65.69%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26.04월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236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62.53%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55.76%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26.05월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70.30%</w:t>
            </w:r>
          </w:p>
        </w:tc>
        <w:tc>
          <w:tcPr>
            <w:tcW w:type="dxa" w:w="2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57.60%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'25.6월 최저 5영업일 평균 48.54% : ('25.3월~현재) 관리방안 마련 후 최저비율 50%를 초과하도록 관리 중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외화여유자금비율(5월)</w:t>
      </w:r>
    </w:p>
    <w:p>
      <w:pPr>
        <w:spacing w:after="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5월 일별 비율 추이 (영업일 18일, 월 평균 70.30%)</w:t>
      </w:r>
    </w:p>
    <w:p>
      <w:pPr>
        <w:spacing w:after="100" w:before="0"/>
        <w:ind w:left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☞ 권고비율(60%) 미만 2회 : 5.27일 49.73%, 5.28일 54.08%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C00000" w:sz="6"/>
              <w:left w:val="dashed" w:color="C00000" w:sz="6"/>
              <w:bottom w:val="dashed" w:color="C00000" w:sz="6"/>
              <w:right w:val="dashed" w:color="C00000" w:sz="6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C00000"/>
                <w:sz w:val="16"/>
                <w:szCs w:val="16"/>
              </w:rPr>
              <w:t xml:space="preserve">[원본 문서의 '5월 일별 비율 추이' 그래프를 여기에 복사해 넣으세요]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일별 콜머니제외 자금마감금액 현황 (단위 : 백만불)</w:t>
      </w:r>
    </w:p>
    <w:p>
      <w:pPr>
        <w:spacing w:after="60"/>
        <w:jc w:val="center"/>
      </w:pPr>
      <w:r>
        <w:drawing>
          <wp:inline distT="0" distB="0" distL="0" distR="0">
            <wp:extent cx="57150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권고비율 미만 발생 사유</w:t>
      </w:r>
    </w:p>
    <w:p>
      <w:pPr>
        <w:spacing w:after="8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(사유) 5.27~5.28일은 당발·타발송금 및 FX 거래 자금 유출입을 감안한 당일 마감잔액에서 콜머니 차입분을 제외한 콜머니제외 마감액이 각각 △42.96백만불·△35.65백만불로 5월 중 최저 수준</w:t>
      </w:r>
    </w:p>
    <w:p>
      <w:pPr>
        <w:spacing w:after="20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· 평균치를 초과하는 예측 불가한 당발송금의 유출 확대 등으로 당일 마감잔액이 부족해지고, 콜머니 차입을 제외하면 실제 운용 가능한 여유자금(콜론, MMDA 운용가능자금)이 마이너스로 전환되어 외화여유자금비율이 권고비율(60%)을 하회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 일별 자금유출입 현황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9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280"/>
        <w:gridCol w:w="1230"/>
        <w:gridCol w:w="1230"/>
        <w:gridCol w:w="1300"/>
        <w:gridCol w:w="1050"/>
        <w:gridCol w:w="1260"/>
        <w:gridCol w:w="1500"/>
      </w:tblGrid>
      <w:tr>
        <w:trPr>
          <w:tblHeader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일자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전일자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당발송금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(-)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타발송금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(+)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FX거래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자금유출입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콜머니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(+)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당일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  <w:tc>
          <w:tcPr>
            <w:tcW w:type="dxa" w:w="1500"/>
            <w:tcBorders>
              <w:top w:val="single" w:color="000000" w:sz="18"/>
              <w:left w:val="single" w:color="000000" w:sz="18"/>
              <w:bottom w:val="single" w:color="000000" w:sz="4"/>
              <w:right w:val="single" w:color="000000" w:sz="18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콜머니제외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마감액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60.98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8.21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18.13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-15.04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55.86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24.81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28.15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-1.69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05.07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57.51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29.03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27.93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-39.55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16.86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26.86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15.10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24.52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11.24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47.52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14.70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16.65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-31.86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17.61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17.59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24.55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-5.52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19.05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05.13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29.05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10.21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13.90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-15.16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37.58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17.58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37.58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15.48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51.75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-12.40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05.15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61.45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32.65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46.10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-34.18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40.72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27.31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25.13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-2.65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35.89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29.17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-2.35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05.20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20.81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23.14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20.77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-24.82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33.62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-6.38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33.62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11.84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-9.06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53.15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29.18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120.41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-107.72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36.66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108.24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37.70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77.59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43.71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43.71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05.27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43.71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119.08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42.60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-10.19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17.04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-42.96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17.04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63.70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8.30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2.71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90.00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54.35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-35.65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54.35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40.66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57.45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18.51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89.65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4"/>
              <w:right w:val="single" w:color="000000" w:sz="18"/>
            </w:tcBorders>
            <w:shd w:fill="EAF1F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89.65</w:t>
            </w:r>
          </w:p>
        </w:tc>
      </w:tr>
      <w:t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합계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730.37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620.10</w:t>
            </w:r>
          </w:p>
        </w:tc>
        <w:tc>
          <w:tcPr>
            <w:tcW w:type="dxa" w:w="1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620.91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-202.14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230.00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759.04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18"/>
              <w:right w:val="single" w:color="000000" w:sz="18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529.04</w:t>
            </w:r>
          </w:p>
        </w:tc>
      </w:tr>
    </w:tbl>
    <w:p>
      <w:pPr>
        <w:spacing w:after="2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당발·타발송금은 고객 거래에 따라 예측이 불가능한 금액이며, FX거래 자금유출입은 당일 마감액에서 전일자 마감액·당발·타발송금·콜머니를 가감하여 산출(= 당일 − 전일 + 당발 − 타발 − 콜머니)</w:t>
      </w:r>
    </w:p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콜머니제외 마감액 = 당일 마감액 − 콜머니, 트레이딩부서가 지속 모니터링하여 예측(관리) 가능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 일별 순콜론·여유자금MMDA 운용 현황</w:t>
      </w: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900"/>
        <w:gridCol w:w="2900"/>
        <w:gridCol w:w="2880"/>
      </w:tblGrid>
      <w:tr>
        <w:trPr>
          <w:tblHeader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일자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순콜론(본점+해외)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여유자금MMDA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합산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△71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△72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71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△1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05.07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△35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△6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05.08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△12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56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26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△11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38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46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70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05.18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05.19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34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△35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63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45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48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△11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05.27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△76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22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△54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05.28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△106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59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△47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05.29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△73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95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22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4"/>
          <w:szCs w:val="14"/>
        </w:rPr>
        <w:t xml:space="preserve">* 권고비율 하회일(5.27~28) 합산이 △54·△47로 월중 최저 → 콜론·MMDA 운용 여유자금 축소가 비율 하락 요인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[참고] 5월말 기준 만기도래 차입금 현황 (단위 : 백만불)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dashed" w:color="C00000" w:sz="6"/>
              <w:left w:val="dashed" w:color="C00000" w:sz="6"/>
              <w:bottom w:val="dashed" w:color="C00000" w:sz="6"/>
              <w:right w:val="dashed" w:color="C00000" w:sz="6"/>
            </w:tcBorders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C00000"/>
                <w:sz w:val="16"/>
                <w:szCs w:val="16"/>
              </w:rPr>
              <w:t xml:space="preserve">[원본 문서의 '만기도래 차입금 현황' 표를 여기에 복사해 넣으세요]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/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관리방안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예측 불가한 거액 송금에 대비하여 FX 거래 자금 유출입을 일정 수준 이상 확보·관리</w:t>
      </w:r>
    </w:p>
    <w:p>
      <w:pPr>
        <w:spacing w:after="6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최근 2년 중 당발송금 최대(119.08백만불)와 타발송금 최소(5.61백만불)가 동시 발생하는 최악의 경우에도 순유출입을 △70백만불 이내로 유지할 수 있도록, FX 거래 자금 유출입을 +43.5백만불(43,469,120 USD) 이상 확보·관리</w:t>
      </w:r>
    </w:p>
    <w:p>
      <w:pPr>
        <w:spacing w:after="12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* 산식 : 순유출입 = 타발 − 당발 + FX 거래 자금 유출입 → △70 = 5.61 − 119.08 + FX → FX ≥ +43.5백만불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상기 가의 상황을 초과하는 당발·타발 순유출액이 발생하는 경우 Today 커버거래 실시</w:t>
      </w:r>
    </w:p>
    <w:p>
      <w:pPr>
        <w:spacing w:after="6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통상 트레이딩부서에서 spot(+2영업일)으로 커버하나, 순유출이 70백만불을 초과할 경우 Today 커버거래 실시</w:t>
      </w:r>
    </w:p>
    <w:p>
      <w:pPr>
        <w:spacing w:after="6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- (효과) 5.27일 +80백만불·5.28일 +37백만불 Today 커버 시 순유출입이 △70백만불 이내로 관리되고 가용외화여유자금이 동액 증가하여 외화여유자금비율이 권고비율(60%)을 상회</w:t>
      </w:r>
    </w:p>
    <w:p>
      <w:pPr>
        <w:spacing w:after="40" w:before="0"/>
        <w:ind w:left="5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· 순유출입 : 5.27일 △149.5 → △69.5백만불, 5.28일 △106.4 → △69.4백만불</w:t>
      </w:r>
    </w:p>
    <w:p>
      <w:pPr>
        <w:spacing w:after="60" w:before="0"/>
        <w:ind w:left="5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· 외화여유자금비율 : 5.27일 49.73% → 71.35%, 5.28일 54.08% → 64.50%</w:t>
      </w:r>
    </w:p>
    <w:p>
      <w:pPr>
        <w:spacing w:after="20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5"/>
          <w:szCs w:val="15"/>
        </w:rPr>
        <w:t xml:space="preserve">* (참고) Today 커버 10백만불당 외화여유자금비율 약 2.8%p 증가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[부록] 기타 외화유동성 지표 현황 ('26.1월 ~ 5월)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가. 외화 LCR : 기간 평균 185.24%로 감독원 기준(80%)을 지속 상회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나. 중장기외화자금 조달비율 : 기간 평균 180.04%로 감독원 기준(100%)을 지속 상회</w:t>
      </w:r>
    </w:p>
    <w:p>
      <w:pPr>
        <w:spacing w:after="80" w:before="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끝.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0c714dcea717dc897b704886e89cc81d23586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2026-06-10T00:25:29.817Z</dcterms:created>
  <dcterms:modified xsi:type="dcterms:W3CDTF">2026-06-10T00:25:29.817Z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