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외화유동성 스트레스테스트 결과 및 유동성 확충(개선)계획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(2026.06.11)   [기관명] 리스크관리부 · 자금부</w:t>
            </w:r>
          </w:p>
        </w:tc>
      </w:tr>
    </w:tbl>
    <w:p>
      <w:pPr>
        <w:spacing w:after="120"/>
      </w:pPr>
    </w:p>
    <w:p>
      <w:pPr>
        <w:spacing w:after="90" w:before="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※ 2026년 3월말 기준 외화유동성 스트레스테스트 결과 </w:t>
      </w:r>
      <w:r>
        <w:rPr>
          <w:rFonts w:ascii="Malgun Gothic" w:cs="Malgun Gothic" w:eastAsia="Malgun Gothic" w:hAnsi="Malgun Gothic"/>
          <w:b/>
          <w:bCs/>
          <w:color w:val="595959"/>
          <w:sz w:val="17"/>
          <w:szCs w:val="17"/>
        </w:rPr>
        <w:t xml:space="preserve">① 결과 ② 미통과 사유 ③ 개선(확충)방안</w:t>
      </w: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. 단위: 스트레스테스트는 천USD, 차입금·커미티드라인은 백만USD(1백만USD = 1,000천USD).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1. 개요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가. 실시 개요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- 2026.3말 기준 외화유동성 스트레스테스트를 4개 시나리오(기본·시장·가계·기업)로 실시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나. 결과 요약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기본 시나리오는 전 구간 순유입으로 통과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- 시장·가계·기업 3개 시나리오는 3개월 누적 외화자금 차액(유입−유출)이 (−)로 전환되어 미통과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 스트레스테스트 결과 (2026.3말)</w:t>
      </w:r>
    </w:p>
    <w:p>
      <w:pPr>
        <w:spacing w:after="70" w:before="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가. 외화자금 유출입 차액(유입−유출), 누적 기준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(단위: 천USD)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1개월 차액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3개월 차액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판정(3개월)</w:t>
            </w:r>
          </w:p>
        </w:tc>
      </w:tr>
      <w:tr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기본 시나리오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164,177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3,921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3D"/>
                <w:sz w:val="17"/>
                <w:szCs w:val="17"/>
              </w:rPr>
              <w:t xml:space="preserve">통과</w:t>
            </w:r>
          </w:p>
        </w:tc>
      </w:tr>
      <w:tr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시장 시나리오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120,270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△39,986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미통과</w:t>
            </w:r>
          </w:p>
        </w:tc>
      </w:tr>
      <w:tr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가계 시나리오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136,933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△25,718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미통과</w:t>
            </w:r>
          </w:p>
        </w:tc>
      </w:tr>
      <w:tr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기업 시나리오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50,626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△114,130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미통과</w:t>
            </w:r>
          </w:p>
        </w:tc>
      </w:tr>
    </w:tbl>
    <w:p>
      <w:pPr>
        <w:spacing w:after="90" w:before="8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☞ △는 순유출. 3개월 기준 부족액은 기업(△114,130) &gt; 시장(△39,986) &gt; 가계(△25,718) 순, 기업이 최대 부족(binding) 시나리오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3. 미통과 사유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가. (공통) 무담보부 차입의 1~3개월 만기집중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기본 시나리오 기준, 무담보부 차입 유출이 1개월 376,063 → 3개월 634,555천USD로 +258,492 증가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동 구간을 대체할 유입이 이를 따라가지 못해 3개월 누적 순유출로 전환</w:t>
      </w:r>
    </w:p>
    <w:p>
      <w:pPr>
        <w:spacing w:after="0" w:before="6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 (기본 시나리오)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증감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무담보부 차입(유출)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376,063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634,555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+258,492</w:t>
            </w:r>
          </w:p>
        </w:tc>
      </w:tr>
    </w:tbl>
    <w:p>
      <w:pPr>
        <w:spacing w:after="40" w:before="30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15"/>
          <w:szCs w:val="15"/>
        </w:rPr>
        <w:t xml:space="preserve">(단위: 천USD)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나. 은행간 차입금 만기도래 집중 (3월말 특이요인)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자금일보(2026.3.30) 기준 은행간 차입금 잔액 670백만USD. 만기도래액을 3개월 롤링으로 보면 3월말 기준 향후 3개월(4~6월) 만기도래액이 210백만USD로 이후 어느 구간보다 가장 큼</w:t>
      </w:r>
    </w:p>
    <w:p>
      <w:pPr>
        <w:spacing w:after="0" w:before="5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</w:tblGrid>
      <w:tr>
        <w:trPr>
          <w:tblHeader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기준 시점 (향후 3개월)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만기도래액(백만USD)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3월말 (4·5·6월)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4월말 (5·6·7월)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5월말 (6·7·8월)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6월말 (7·8·9월)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7월말 (8·9·10월)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8월말 (9·10·11월)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</w:tr>
    </w:tbl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color w:val="000000"/>
          <w:sz w:val="18"/>
          <w:szCs w:val="18"/>
        </w:rPr>
        <w:t xml:space="preserve">- 특히 4월 만기 80백만USD에 거액 장기차입(LBBW 50·CCB 30백만USD, 모두 3년물 Bilateral Term Loan)이 동시 만기도래 → 거액 장기차입건의 만기집중으로 3월말 만기도래액이 평소보다 크게 나타남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다. 시나리오별 추가 요인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시장 : 시장 충격 시 유동성 완충자산 추가할인으로 가용 완충자산 665,523 → 621,617(약 △43,906)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가계 : 소매예금 이탈률 상향으로 3개월 예금유출 약 217,685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기업 : 도매예금 이탈률 상향(최대 45%)으로 예금유출 약 264,685(최대) + 콜론 등 유입 축소 → 부족액 최대(△114,130)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4. 개선(확충)방안</w:t>
      </w:r>
    </w:p>
    <w:p>
      <w:pPr>
        <w:spacing w:after="90" w:before="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미통과의 binding 제약은 기업 시나리오 부족액 △114,130천USD.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(ⅰ) 스트레스테스트 미반영(0) 상태인 보유 커미티드라인 인식·활용</w:t>
      </w: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(ⅱ) 장기차입 만기분산</w:t>
      </w: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으로 보강한다.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000"/>
        <w:gridCol w:w="1500"/>
        <w:gridCol w:w="1900"/>
      </w:tblGrid>
      <w:tr>
        <w:trPr>
          <w:tblHeader/>
        </w:trP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개선수단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정량목표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시기/소관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예상효과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보유 커미티드라인 인식·활용 (본점 보유분을 가용 유동성으로 반영)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본점 75백만USD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즉시 / 자금부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3개월 유입에 가산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장기차입 만기분산 (매월 만기도래액을 균등 수준으로 관리)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월 약 49백만USD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차기월~ / 자금부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3개월 만기집중 완화</w:t>
            </w:r>
          </w:p>
        </w:tc>
      </w:tr>
    </w:tbl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가. 보유 커미티드라인 인식·활용 (본점 75백만USD)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본점 보유 커미티드라인 75백만USD(SCB HK 25 + ICBC 서울 50)는 스트레스테스트에 미반영(D1=0). 이를 가용 유동성(75,000천USD)으로 인식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적용 시 : 시장(△39,986)·가계(△25,718) 흑자 전환, 기업(△114,130)은 △39,130천USD로 부족액 축소</w:t>
      </w:r>
    </w:p>
    <w:p>
      <w:pPr>
        <w:spacing w:after="60" w:before="11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나. 장기차입 만기분산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차기월부터 신규·차환 조달의 만기를 분산하여, 매월 만기도래액을 당행 전체차입금 수준을 고려한 균등 수준(월 약 49백만USD)으로 관리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- 4~6월에 집중된 만기(210백만USD)를 균등화하면 동 3개월 만기도래액이 약 147백만USD로 감소(△63백만USD) → 3개월 유출이 약 63,000천USD 축소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color w:val="1F7A3D"/>
          <w:sz w:val="18"/>
          <w:szCs w:val="18"/>
        </w:rPr>
        <w:t xml:space="preserve">- → 「가」의 커미티드라인 적용 후 잔여부족(△39,130천USD)을 상회 보전하여 기업 시나리오까지 흑자 전환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15"/>
          <w:szCs w:val="15"/>
        </w:rPr>
        <w:t xml:space="preserve">[그림] 월별 만기도래액 — 만기분산 前(4~6월 집중) vs 後(월 약 49백만USD 균등화)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5. 이행일정 및 사후관리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즉시 : 본점 커미티드라인 가용분 인식·반영 (방안 1)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차기월~3개월 : 만기집중분(4~6월) 장기조달 차환으로 만기 균등화 착수 (방안 2)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- 3개월 내 : 재측정(re-test)으로 전 시나리오 3개월 차액 ≥ 0 확인</w:t>
      </w:r>
    </w:p>
    <w:p>
      <w:pPr>
        <w:spacing w:after="50"/>
        <w:ind w:left="320" w:hanging="16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사후관리 : 월 1회 스트레스테스트 재측정 및 이행현황을 리스크관리부 → 위험관리집행위원회 보고, 감독원 진행상황 보고. 「외화유동성 비상조치계획」 단계별 조치와 연계 운영</w:t>
      </w:r>
    </w:p>
    <w:p>
      <w:pPr>
        <w:pBdr>
          <w:top w:val="single" w:color="BFBFBF" w:sz="4" w:space="1"/>
        </w:pBdr>
        <w:spacing w:before="140"/>
      </w:pPr>
    </w:p>
    <w:p>
      <w:pPr>
        <w:spacing w:after="90" w:before="50"/>
      </w:pPr>
      <w:r>
        <w:rPr>
          <w:rFonts w:ascii="Malgun Gothic" w:cs="Malgun Gothic" w:eastAsia="Malgun Gothic" w:hAnsi="Malgun Gothic"/>
          <w:b/>
          <w:bCs/>
          <w:color w:val="C00000"/>
          <w:sz w:val="15"/>
          <w:szCs w:val="15"/>
        </w:rPr>
        <w:t xml:space="preserve">[작성 시 확인사항]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5"/>
          <w:szCs w:val="15"/>
        </w:rPr>
        <w:t xml:space="preserve">① 커미티드라인의 스트레스테스트 가용 인정 여부·금액 ② 4~6월 만기분 장기조달 차환계획·금액 ③ 만기 균등화 목표수준 확정 ④ 재측정 예정일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31d0dbf5866489e30e29fe9a3711e2c3914d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2026-06-17T04:30:31.660Z</dcterms:created>
  <dcterms:modified xsi:type="dcterms:W3CDTF">2026-06-17T04:30:31.661Z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