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외화유동성 스트레스테스트 결과 및 유동성 확충(개선)계획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― 2026년 3월말 기준 ―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808080"/>
          <w:sz w:val="18"/>
          <w:szCs w:val="18"/>
        </w:rPr>
        <w:t xml:space="preserve">[기관명 기재] / 리스크관리부</w:t>
      </w:r>
    </w:p>
    <w:p>
      <w:pPr>
        <w:pBdr>
          <w:bottom w:val="single" w:color="1F4E79" w:sz="6" w:space="1"/>
        </w:pBdr>
        <w:spacing w:after="200"/>
      </w:pPr>
    </w:p>
    <w:p>
      <w:pPr>
        <w:spacing w:after="60" w:before="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※ 본 보고서는 금융감독원의 요청에 따라, 2026년 3월말 기준 외화유동성 스트레스테스트 결과 </w:t>
      </w:r>
      <w:r>
        <w:rPr>
          <w:rFonts w:ascii="Malgun Gothic" w:cs="Malgun Gothic" w:eastAsia="Malgun Gothic" w:hAnsi="Malgun Gothic"/>
          <w:b/>
          <w:bCs/>
          <w:color w:val="595959"/>
          <w:sz w:val="18"/>
          <w:szCs w:val="18"/>
        </w:rPr>
        <w:t xml:space="preserve">① 결과 데이터, ② 미통과 사유, ③ 개선(확충)방안</w:t>
      </w: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을 정리한 것임. 금액 단위는 스트레스테스트는 천USD, 차입금·커미티드라인 명세는 백만USD(1백만USD = 1,000천USD).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2026년 3월말 기준 외화유동성 스트레스테스트를 4개 시나리오(기본·시장·가계·기업)로 실시한 결과,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기본 시나리오는 전 구간 순유입을 유지하여 통과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하였으나, 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시장·가계·기업 3개 시나리오에서 3개월 누적 외화자금 차액(유입−유출)이 마이너스로 전환되어 미통과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하였다. 1개월 시점에서는 모든 시나리오가 순유입이나, 1~3개월 구간에서 순유출 요인이 확대되며 3개월 누적 기준 부족액이 발생하였다.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</w:rPr>
        <w:t xml:space="preserve">2. 스트레스테스트 결과 (2026.3말)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외화자금 유출입 차액(유입−유출), 누적 기준 </w:t>
      </w:r>
      <w:r>
        <w:rPr>
          <w:rFonts w:ascii="Malgun Gothic" w:cs="Malgun Gothic" w:eastAsia="Malgun Gothic" w:hAnsi="Malgun Gothic"/>
          <w:b w:val="false"/>
          <w:bCs w:val="false"/>
          <w:color w:val="808080"/>
          <w:sz w:val="16"/>
          <w:szCs w:val="16"/>
        </w:rPr>
        <w:t xml:space="preserve">(단위: 천USD)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1개월 차액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3개월 차액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판정(3개월)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 시나리오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164,177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3,921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7A3D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시장 시나리오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120,270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△39,986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미통과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가계 시나리오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136,933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△25,718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미통과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기업 시나리오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50,626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△114,130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미통과</w:t>
            </w:r>
          </w:p>
        </w:tc>
      </w:tr>
    </w:tbl>
    <w:p>
      <w:pPr>
        <w:spacing w:after="60" w:before="10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△ 표시는 부(−)의 값(순유출). 3개월 기준 부족액은 </w:t>
      </w: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기업(△114,130) &gt; 시장(△39,986) &gt; 가계(△25,718)</w:t>
      </w: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 순으로, 기업 시나리오가 최대 부족(binding) 시나리오임.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</w:rPr>
        <w:t xml:space="preserve">3. 미통과 사유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3-1. 공통 요인 — 1~3개월 구간 무담보부 차입 만기 집중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전 시나리오 공통으로, 무담보부 도매차입의 만기가 1~3개월 구간에 집중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되어 있어 1개월 대비 3개월 누적 유출이 크게 증가한다. 반면 이를 대체할 안정적 유입원이 부족하여 누적 순유출로 전환된다(시장 시나리오 기준 분해).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1900"/>
        <w:gridCol w:w="19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 (시장 시나리오)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1개월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3개월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증감(3M−1M)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무담보부 차입(유출)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376,063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634,555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+258,492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난외 파생상품(유출)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707,101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2,309,810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+1,602,709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난외 파생상품(유입)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700,438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2,381,531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+1,681,093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유출 합계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1,877,555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3,739,300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+1,861,745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유입 합계(A+B)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1,997,825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3,699,314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+1,701,489</w:t>
            </w:r>
          </w:p>
        </w:tc>
      </w:tr>
    </w:tbl>
    <w:p>
      <w:pPr>
        <w:spacing w:after="120" w:before="100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→ 파생상품 유·출입은 3개월 구간에서 사실상 상계(유입 증가가 유출 증가를 +78,384 상회)되어 부담요인이 아니다.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순부족의 구조적 원인은 무담보부 차입 만기집중(+258,492)으로, 동 구간 유입 증가가 이를 따라가지 못하는 데 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3-2. 은행간 차입금 만기도래 집중 (3월말 기준 특이요인)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외화자금일보(2026.3.30) 기준 은행간 차입금 잔액은 총 670백만USD이며, 만기도래액을 3개월 롤링으로 보면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3월말 기준 향후 3개월(4~6월) 만기도래액이 210백만USD로 이후 어느 3개월 구간보다 가장 크다.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즉 3월말은 평소보다 만기집중도가 높은 시점이다.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기준 시점 (향후 3개월)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만기도래액 (백만USD)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3월말 (4·5·6월)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210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4월말 (5·6·7월)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5월말 (6·7·8월)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6월말 (7·8·9월)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7월말 (8·9·10월)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8월말 (9·10·11월)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</w:tr>
    </w:tbl>
    <w:p>
      <w:pPr>
        <w:spacing w:after="120" w:before="100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특히 4월 만기도래분 80백만USD에는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거액 장기차입(LBBW 50백만USD·CCB 30백만USD, 모두 만기 3년 Bilateral Term Loan)이 동시 만기도래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하여 단기 만기부담을 키운다. 이처럼 거액 장기차입건의 만기가 특정 시점에 겹치면서, 3월말 기준 만기도래액이 평소보다 크게 나타났다.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b w:val="false"/>
          <w:bCs w:val="false"/>
          <w:color w:val="808080"/>
          <w:sz w:val="16"/>
          <w:szCs w:val="16"/>
        </w:rPr>
        <w:t xml:space="preserve">(참고) 위 월별 만기도래액은 자금일보 명세 기준 산출치이며, 향후 6개월 월별 만기 스케줄을 별표로 첨부하여 모니터링한다.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3-3. 시나리오별 추가 요인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시장 시나리오: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시장 충격으로 유동성 완충자산에 추가 할인율이 적용되어 가용 완충자산이 665,523 → 621,617로 약 43,906 감소.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가계 시나리오: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소매예금 이탈률 상향 적용으로 3개월 예금유출 약 217,685 발생.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기업 시나리오(최대 부족):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도매예금 이탈률 상향(최대 45%) 적용으로 3개월 예금유출 약 264,685로 가장 크고, 동시에 콜론 등 은행간 유입에도 높은 할인율이 적용되어 유입이 축소 → 부족액 최대(△114,130).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요약: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(구조) 무담보 도매조달의 1~3개월 만기집중 + (민감도) 도매예금 이탈 및 시장 충격 시 완충자산 가치하락이 결합되어, 3개월 누적 기준 순유출이 발생.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</w:rPr>
        <w:t xml:space="preserve">4. 개선(확충)방안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미통과의 binding 제약은 기업 시나리오 부족액 △114,130천USD이다. 핵심은 (ⅰ) 현재 스트레스테스트에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미반영(0)된 보유 커미티드라인을 가용 유동성으로 인식·활용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하고, (ⅱ)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장기차입 확대로 만기집중을 완화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하는 것이다. 아래 수단을 병행한다. </w:t>
      </w:r>
      <w:r>
        <w:rPr>
          <w:rFonts w:ascii="Malgun Gothic" w:cs="Malgun Gothic" w:eastAsia="Malgun Gothic" w:hAnsi="Malgun Gothic"/>
          <w:b w:val="false"/>
          <w:bCs w:val="false"/>
          <w:color w:val="C00000"/>
          <w:sz w:val="16"/>
          <w:szCs w:val="16"/>
        </w:rPr>
        <w:t xml:space="preserve">(목표금액·시기는 권고치이며 기관 확정 필요)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60"/>
        <w:gridCol w:w="1700"/>
        <w:gridCol w:w="2200"/>
        <w:gridCol w:w="17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개선수단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정량목표(천USD)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실행시기 / 소관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예상효과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보유 커미티드라인 인식·활용 — 본점 75백만USD(SCB HK 25 + ICBC 서울 50), 전행 합계 137.36백만USD 보유. 스트레스테스트에 미반영(0)이므로 가용분을 유동성으로 반영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본점 75 / 전행 137 (백만USD)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즉시 / 자금부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3개월 유입에 가산 → 시장·가계 흑자 전환, 기업 부족액 대부분 보전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장기차입 확대를 통한 만기 분산 — 4~6월 만기집중분(거액 장기차입 포함)을 6M 이상 장기조달로 차환·대체하여 만기도래액 평준화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1~3M 만기분 중 ≥ 100백만USD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1~3개월 / 자금부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특정 구간 만기집중 완화, 차환위험 축소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안정적 외화조달 확충 — 외화예금 증강(특히 도매예금 이탈 대응), 코어예금 비중 확대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예금잔액 +α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상시 / 수신·자금부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유출 변동성 완화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유동성 완충자산 질 개선 — 국공채 등 고유동성 자산 비중 확대(시장 충격 할인 대비)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완충자산 내 비중 상향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1~3개월 / 자금운용부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시장 시나리오 완충자산 감소분 보전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운용측 통제 — 1~3M 만기 외화자산 회수·유동화, 매입외환·신규 외화대출 억제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신규운용 억제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즉시 / 자금운용·외환사업부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유출 증가 억제</w:t>
            </w:r>
          </w:p>
        </w:tc>
      </w:tr>
    </w:tbl>
    <w:p>
      <w:pPr>
        <w:spacing w:after="12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커미티드라인은 스트레스테스트에 미반영(0)되어 있어, 본점 보유분 75백만USD(=75,000천USD)만 인식해도 시장(△39,986)·가계(△25,718) 시나리오는 흑자 전환되고 기업 시나리오 부족액(△114,130)도 △39,130천USD로 축소된다. 전행 보유 137.36백만USD 중 만기·제한조건을 점검해 가용분을 반영하면 기업 시나리오까지 흑자 전환이 가능하다(단, SCB HK 25백만USD는 4.9 만기, ICBC 서울 50백만USD는 10월 만기로 구간 내 가용). 잔여 부족분은 수단 2의 장기차입 만기분산으로 보강한다.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</w:rPr>
        <w:t xml:space="preserve">5. 이행일정 및 사후관리</w:t>
      </w:r>
    </w:p>
    <w:p>
      <w:pPr>
        <w:spacing w:after="5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즉시: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신규 외화자산 운용 억제, 만기도래 자산 회수 강화 (수단 5)</w:t>
      </w:r>
    </w:p>
    <w:p>
      <w:pPr>
        <w:spacing w:after="5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1개월 내: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보유 커미티드라인 가용분 인식·반영, 4~6월 만기집중분 장기조달 차환 착수 (수단 1·2)</w:t>
      </w:r>
    </w:p>
    <w:p>
      <w:pPr>
        <w:spacing w:after="5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3개월 내: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term-out 및 완충자산 재편 완료, 재측정(re-test)으로 전 시나리오 3개월 차액 ≥ 0 확인 (수단 2·4)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사후관리: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월 1회 외화유동성 스트레스테스트 재측정 및 이행현황을 리스크관리부 → 위험관리집행위원회 보고, 감독원 진행상황 보고. 본 계획은 기관의 「외화유동성 비상조치계획」 단계별 조치사항과 연계 운영한다.</w:t>
      </w:r>
    </w:p>
    <w:p>
      <w:pPr>
        <w:pBdr>
          <w:top w:val="single" w:color="BFBFBF" w:sz="4" w:space="1"/>
        </w:pBdr>
        <w:spacing w:before="200"/>
      </w:pP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16"/>
          <w:szCs w:val="16"/>
        </w:rPr>
        <w:t xml:space="preserve">[작성 시 확인사항] </w:t>
      </w:r>
      <w:r>
        <w:rPr>
          <w:rFonts w:ascii="Malgun Gothic" w:cs="Malgun Gothic" w:eastAsia="Malgun Gothic" w:hAnsi="Malgun Gothic"/>
          <w:b w:val="false"/>
          <w:bCs w:val="false"/>
          <w:color w:val="808080"/>
          <w:sz w:val="16"/>
          <w:szCs w:val="16"/>
        </w:rPr>
        <w:t xml:space="preserve">① 보유 커미티드라인의 스트레스테스트 가용 인정 여부·가용금액(만기·제한조건 점검) ② 4~6월 만기집중분의 장기조달 차환계획·금액 ③ 외화예금 증강 목표 ④ 향후 6개월 월별 만기 스케줄 별표 ⑤ 재측정 예정일.</w:t>
      </w:r>
    </w:p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2026-06-17T03:57:42.034Z</dcterms:created>
  <dcterms:modified xsi:type="dcterms:W3CDTF">2026-06-17T03:57:42.035Z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