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30"/>
          <w:szCs w:val="30"/>
        </w:rPr>
        <w:t xml:space="preserve">외화유동성 스트레스테스트 결과 및 유동성 확충(개선)계획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― 2026년 3월말 기준 ―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808080"/>
          <w:sz w:val="18"/>
          <w:szCs w:val="18"/>
        </w:rPr>
        <w:t xml:space="preserve">[기관명 기재] / 리스크관리부</w:t>
      </w:r>
    </w:p>
    <w:p>
      <w:pPr>
        <w:pBdr>
          <w:bottom w:val="single" w:color="1F4E79" w:sz="6" w:space="1"/>
        </w:pBdr>
        <w:spacing w:after="200"/>
      </w:pPr>
    </w:p>
    <w:p>
      <w:pPr>
        <w:spacing w:after="60" w:before="0"/>
      </w:pP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※ 본 보고서는 금융감독원의 요청에 따라, 2026년 3월말 기준 외화유동성 스트레스테스트 결과 </w:t>
      </w:r>
      <w:r>
        <w:rPr>
          <w:rFonts w:ascii="Malgun Gothic" w:cs="Malgun Gothic" w:eastAsia="Malgun Gothic" w:hAnsi="Malgun Gothic"/>
          <w:b/>
          <w:bCs/>
          <w:color w:val="595959"/>
          <w:sz w:val="18"/>
          <w:szCs w:val="18"/>
        </w:rPr>
        <w:t xml:space="preserve">① 결과 데이터, ② 미통과 사유, ③ 개선(확충)방안</w:t>
      </w:r>
      <w:r>
        <w:rPr>
          <w:rFonts w:ascii="Malgun Gothic" w:cs="Malgun Gothic" w:eastAsia="Malgun Gothic" w:hAnsi="Malgun Gothic"/>
          <w:b w:val="false"/>
          <w:bCs w:val="false"/>
          <w:color w:val="595959"/>
          <w:sz w:val="18"/>
          <w:szCs w:val="18"/>
        </w:rPr>
        <w:t xml:space="preserve">을 정리한 것임. 금액 단위는 원자료 기준(천USD로 추정)이며 제출 전 단위 확정 필요.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1. 개요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2026년 3월말 기준 외화유동성 스트레스테스트를 4개 시나리오(기본·시장·가계·기업)로 실시한 결과,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기본 시나리오는 전 구간 순유입을 유지하여 통과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하였으나, 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color w:val="C00000"/>
          <w:sz w:val="20"/>
          <w:szCs w:val="20"/>
        </w:rPr>
        <w:t xml:space="preserve">시장·가계·기업 3개 시나리오에서 3개월 누적 외화자금 차액(유입−유출)이 마이너스로 전환되어 미통과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하였다. 1개월 시점에서는 모든 시나리오가 순유입이나, 1~3개월 구간에서 순유출 요인이 확대되며 3개월 누적 기준 부족액이 발생하였다.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2. 스트레스테스트 결과 (2026.3말)</w:t>
      </w:r>
    </w:p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외화자금 유출입 차액(유입−유출), 누적 기준 </w:t>
      </w:r>
      <w:r>
        <w:rPr>
          <w:rFonts w:ascii="Malgun Gothic" w:cs="Malgun Gothic" w:eastAsia="Malgun Gothic" w:hAnsi="Malgun Gothic"/>
          <w:b w:val="false"/>
          <w:bCs w:val="false"/>
          <w:color w:val="808080"/>
          <w:sz w:val="16"/>
          <w:szCs w:val="16"/>
        </w:rPr>
        <w:t xml:space="preserve">(단위: 천USD, 추정)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rPr>
          <w:tblHeader/>
        </w:trP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1개월 차액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3개월 차액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판정(3개월)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164,177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3,921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7A3D"/>
                <w:sz w:val="18"/>
                <w:szCs w:val="18"/>
              </w:rPr>
              <w:t xml:space="preserve">통과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시장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120,270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△39,986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미통과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가계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136,933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△25,718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미통과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기업 시나리오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50,626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△114,130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미통과</w:t>
            </w:r>
          </w:p>
        </w:tc>
      </w:tr>
    </w:tbl>
    <w:p>
      <w:pPr>
        <w:spacing w:after="60" w:before="100"/>
      </w:pP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△ 표시는 부(−)의 값(순유출). 3개월 기준 부족액은 </w:t>
      </w:r>
      <w:r>
        <w:rPr>
          <w:rFonts w:ascii="Malgun Gothic" w:cs="Malgun Gothic" w:eastAsia="Malgun Gothic" w:hAnsi="Malgun Gothic"/>
          <w:b/>
          <w:bCs/>
          <w:sz w:val="17"/>
          <w:szCs w:val="17"/>
        </w:rPr>
        <w:t xml:space="preserve">기업(△114,130) &gt; 시장(△39,986) &gt; 가계(△25,718)</w:t>
      </w:r>
      <w:r>
        <w:rPr>
          <w:rFonts w:ascii="Malgun Gothic" w:cs="Malgun Gothic" w:eastAsia="Malgun Gothic" w:hAnsi="Malgun Gothic"/>
          <w:b w:val="false"/>
          <w:bCs w:val="false"/>
          <w:sz w:val="17"/>
          <w:szCs w:val="17"/>
        </w:rPr>
        <w:t xml:space="preserve"> 순으로, 기업 시나리오가 최대 부족(binding) 시나리오임.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3. 미통과 사유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3-1. 공통 요인 — 1~3개월 구간 무담보부 차입 만기 집중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 시나리오 공통으로, 무담보부 도매차입의 만기가 1~3개월 구간에 집중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되어 있어 1개월 대비 3개월 누적 유출이 크게 증가한다. 반면 이를 대체할 안정적 유입원이 부족하여 누적 순유출로 전환된다(시장 시나리오 기준 분해).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00"/>
        <w:gridCol w:w="19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 (시장 시나리오)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1개월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3개월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증감(3M−1M)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무담보부 차입(유출)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376,063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634,555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/>
                <w:bCs/>
                <w:color w:val="C00000"/>
                <w:sz w:val="18"/>
                <w:szCs w:val="18"/>
              </w:rPr>
              <w:t xml:space="preserve">+258,492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난외 파생상품(유출)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707,101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2,309,810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+1,602,709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난외 파생상품(유입)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700,438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2,381,531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+1,681,093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유출 합계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1,877,555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3,739,300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+1,861,745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유입 합계(A+B)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1,997,825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3,699,314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+1,701,489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b w:val="false"/>
          <w:bCs w:val="false"/>
          <w:sz w:val="18"/>
          <w:szCs w:val="18"/>
        </w:rPr>
        <w:t xml:space="preserve">→ 파생상품 유·출입은 3개월 구간에서 사실상 상계(유입 증가가 유출 증가를 +78,384 상회)되어 부담요인이 아니다. </w:t>
      </w:r>
      <w:r>
        <w:rPr>
          <w:rFonts w:ascii="Malgun Gothic" w:cs="Malgun Gothic" w:eastAsia="Malgun Gothic" w:hAnsi="Malgun Gothic"/>
          <w:b/>
          <w:bCs/>
          <w:sz w:val="18"/>
          <w:szCs w:val="18"/>
        </w:rPr>
        <w:t xml:space="preserve">순부족의 구조적 원인은 무담보부 차입 만기집중(+258,492)으로, 동 구간 유입 증가가 이를 따라가지 못하는 데 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</w:rPr>
        <w:t xml:space="preserve">3-2. 시나리오별 추가 요인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시장 시나리오: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시장 충격으로 유동성 완충자산에 추가 할인율이 적용되어 가용 완충자산이 665,523 → 621,617로 약 43,906 감소.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가계 시나리오: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소매예금 이탈률 상향 적용으로 3개월 예금유출 약 217,685 발생.</w:t>
      </w:r>
    </w:p>
    <w:p>
      <w:pPr>
        <w:spacing w:after="6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기업 시나리오(최대 부족):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도매예금 이탈률 상향(최대 45%) 적용으로 3개월 예금유출 약 264,685로 가장 크고, 동시에 콜론 등 은행간 유입에도 높은 할인율이 적용되어 유입이 축소 → 부족액 최대(△114,130).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요약: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(구조) 무담보 도매조달의 1~3개월 만기집중 + (민감도) 도매예금 이탈 및 시장 충격 시 완충자산 가치하락이 결합되어, 3개월 누적 기준 순유출이 발생.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4. 개선(확충)방안</w:t>
      </w:r>
    </w:p>
    <w:p>
      <w:pPr>
        <w:spacing w:after="120" w:before="0"/>
      </w:pP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미통과의 binding 제약은 기업 시나리오 부족액 △114,130이다. 따라서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3개월 가용 외화유동성을 최소 약 120,000~150,000(부족액+완충) 추가 확보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하면 전 시나리오를 순유입으로 전환할 수 있다. 아래 수단을 병행한다. </w:t>
      </w:r>
      <w:r>
        <w:rPr>
          <w:rFonts w:ascii="Malgun Gothic" w:cs="Malgun Gothic" w:eastAsia="Malgun Gothic" w:hAnsi="Malgun Gothic"/>
          <w:b w:val="false"/>
          <w:bCs w:val="false"/>
          <w:color w:val="C00000"/>
          <w:sz w:val="16"/>
          <w:szCs w:val="16"/>
        </w:rPr>
        <w:t xml:space="preserve">(목표금액·시기는 권고치이며 기관 확정 필요)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1700"/>
        <w:gridCol w:w="2200"/>
        <w:gridCol w:w="1700"/>
      </w:tblGrid>
      <w:tr>
        <w:trPr>
          <w:tblHeader/>
        </w:trP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개선수단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정량목표(천USD)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실행시기 / 소관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예상효과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커미티드라인 확보 (유동성 제한조건 없는 라인) — 현재 잔액 0, 가장 직접적 보강 수단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≥ 130,000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1개월 내 / 자금부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3개월 유입에 직접 가산 → 전 시나리오 흑자 전환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무담보 단기차입의 장기화(term-out) — 1~3M 만기분을 6M 이상으로 차환·대체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1~3M 만기분 중 ≥ 130,000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1~3개월 / 자금부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만기집중 완화, 차환위험 축소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안정적 외화조달 확충 — 외화예금 증강(특히 도매예금 이탈 대응), 코어예금 비중 확대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예금잔액 +α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상시 / 수신·자금부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유출 변동성 완화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유동성 완충자산 질 개선 — 국공채 등 고유동성 자산 비중 확대(시장 충격 할인 대비)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완충자산 내 비중 상향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1~3개월 / 자금운용부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시장 시나리오 완충자산 감소분 보전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운용측 통제 — 1~3M 만기 외화자산 회수·유동화, 매입외환·신규 외화대출 억제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신규운용 억제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즉시 / 자금운용·외환사업부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유출 증가 억제</w:t>
            </w:r>
          </w:p>
        </w:tc>
      </w:tr>
    </w:tbl>
    <w:p>
      <w:pPr>
        <w:spacing w:after="120" w:before="1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핵심: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수단 1·2가 즉효성·구조개선의 양 축이다. 특히 커미티드라인은 현재 0이므로, 약 130,000 확보 시 기업 시나리오(△114,130)를 포함한 전 시나리오 3개월 차액이 즉시 플러스로 전환된다.</w:t>
      </w:r>
    </w:p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</w:rPr>
        <w:t xml:space="preserve">5. 이행일정 및 사후관리</w:t>
      </w:r>
    </w:p>
    <w:p>
      <w:pPr>
        <w:spacing w:after="5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즉시: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신규 외화자산 운용 억제, 만기도래 자산 회수 강화 (수단 5)</w:t>
      </w:r>
    </w:p>
    <w:p>
      <w:pPr>
        <w:spacing w:after="5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1개월 내: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커미티드라인 확보 추진, 장기조달 차환 착수 (수단 1·2)</w:t>
      </w:r>
    </w:p>
    <w:p>
      <w:pPr>
        <w:spacing w:after="5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3개월 내: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term-out 및 완충자산 재편 완료, 재측정(re-test)으로 전 시나리오 3개월 차액 ≥ 0 확인 (수단 2·4)</w:t>
      </w:r>
    </w:p>
    <w:p>
      <w:pPr>
        <w:spacing w:after="120" w:before="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• 사후관리: </w:t>
      </w:r>
      <w:r>
        <w:rPr>
          <w:rFonts w:ascii="Malgun Gothic" w:cs="Malgun Gothic" w:eastAsia="Malgun Gothic" w:hAnsi="Malgun Gothic"/>
          <w:b w:val="false"/>
          <w:bCs w:val="false"/>
          <w:sz w:val="20"/>
          <w:szCs w:val="20"/>
        </w:rPr>
        <w:t xml:space="preserve">월 1회 외화유동성 스트레스테스트 재측정 및 이행현황을 리스크관리부 → 위험관리집행위원회 보고, 감독원 진행상황 보고. 본 계획은 기관의 「외화유동성 비상조치계획」 단계별 조치사항과 연계 운영한다.</w:t>
      </w:r>
    </w:p>
    <w:p>
      <w:pPr>
        <w:pBdr>
          <w:top w:val="single" w:color="BFBFBF" w:sz="4" w:space="1"/>
        </w:pBdr>
        <w:spacing w:before="200"/>
      </w:pP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16"/>
          <w:szCs w:val="16"/>
        </w:rPr>
        <w:t xml:space="preserve">[작성 시 확인사항] </w:t>
      </w:r>
      <w:r>
        <w:rPr>
          <w:rFonts w:ascii="Malgun Gothic" w:cs="Malgun Gothic" w:eastAsia="Malgun Gothic" w:hAnsi="Malgun Gothic"/>
          <w:b w:val="false"/>
          <w:bCs w:val="false"/>
          <w:color w:val="808080"/>
          <w:sz w:val="16"/>
          <w:szCs w:val="16"/>
        </w:rPr>
        <w:t xml:space="preserve">① 금액 단위 확정(천USD 여부) ② 무담보차입 1~3M 만기 실제 잔액 및 차환계획 ③ 확보 가능한 커미티드라인 한도·거래상대방 ④ 외화예금 증강 목표 ⑤ 재측정 예정일.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2026-06-17T02:39:44.895Z</dcterms:created>
  <dcterms:modified xsi:type="dcterms:W3CDTF">2026-06-17T02:39:44.895Z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