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FBB6" w14:textId="77777777"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14:paraId="4C80ED29" w14:textId="77777777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72554690" w14:textId="77777777"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14:paraId="5618D76A" w14:textId="77777777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14:paraId="091718A3" w14:textId="77777777"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14:paraId="15B354B5" w14:textId="77777777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CF22D" w14:textId="77777777"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14:paraId="1BC56B9D" w14:textId="77777777"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14:paraId="7FBE20ED" w14:textId="77777777"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14:paraId="3C021B76" w14:textId="77777777"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14:paraId="37E43EFB" w14:textId="77777777"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14:paraId="4A50F71A" w14:textId="77777777"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14:paraId="1F248B12" w14:textId="77777777"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14:paraId="57F7F739" w14:textId="77777777"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14:paraId="5ED41CB2" w14:textId="77777777" w:rsidR="000A2B77" w:rsidRDefault="00000000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 w14:anchorId="3C302A32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>
        <w:rPr>
          <w:rFonts w:ascii="HY신명조" w:eastAsia="HY신명조" w:hAnsi="바탕체" w:hint="eastAsia"/>
          <w:noProof/>
          <w:sz w:val="24"/>
          <w:szCs w:val="24"/>
        </w:rPr>
        <w:t>가</w:t>
      </w:r>
      <w:r>
        <w:rPr>
          <w:rFonts w:ascii="HY신명조" w:eastAsia="HY신명조" w:hAnsi="바탕체" w:hint="eastAsia"/>
          <w:sz w:val="24"/>
          <w:szCs w:val="24"/>
        </w:rPr>
        <w:t>.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0"/>
        <w:gridCol w:w="1831"/>
        <w:gridCol w:w="1629"/>
        <w:gridCol w:w="1831"/>
        <w:gridCol w:w="1350"/>
      </w:tblGrid>
      <w:tr w:rsidR="00FC41B7" w14:paraId="76D636EA" w14:textId="7777777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14:paraId="0A5DD47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4CABF5F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7C0751A0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3FD36BF9" w14:textId="77777777"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2CE20B3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14:paraId="4191CC03" w14:textId="77777777" w:rsidTr="00EA1553">
        <w:tc>
          <w:tcPr>
            <w:tcW w:w="1600" w:type="dxa"/>
            <w:vAlign w:val="center"/>
          </w:tcPr>
          <w:p w14:paraId="1305B6B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14:paraId="5D3EEF6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14:paraId="5274393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14:paraId="4FC395D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14:paraId="1D5784E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14:paraId="15A9C4C3" w14:textId="77777777" w:rsidTr="00EA1553">
        <w:tc>
          <w:tcPr>
            <w:tcW w:w="1600" w:type="dxa"/>
            <w:vAlign w:val="center"/>
          </w:tcPr>
          <w:p w14:paraId="114C56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14:paraId="38AD834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14:paraId="7392F61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14:paraId="67F7B76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14:paraId="2542FB2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14:paraId="0CB6A737" w14:textId="77777777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14:paraId="2CEE2C2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4820C0A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2B8C143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37EFA53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7FA23420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ECF90CA"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14:paraId="459E8C14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563998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9E8CE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F9043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77676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BC73DE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14:paraId="36EBEAA8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E70A7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2E3D55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97D77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D5E492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52A683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14:paraId="7DB18A5E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395F41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C2E8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25E934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143D7C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42BA3C8B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BF259F2"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14:paraId="28786D57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14:paraId="2F076C90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14:paraId="4ADC8E81" w14:textId="77777777" w:rsidR="00811F0B" w:rsidRPr="00EA1553" w:rsidRDefault="00EA1553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14:paraId="0A53BB91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14:paraId="1F947BB3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F162B3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0859D0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E4DA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6A5D1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2714C9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14:paraId="4F77AFD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E5A4E0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96F5D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590E6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38A81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393FD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14:paraId="066B646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3DA1845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5F41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96DCA7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3FC3C4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7EA120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14:paraId="292291A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0F74B2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A0A4C6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821678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48D7FA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36733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14:paraId="796A303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E3A5A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FAB1E1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2AE888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B7E4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5D362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14:paraId="261F7ADD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9C9707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FECA3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445915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BE598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20B49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14:paraId="12B30530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0B9367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C6C612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4D900A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3FA99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FD3280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14:paraId="7169E44F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8DAAC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28B33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6F80D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AFC0A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D7EB81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14:paraId="781D3FA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066898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5A571F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711083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374D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517A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14:paraId="30D86159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520A8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0EF788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DF083B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EF958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ED808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14:paraId="1DE1363C" w14:textId="77777777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14:paraId="781B581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4C1046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2780853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0883945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3ADF26D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14:paraId="63EA5D82" w14:textId="77777777"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14:paraId="31122988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14:paraId="20D01010" w14:textId="77777777" w:rsidR="00811F0B" w:rsidRDefault="00DB4AEF">
      <w:pPr>
        <w:wordWrap/>
        <w:jc w:val="center"/>
      </w:pPr>
      <w:r>
        <w:rPr>
          <w:noProof/>
        </w:rPr>
        <w:drawing>
          <wp:inline distT="0" distB="0" distL="0" distR="0" wp14:anchorId="3B71541C" wp14:editId="05B47CAF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E7E" w14:textId="77777777" w:rsidR="00811F0B" w:rsidRDefault="00DB4AEF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14:paraId="7FA408F4" w14:textId="77777777" w:rsidR="00252A8F" w:rsidRDefault="00237EF5" w:rsidP="006926B4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일별 송금 및 FX 거래 자금 유출입 현황 (단위 : 백만불)</w:t>
      </w:r>
    </w:p>
    <w:p w14:paraId="52F86908" w14:textId="77777777" w:rsidR="00252A8F" w:rsidRDefault="00237EF5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781FF620" wp14:editId="7D321E6F">
            <wp:extent cx="5940000" cy="2196000"/>
            <wp:effectExtent l="0" t="0" r="0" b="0"/>
            <wp:docPr id="902" nam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low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36E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권고비율 미만 발생 사유</w:t>
      </w:r>
    </w:p>
    <w:p w14:paraId="69419F89" w14:textId="77777777" w:rsidR="006926B4" w:rsidRDefault="00DB4AEF" w:rsidP="00EA1553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- (사유) 5.27~5.28일 당발·타발송금 및 FX 거래 자금 유출입 감안 시 5월 중 최대 </w:t>
      </w:r>
    </w:p>
    <w:p w14:paraId="15923D0A" w14:textId="77777777" w:rsidR="00811F0B" w:rsidRDefault="00DB4AEF" w:rsidP="006926B4">
      <w:pPr>
        <w:wordWrap/>
        <w:spacing w:line="400" w:lineRule="exact"/>
        <w:ind w:firstLineChars="400" w:firstLine="807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순유출 발생(5.27일 △149.5백만불, 5.28일 △108.8백만불)</w:t>
      </w:r>
    </w:p>
    <w:p w14:paraId="263C5C2F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· 평균치를 초과하는 예측 불가한 당발·타발송금의 유출액 증가로 당일 순유출액이 확대되고, 이에 따라 여유자금(콜론, MMDA 운용가능자금)이 감소하여 외화여유자금비율 하락</w:t>
      </w:r>
    </w:p>
    <w:p w14:paraId="74A94FB6" w14:textId="77777777"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14:paraId="1E63F4C0" w14:textId="493CAFC4" w:rsidR="00252A8F" w:rsidRDefault="00237EF5" w:rsidP="006926B4">
      <w:pPr>
        <w:wordWrap/>
        <w:snapToGrid w:val="0"/>
        <w:spacing w:line="280" w:lineRule="exact"/>
        <w:ind w:firstLineChars="300" w:firstLine="546"/>
        <w:rPr>
          <w:rFonts w:ascii="HY신명조" w:eastAsia="HY신명조" w:hAnsi="굴림체"/>
        </w:rPr>
      </w:pPr>
      <w:r>
        <w:rPr>
          <w:rFonts w:ascii="HY신명조" w:eastAsia="HY신명조" w:hAnsi="굴림체" w:hint="eastAsia"/>
        </w:rPr>
        <w:t>[참고] 5월 일별 당발·타발송금 및 FX 거래 자금 유출입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950"/>
        <w:gridCol w:w="1460"/>
        <w:gridCol w:w="1283"/>
        <w:gridCol w:w="1500"/>
        <w:gridCol w:w="1250"/>
      </w:tblGrid>
      <w:tr w:rsidR="00252A8F" w14:paraId="013C1DCC" w14:textId="77777777" w:rsidTr="00856A47">
        <w:tc>
          <w:tcPr>
            <w:tcW w:w="950" w:type="dxa"/>
            <w:shd w:val="clear" w:color="auto" w:fill="E2EFD9"/>
            <w:vAlign w:val="center"/>
          </w:tcPr>
          <w:p w14:paraId="7BB138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일자</w:t>
            </w:r>
          </w:p>
        </w:tc>
        <w:tc>
          <w:tcPr>
            <w:tcW w:w="1460" w:type="dxa"/>
            <w:shd w:val="clear" w:color="auto" w:fill="FDE9D9"/>
            <w:vAlign w:val="center"/>
          </w:tcPr>
          <w:p w14:paraId="58D15CAB" w14:textId="4A8A83BE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 xml:space="preserve">당발송금(-)  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073" w:type="dxa"/>
            <w:shd w:val="clear" w:color="auto" w:fill="FDE9D9"/>
            <w:vAlign w:val="center"/>
          </w:tcPr>
          <w:p w14:paraId="72DCE1C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타발송금(+)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1ECDE74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FX 거래 자금 유출입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(예측·관리 가능)</w:t>
            </w:r>
          </w:p>
        </w:tc>
        <w:tc>
          <w:tcPr>
            <w:tcW w:w="12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5C2E8F4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순유출입</w:t>
            </w:r>
          </w:p>
        </w:tc>
      </w:tr>
      <w:tr w:rsidR="00252A8F" w14:paraId="46898C51" w14:textId="77777777" w:rsidTr="00856A47">
        <w:tc>
          <w:tcPr>
            <w:tcW w:w="950" w:type="dxa"/>
            <w:vAlign w:val="center"/>
          </w:tcPr>
          <w:p w14:paraId="7A4FBDA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05.04</w:t>
            </w:r>
          </w:p>
        </w:tc>
        <w:tc>
          <w:tcPr>
            <w:tcW w:w="1460" w:type="dxa"/>
            <w:vAlign w:val="center"/>
          </w:tcPr>
          <w:p w14:paraId="602B7F6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8.21</w:t>
            </w:r>
          </w:p>
        </w:tc>
        <w:tc>
          <w:tcPr>
            <w:tcW w:w="1073" w:type="dxa"/>
            <w:vAlign w:val="center"/>
          </w:tcPr>
          <w:p w14:paraId="7FC30E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18.13</w:t>
            </w:r>
          </w:p>
        </w:tc>
        <w:tc>
          <w:tcPr>
            <w:tcW w:w="1500" w:type="dxa"/>
            <w:vAlign w:val="center"/>
          </w:tcPr>
          <w:p w14:paraId="791F52C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1B7E2E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5.92</w:t>
            </w:r>
          </w:p>
        </w:tc>
      </w:tr>
      <w:tr w:rsidR="00252A8F" w14:paraId="166EE8B3" w14:textId="77777777" w:rsidTr="00856A47">
        <w:tc>
          <w:tcPr>
            <w:tcW w:w="950" w:type="dxa"/>
            <w:vAlign w:val="center"/>
          </w:tcPr>
          <w:p w14:paraId="25D8E0A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05.06</w:t>
            </w:r>
          </w:p>
        </w:tc>
        <w:tc>
          <w:tcPr>
            <w:tcW w:w="1460" w:type="dxa"/>
            <w:vAlign w:val="center"/>
          </w:tcPr>
          <w:p w14:paraId="0C306A9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24.81</w:t>
            </w:r>
          </w:p>
        </w:tc>
        <w:tc>
          <w:tcPr>
            <w:tcW w:w="1073" w:type="dxa"/>
            <w:vAlign w:val="center"/>
          </w:tcPr>
          <w:p w14:paraId="38754A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28.15</w:t>
            </w:r>
          </w:p>
        </w:tc>
        <w:tc>
          <w:tcPr>
            <w:tcW w:w="1500" w:type="dxa"/>
            <w:vAlign w:val="center"/>
          </w:tcPr>
          <w:p w14:paraId="06B59E02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7B54C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28.33</w:t>
            </w:r>
          </w:p>
        </w:tc>
      </w:tr>
      <w:tr w:rsidR="00252A8F" w14:paraId="2CF9579D" w14:textId="77777777" w:rsidTr="00856A47">
        <w:tc>
          <w:tcPr>
            <w:tcW w:w="950" w:type="dxa"/>
            <w:vAlign w:val="center"/>
          </w:tcPr>
          <w:p w14:paraId="37E1CF2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05.07</w:t>
            </w:r>
          </w:p>
        </w:tc>
        <w:tc>
          <w:tcPr>
            <w:tcW w:w="1460" w:type="dxa"/>
            <w:vAlign w:val="center"/>
          </w:tcPr>
          <w:p w14:paraId="6CD5E6D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29.03</w:t>
            </w:r>
          </w:p>
        </w:tc>
        <w:tc>
          <w:tcPr>
            <w:tcW w:w="1073" w:type="dxa"/>
            <w:vAlign w:val="center"/>
          </w:tcPr>
          <w:p w14:paraId="6506E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27.93</w:t>
            </w:r>
          </w:p>
        </w:tc>
        <w:tc>
          <w:tcPr>
            <w:tcW w:w="1500" w:type="dxa"/>
            <w:vAlign w:val="center"/>
          </w:tcPr>
          <w:p w14:paraId="5426CC3F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F766B2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-36.10</w:t>
            </w:r>
          </w:p>
        </w:tc>
      </w:tr>
      <w:tr w:rsidR="00252A8F" w14:paraId="445D1E09" w14:textId="77777777" w:rsidTr="00856A47">
        <w:tc>
          <w:tcPr>
            <w:tcW w:w="950" w:type="dxa"/>
            <w:vAlign w:val="center"/>
          </w:tcPr>
          <w:p w14:paraId="74A2EE8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05.08</w:t>
            </w:r>
          </w:p>
        </w:tc>
        <w:tc>
          <w:tcPr>
            <w:tcW w:w="1460" w:type="dxa"/>
            <w:vAlign w:val="center"/>
          </w:tcPr>
          <w:p w14:paraId="29A5E91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15.10</w:t>
            </w:r>
          </w:p>
        </w:tc>
        <w:tc>
          <w:tcPr>
            <w:tcW w:w="1073" w:type="dxa"/>
            <w:vAlign w:val="center"/>
          </w:tcPr>
          <w:p w14:paraId="5CEB0F3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24.52</w:t>
            </w:r>
          </w:p>
        </w:tc>
        <w:tc>
          <w:tcPr>
            <w:tcW w:w="1500" w:type="dxa"/>
            <w:vAlign w:val="center"/>
          </w:tcPr>
          <w:p w14:paraId="40B362E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-10.00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CE550E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-0.58</w:t>
            </w:r>
          </w:p>
        </w:tc>
      </w:tr>
      <w:tr w:rsidR="00252A8F" w14:paraId="13ADD041" w14:textId="77777777" w:rsidTr="00856A47">
        <w:tc>
          <w:tcPr>
            <w:tcW w:w="950" w:type="dxa"/>
            <w:vAlign w:val="center"/>
          </w:tcPr>
          <w:p w14:paraId="435605A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05.11</w:t>
            </w:r>
          </w:p>
        </w:tc>
        <w:tc>
          <w:tcPr>
            <w:tcW w:w="1460" w:type="dxa"/>
            <w:vAlign w:val="center"/>
          </w:tcPr>
          <w:p w14:paraId="5622BA7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14.70</w:t>
            </w:r>
          </w:p>
        </w:tc>
        <w:tc>
          <w:tcPr>
            <w:tcW w:w="1073" w:type="dxa"/>
            <w:vAlign w:val="center"/>
          </w:tcPr>
          <w:p w14:paraId="0D58644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16.65</w:t>
            </w:r>
          </w:p>
        </w:tc>
        <w:tc>
          <w:tcPr>
            <w:tcW w:w="1500" w:type="dxa"/>
            <w:vAlign w:val="center"/>
          </w:tcPr>
          <w:p w14:paraId="130C246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3DE569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-29.05</w:t>
            </w:r>
          </w:p>
        </w:tc>
      </w:tr>
      <w:tr w:rsidR="00252A8F" w14:paraId="09A831E9" w14:textId="77777777" w:rsidTr="00856A47">
        <w:tc>
          <w:tcPr>
            <w:tcW w:w="950" w:type="dxa"/>
            <w:vAlign w:val="center"/>
          </w:tcPr>
          <w:p w14:paraId="0E1B13D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05.12</w:t>
            </w:r>
          </w:p>
        </w:tc>
        <w:tc>
          <w:tcPr>
            <w:tcW w:w="1460" w:type="dxa"/>
            <w:vAlign w:val="center"/>
          </w:tcPr>
          <w:p w14:paraId="3FD440B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17.59</w:t>
            </w:r>
          </w:p>
        </w:tc>
        <w:tc>
          <w:tcPr>
            <w:tcW w:w="1073" w:type="dxa"/>
            <w:vAlign w:val="center"/>
          </w:tcPr>
          <w:p w14:paraId="4CC2CB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24.55</w:t>
            </w:r>
          </w:p>
        </w:tc>
        <w:tc>
          <w:tcPr>
            <w:tcW w:w="1500" w:type="dxa"/>
            <w:vAlign w:val="center"/>
          </w:tcPr>
          <w:p w14:paraId="68098BB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142C5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1.96</w:t>
            </w:r>
          </w:p>
        </w:tc>
      </w:tr>
      <w:tr w:rsidR="00252A8F" w14:paraId="76C329FD" w14:textId="77777777" w:rsidTr="00856A47">
        <w:tc>
          <w:tcPr>
            <w:tcW w:w="950" w:type="dxa"/>
            <w:vAlign w:val="center"/>
          </w:tcPr>
          <w:p w14:paraId="148F7A1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05.13</w:t>
            </w:r>
          </w:p>
        </w:tc>
        <w:tc>
          <w:tcPr>
            <w:tcW w:w="1460" w:type="dxa"/>
            <w:vAlign w:val="center"/>
          </w:tcPr>
          <w:p w14:paraId="5F4C3C1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10.21</w:t>
            </w:r>
          </w:p>
        </w:tc>
        <w:tc>
          <w:tcPr>
            <w:tcW w:w="1073" w:type="dxa"/>
            <w:vAlign w:val="center"/>
          </w:tcPr>
          <w:p w14:paraId="0AA9455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13.90</w:t>
            </w:r>
          </w:p>
        </w:tc>
        <w:tc>
          <w:tcPr>
            <w:tcW w:w="1500" w:type="dxa"/>
            <w:vAlign w:val="center"/>
          </w:tcPr>
          <w:p w14:paraId="1AD633C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68C7DC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10.68</w:t>
            </w:r>
          </w:p>
        </w:tc>
      </w:tr>
      <w:tr w:rsidR="00252A8F" w14:paraId="0FBF0AA8" w14:textId="77777777" w:rsidTr="00856A47">
        <w:tc>
          <w:tcPr>
            <w:tcW w:w="950" w:type="dxa"/>
            <w:vAlign w:val="center"/>
          </w:tcPr>
          <w:p w14:paraId="382ECD2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05.14</w:t>
            </w:r>
          </w:p>
        </w:tc>
        <w:tc>
          <w:tcPr>
            <w:tcW w:w="1460" w:type="dxa"/>
            <w:vAlign w:val="center"/>
          </w:tcPr>
          <w:p w14:paraId="7681A0A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15.48</w:t>
            </w:r>
          </w:p>
        </w:tc>
        <w:tc>
          <w:tcPr>
            <w:tcW w:w="1073" w:type="dxa"/>
            <w:vAlign w:val="center"/>
          </w:tcPr>
          <w:p w14:paraId="65FCB25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51.75</w:t>
            </w:r>
          </w:p>
        </w:tc>
        <w:tc>
          <w:tcPr>
            <w:tcW w:w="1500" w:type="dxa"/>
            <w:vAlign w:val="center"/>
          </w:tcPr>
          <w:p w14:paraId="2A5333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4F680F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80.27</w:t>
            </w:r>
          </w:p>
        </w:tc>
      </w:tr>
      <w:tr w:rsidR="00252A8F" w14:paraId="50158414" w14:textId="77777777" w:rsidTr="00856A47">
        <w:tc>
          <w:tcPr>
            <w:tcW w:w="950" w:type="dxa"/>
            <w:vAlign w:val="center"/>
          </w:tcPr>
          <w:p w14:paraId="2F0890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05.15</w:t>
            </w:r>
          </w:p>
        </w:tc>
        <w:tc>
          <w:tcPr>
            <w:tcW w:w="1460" w:type="dxa"/>
            <w:vAlign w:val="center"/>
          </w:tcPr>
          <w:p w14:paraId="76AE4D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32.65</w:t>
            </w:r>
          </w:p>
        </w:tc>
        <w:tc>
          <w:tcPr>
            <w:tcW w:w="1073" w:type="dxa"/>
            <w:vAlign w:val="center"/>
          </w:tcPr>
          <w:p w14:paraId="17F0D3D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46.10</w:t>
            </w:r>
          </w:p>
        </w:tc>
        <w:tc>
          <w:tcPr>
            <w:tcW w:w="1500" w:type="dxa"/>
            <w:vAlign w:val="center"/>
          </w:tcPr>
          <w:p w14:paraId="0CFBCF6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35146C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8.45</w:t>
            </w:r>
          </w:p>
        </w:tc>
      </w:tr>
      <w:tr w:rsidR="00252A8F" w14:paraId="23658FF8" w14:textId="77777777" w:rsidTr="00856A47">
        <w:tc>
          <w:tcPr>
            <w:tcW w:w="950" w:type="dxa"/>
            <w:vAlign w:val="center"/>
          </w:tcPr>
          <w:p w14:paraId="6478E52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05.18</w:t>
            </w:r>
          </w:p>
        </w:tc>
        <w:tc>
          <w:tcPr>
            <w:tcW w:w="1460" w:type="dxa"/>
            <w:vAlign w:val="center"/>
          </w:tcPr>
          <w:p w14:paraId="0CFC0C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27.31</w:t>
            </w:r>
          </w:p>
        </w:tc>
        <w:tc>
          <w:tcPr>
            <w:tcW w:w="1073" w:type="dxa"/>
            <w:vAlign w:val="center"/>
          </w:tcPr>
          <w:p w14:paraId="3C8A4CF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25.13</w:t>
            </w:r>
          </w:p>
        </w:tc>
        <w:tc>
          <w:tcPr>
            <w:tcW w:w="1500" w:type="dxa"/>
            <w:vAlign w:val="center"/>
          </w:tcPr>
          <w:p w14:paraId="20B7E63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A07AC3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10.82</w:t>
            </w:r>
          </w:p>
        </w:tc>
      </w:tr>
      <w:tr w:rsidR="00252A8F" w14:paraId="3FF10019" w14:textId="77777777" w:rsidTr="00856A47">
        <w:tc>
          <w:tcPr>
            <w:tcW w:w="950" w:type="dxa"/>
            <w:vAlign w:val="center"/>
          </w:tcPr>
          <w:p w14:paraId="0A50F17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05.19</w:t>
            </w:r>
          </w:p>
        </w:tc>
        <w:tc>
          <w:tcPr>
            <w:tcW w:w="1460" w:type="dxa"/>
            <w:vAlign w:val="center"/>
          </w:tcPr>
          <w:p w14:paraId="5E4C29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29.17</w:t>
            </w:r>
          </w:p>
        </w:tc>
        <w:tc>
          <w:tcPr>
            <w:tcW w:w="1073" w:type="dxa"/>
            <w:vAlign w:val="center"/>
          </w:tcPr>
          <w:p w14:paraId="2AF1AF8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16.44</w:t>
            </w:r>
          </w:p>
        </w:tc>
        <w:tc>
          <w:tcPr>
            <w:tcW w:w="1500" w:type="dxa"/>
            <w:vAlign w:val="center"/>
          </w:tcPr>
          <w:p w14:paraId="14E6E77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4AA6E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-6.72</w:t>
            </w:r>
          </w:p>
        </w:tc>
      </w:tr>
      <w:tr w:rsidR="00252A8F" w14:paraId="29792F25" w14:textId="77777777" w:rsidTr="00856A47">
        <w:tc>
          <w:tcPr>
            <w:tcW w:w="950" w:type="dxa"/>
            <w:vAlign w:val="center"/>
          </w:tcPr>
          <w:p w14:paraId="1B9D8A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05.20</w:t>
            </w:r>
          </w:p>
        </w:tc>
        <w:tc>
          <w:tcPr>
            <w:tcW w:w="1460" w:type="dxa"/>
            <w:vAlign w:val="center"/>
          </w:tcPr>
          <w:p w14:paraId="05D2C08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23.14</w:t>
            </w:r>
          </w:p>
        </w:tc>
        <w:tc>
          <w:tcPr>
            <w:tcW w:w="1073" w:type="dxa"/>
            <w:vAlign w:val="center"/>
          </w:tcPr>
          <w:p w14:paraId="012F9B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20.77</w:t>
            </w:r>
          </w:p>
        </w:tc>
        <w:tc>
          <w:tcPr>
            <w:tcW w:w="1500" w:type="dxa"/>
            <w:vAlign w:val="center"/>
          </w:tcPr>
          <w:p w14:paraId="1A68D0E0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221E5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-6.37</w:t>
            </w:r>
          </w:p>
        </w:tc>
      </w:tr>
      <w:tr w:rsidR="00252A8F" w14:paraId="7AFAA82A" w14:textId="77777777" w:rsidTr="00856A47">
        <w:tc>
          <w:tcPr>
            <w:tcW w:w="950" w:type="dxa"/>
            <w:vAlign w:val="center"/>
          </w:tcPr>
          <w:p w14:paraId="291255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05.21</w:t>
            </w:r>
          </w:p>
        </w:tc>
        <w:tc>
          <w:tcPr>
            <w:tcW w:w="1460" w:type="dxa"/>
            <w:vAlign w:val="center"/>
          </w:tcPr>
          <w:p w14:paraId="3F648FF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11.84</w:t>
            </w:r>
          </w:p>
        </w:tc>
        <w:tc>
          <w:tcPr>
            <w:tcW w:w="1073" w:type="dxa"/>
            <w:vAlign w:val="center"/>
          </w:tcPr>
          <w:p w14:paraId="0FF3CE4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40.43</w:t>
            </w:r>
          </w:p>
        </w:tc>
        <w:tc>
          <w:tcPr>
            <w:tcW w:w="1500" w:type="dxa"/>
            <w:vAlign w:val="center"/>
          </w:tcPr>
          <w:p w14:paraId="173C26B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A646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58.59</w:t>
            </w:r>
          </w:p>
        </w:tc>
      </w:tr>
      <w:tr w:rsidR="00252A8F" w14:paraId="1C7D83C8" w14:textId="77777777" w:rsidTr="00856A47">
        <w:tc>
          <w:tcPr>
            <w:tcW w:w="950" w:type="dxa"/>
            <w:vAlign w:val="center"/>
          </w:tcPr>
          <w:p w14:paraId="7D123F8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05.22</w:t>
            </w:r>
          </w:p>
        </w:tc>
        <w:tc>
          <w:tcPr>
            <w:tcW w:w="1460" w:type="dxa"/>
            <w:vAlign w:val="center"/>
          </w:tcPr>
          <w:p w14:paraId="401C0A0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29.18</w:t>
            </w:r>
          </w:p>
        </w:tc>
        <w:tc>
          <w:tcPr>
            <w:tcW w:w="1073" w:type="dxa"/>
            <w:vAlign w:val="center"/>
          </w:tcPr>
          <w:p w14:paraId="0EB90B8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120.41</w:t>
            </w:r>
          </w:p>
        </w:tc>
        <w:tc>
          <w:tcPr>
            <w:tcW w:w="1500" w:type="dxa"/>
            <w:vAlign w:val="center"/>
          </w:tcPr>
          <w:p w14:paraId="6BFD00BA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411DDF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116.22</w:t>
            </w:r>
          </w:p>
        </w:tc>
      </w:tr>
      <w:tr w:rsidR="00252A8F" w14:paraId="1E122CA7" w14:textId="77777777" w:rsidTr="00856A47">
        <w:tc>
          <w:tcPr>
            <w:tcW w:w="950" w:type="dxa"/>
            <w:vAlign w:val="center"/>
          </w:tcPr>
          <w:p w14:paraId="16355FD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05.26</w:t>
            </w:r>
          </w:p>
        </w:tc>
        <w:tc>
          <w:tcPr>
            <w:tcW w:w="1460" w:type="dxa"/>
            <w:vAlign w:val="center"/>
          </w:tcPr>
          <w:p w14:paraId="18AA2F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108.24</w:t>
            </w:r>
          </w:p>
        </w:tc>
        <w:tc>
          <w:tcPr>
            <w:tcW w:w="1073" w:type="dxa"/>
            <w:vAlign w:val="center"/>
          </w:tcPr>
          <w:p w14:paraId="53ECC8B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37.70</w:t>
            </w:r>
          </w:p>
        </w:tc>
        <w:tc>
          <w:tcPr>
            <w:tcW w:w="1500" w:type="dxa"/>
            <w:vAlign w:val="center"/>
          </w:tcPr>
          <w:p w14:paraId="3DDC18E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FB501C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-26.54</w:t>
            </w:r>
          </w:p>
        </w:tc>
      </w:tr>
      <w:tr w:rsidR="00252A8F" w14:paraId="5AA4298F" w14:textId="77777777" w:rsidTr="00856A47">
        <w:tc>
          <w:tcPr>
            <w:tcW w:w="950" w:type="dxa"/>
            <w:shd w:val="clear" w:color="auto" w:fill="FCE4E4"/>
            <w:vAlign w:val="center"/>
          </w:tcPr>
          <w:p w14:paraId="3A47B1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05.27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6B79E2B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119.08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3DFC796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42.60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9C9368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-73.00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573D02E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-149.48</w:t>
            </w:r>
          </w:p>
        </w:tc>
      </w:tr>
      <w:tr w:rsidR="00252A8F" w14:paraId="73D05BDF" w14:textId="77777777" w:rsidTr="00856A47">
        <w:tc>
          <w:tcPr>
            <w:tcW w:w="950" w:type="dxa"/>
            <w:shd w:val="clear" w:color="auto" w:fill="FCE4E4"/>
            <w:vAlign w:val="center"/>
          </w:tcPr>
          <w:p w14:paraId="66DB392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05.28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032C5DB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78.44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5814196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20.68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6209D02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-51.00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7C340C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-108.77</w:t>
            </w:r>
          </w:p>
        </w:tc>
      </w:tr>
      <w:tr w:rsidR="00252A8F" w14:paraId="06E44CA9" w14:textId="77777777" w:rsidTr="00856A47">
        <w:tc>
          <w:tcPr>
            <w:tcW w:w="950" w:type="dxa"/>
            <w:vAlign w:val="center"/>
          </w:tcPr>
          <w:p w14:paraId="1B615E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05.29</w:t>
            </w:r>
          </w:p>
        </w:tc>
        <w:tc>
          <w:tcPr>
            <w:tcW w:w="1460" w:type="dxa"/>
            <w:vAlign w:val="center"/>
          </w:tcPr>
          <w:p w14:paraId="01619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40.66</w:t>
            </w:r>
          </w:p>
        </w:tc>
        <w:tc>
          <w:tcPr>
            <w:tcW w:w="1073" w:type="dxa"/>
            <w:vAlign w:val="center"/>
          </w:tcPr>
          <w:p w14:paraId="173876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57.45</w:t>
            </w:r>
          </w:p>
        </w:tc>
        <w:tc>
          <w:tcPr>
            <w:tcW w:w="1500" w:type="dxa"/>
            <w:vAlign w:val="center"/>
          </w:tcPr>
          <w:p w14:paraId="6C153453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90.00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4853F9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106.79</w:t>
            </w:r>
          </w:p>
        </w:tc>
      </w:tr>
      <w:tr w:rsidR="00252A8F" w14:paraId="41C0EC11" w14:textId="77777777" w:rsidTr="00856A47">
        <w:tc>
          <w:tcPr>
            <w:tcW w:w="950" w:type="dxa"/>
            <w:shd w:val="clear" w:color="auto" w:fill="E2EFD9"/>
            <w:vAlign w:val="center"/>
          </w:tcPr>
          <w:p w14:paraId="7F5D9E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합계</w:t>
            </w:r>
          </w:p>
        </w:tc>
        <w:tc>
          <w:tcPr>
            <w:tcW w:w="1460" w:type="dxa"/>
            <w:shd w:val="clear" w:color="auto" w:fill="E2EFD9"/>
            <w:vAlign w:val="center"/>
          </w:tcPr>
          <w:p w14:paraId="459A3E0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634.86</w:t>
            </w:r>
          </w:p>
        </w:tc>
        <w:tc>
          <w:tcPr>
            <w:tcW w:w="1073" w:type="dxa"/>
            <w:shd w:val="clear" w:color="auto" w:fill="E2EFD9"/>
            <w:vAlign w:val="center"/>
          </w:tcPr>
          <w:p w14:paraId="494B7D4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633.28</w:t>
            </w:r>
          </w:p>
        </w:tc>
        <w:tc>
          <w:tcPr>
            <w:tcW w:w="1500" w:type="dxa"/>
            <w:shd w:val="clear" w:color="auto" w:fill="E2EFD9"/>
            <w:vAlign w:val="center"/>
          </w:tcPr>
          <w:p w14:paraId="7011A64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66.00</w:t>
            </w:r>
          </w:p>
        </w:tc>
        <w:tc>
          <w:tcPr>
            <w:tcW w:w="12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7024759D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64.42</w:t>
            </w:r>
          </w:p>
        </w:tc>
      </w:tr>
    </w:tbl>
    <w:p w14:paraId="212D0E89" w14:textId="77777777"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당발·타발송금은 고객 거래에 따라 예측이 불가능한 금액이며, FX 거래 자금 유출입은 트레이딩부서의 거래로 지속 모니터링하고 있어 예측(관리)이 가능한 금액</w:t>
      </w:r>
    </w:p>
    <w:p w14:paraId="589366C0" w14:textId="77777777" w:rsidR="00986E17" w:rsidRDefault="00000000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(단위 : 백만불)</w:t>
      </w:r>
    </w:p>
    <w:p w14:paraId="29D9AA72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06C68F6C" wp14:editId="0A78E8E5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0F6" w14:textId="77777777" w:rsidR="00252A8F" w:rsidRDefault="00252A8F">
      <w:pPr>
        <w:spacing w:line="100" w:lineRule="exact"/>
      </w:pPr>
    </w:p>
    <w:p w14:paraId="4601F406" w14:textId="77777777"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>
        <w:rPr>
          <w:rFonts w:ascii="HY신명조" w:eastAsia="HY신명조" w:hAnsi="굴림체" w:hint="eastAsia"/>
          <w:b/>
          <w:sz w:val="24"/>
          <w:szCs w:val="24"/>
        </w:rPr>
        <w:t>. 관리방안</w:t>
      </w:r>
    </w:p>
    <w:p w14:paraId="53FB6F08" w14:textId="77777777" w:rsidR="0049634C" w:rsidRDefault="004C5D66" w:rsidP="00AD5B7C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당일 예상치 못한 거액 송금(포지션 변동) 발생 시 Today 커버거래 실시</w:t>
      </w:r>
    </w:p>
    <w:p w14:paraId="6FDF727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통상 트레이딩부서에서 spot(+2영업일)으로 커버하나, 순유출이 70백만불을 초과할 경우 Today 커버거래 실시</w:t>
      </w:r>
    </w:p>
    <w:p w14:paraId="6A3793B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(효과) 5.27~5.28일 각 50백만불 Today 커버 시 가용외화여유자금이 동액만큼 증가하여 외화여유자금비율이 권고비율(60%)을 상회</w:t>
      </w:r>
    </w:p>
    <w:p w14:paraId="712B2580" w14:textId="77777777" w:rsidR="0049634C" w:rsidRDefault="004C5D66" w:rsidP="00AD5B7C">
      <w:pPr>
        <w:wordWrap/>
        <w:spacing w:line="400" w:lineRule="exact"/>
        <w:ind w:firstLineChars="300" w:firstLine="60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5.27일 49.73% → 63.24%, 5.28일 54.08% → 68.16%</w:t>
      </w:r>
    </w:p>
    <w:p w14:paraId="1F4AA506" w14:textId="77777777" w:rsidR="00986E17" w:rsidRDefault="00000000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(참고) Today 커버 10백만불당 외화여유자금비율 약 2.8%p 증가</w:t>
      </w:r>
    </w:p>
    <w:p w14:paraId="0DA9A509" w14:textId="77777777" w:rsidR="0049634C" w:rsidRDefault="004C5D66">
      <w:pPr>
        <w:wordWrap/>
        <w:jc w:val="center"/>
      </w:pPr>
      <w:r>
        <w:rPr>
          <w:noProof/>
        </w:rPr>
        <w:drawing>
          <wp:inline distT="0" distB="0" distL="0" distR="0" wp14:anchorId="5B8B57AE" wp14:editId="0BAF9AC9">
            <wp:extent cx="5940000" cy="2066000"/>
            <wp:effectExtent l="0" t="0" r="0" b="0"/>
            <wp:docPr id="903" name="Mgm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Mgm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32E" w14:textId="77777777" w:rsidR="00986E17" w:rsidRDefault="00000000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14:paraId="177A0C4C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14:paraId="40367841" w14:textId="77777777" w:rsidR="00986E17" w:rsidRDefault="00000000">
      <w:pPr>
        <w:wordWrap/>
        <w:jc w:val="center"/>
      </w:pPr>
      <w:r>
        <w:rPr>
          <w:noProof/>
        </w:rPr>
        <w:drawing>
          <wp:inline distT="0" distB="0" distL="0" distR="0" wp14:anchorId="6AD1CC10" wp14:editId="0D8E60C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BBF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14:paraId="77F0B19A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2A225E9F" wp14:editId="0394CE6F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905" w14:textId="77777777" w:rsidR="00986E17" w:rsidRDefault="00000000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끝.</w:t>
      </w:r>
    </w:p>
    <w:sectPr w:rsidR="00986E17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5C36" w14:textId="77777777" w:rsidR="00E651F6" w:rsidRDefault="00E651F6">
      <w:r>
        <w:separator/>
      </w:r>
    </w:p>
  </w:endnote>
  <w:endnote w:type="continuationSeparator" w:id="0">
    <w:p w14:paraId="6BD4DDF5" w14:textId="77777777" w:rsidR="00E651F6" w:rsidRDefault="00E6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14:paraId="63733197" w14:textId="77777777"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2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3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14:paraId="55426B49" w14:textId="77777777"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AD32" w14:textId="77777777" w:rsidR="00E651F6" w:rsidRDefault="00E651F6">
      <w:r>
        <w:separator/>
      </w:r>
    </w:p>
  </w:footnote>
  <w:footnote w:type="continuationSeparator" w:id="0">
    <w:p w14:paraId="2B4B415C" w14:textId="77777777" w:rsidR="00E651F6" w:rsidRDefault="00E6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AF78" w14:textId="77777777" w:rsidR="004255ED" w:rsidRDefault="00000000" w:rsidP="0075439A">
    <w:r>
      <w:rPr>
        <w:noProof/>
      </w:rPr>
      <w:pict w14:anchorId="56CA8264"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1F9114B" wp14:editId="3B19315B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 wp14:anchorId="508731FF" wp14:editId="6D95D77B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6428930">
    <w:abstractNumId w:val="18"/>
  </w:num>
  <w:num w:numId="2" w16cid:durableId="1128357326">
    <w:abstractNumId w:val="8"/>
  </w:num>
  <w:num w:numId="3" w16cid:durableId="1427995015">
    <w:abstractNumId w:val="19"/>
  </w:num>
  <w:num w:numId="4" w16cid:durableId="523983530">
    <w:abstractNumId w:val="10"/>
  </w:num>
  <w:num w:numId="5" w16cid:durableId="103234344">
    <w:abstractNumId w:val="15"/>
  </w:num>
  <w:num w:numId="6" w16cid:durableId="1834560828">
    <w:abstractNumId w:val="3"/>
  </w:num>
  <w:num w:numId="7" w16cid:durableId="1253271824">
    <w:abstractNumId w:val="4"/>
  </w:num>
  <w:num w:numId="8" w16cid:durableId="1241138367">
    <w:abstractNumId w:val="6"/>
  </w:num>
  <w:num w:numId="9" w16cid:durableId="1816755830">
    <w:abstractNumId w:val="0"/>
  </w:num>
  <w:num w:numId="10" w16cid:durableId="848910663">
    <w:abstractNumId w:val="16"/>
  </w:num>
  <w:num w:numId="11" w16cid:durableId="891499351">
    <w:abstractNumId w:val="1"/>
  </w:num>
  <w:num w:numId="12" w16cid:durableId="1434546925">
    <w:abstractNumId w:val="7"/>
  </w:num>
  <w:num w:numId="13" w16cid:durableId="943079481">
    <w:abstractNumId w:val="5"/>
  </w:num>
  <w:num w:numId="14" w16cid:durableId="2116749521">
    <w:abstractNumId w:val="12"/>
  </w:num>
  <w:num w:numId="15" w16cid:durableId="1770009023">
    <w:abstractNumId w:val="11"/>
  </w:num>
  <w:num w:numId="16" w16cid:durableId="147212655">
    <w:abstractNumId w:val="13"/>
  </w:num>
  <w:num w:numId="17" w16cid:durableId="1897622922">
    <w:abstractNumId w:val="2"/>
  </w:num>
  <w:num w:numId="18" w16cid:durableId="1811359894">
    <w:abstractNumId w:val="9"/>
  </w:num>
  <w:num w:numId="19" w16cid:durableId="1781409125">
    <w:abstractNumId w:val="14"/>
  </w:num>
  <w:num w:numId="20" w16cid:durableId="1094014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AB5AE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CD1D3-547F-4373-A6FB-C98E92F0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2026-06-08T00:45:00Z</dcterms:created>
  <dcterms:modified xsi:type="dcterms:W3CDTF">2026-06-08T12:03:00Z</dcterms:modified>
  <cp:version>1200.0100.01</cp:version>
</cp:coreProperties>
</file>