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32"/>
                <w:szCs w:val="32"/>
              </w:rPr>
              <w:t xml:space="preserve">외화여유자금비율 현황 및 관리방안</w:t>
            </w:r>
          </w:p>
        </w:tc>
      </w:tr>
      <w:tr>
        <w:tc>
          <w:tcPr>
            <w:tcW w:type="dxa" w:w="100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(2026.06.11) iM뱅크 자금부</w:t>
            </w:r>
          </w:p>
        </w:tc>
      </w:tr>
    </w:tbl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/>
      </w:r>
    </w:p>
    <w:p>
      <w:pPr>
        <w:spacing w:after="100" w:before="120"/>
      </w:pPr>
      <w:r>
        <w:rPr>
          <w:rFonts w:ascii="맑은 고딕" w:cs="맑은 고딕" w:eastAsia="맑은 고딕" w:hAnsi="맑은 고딕"/>
          <w:b/>
          <w:bCs/>
          <w:sz w:val="27"/>
          <w:szCs w:val="27"/>
        </w:rPr>
        <w:t xml:space="preserve">1. 개요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가. 외화여유자금비율 = 가용외화여유자금 / 3개월 내 만기도래 차입금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나. 가용외화여유자금 = 여유자금 * (1-헤어컷) + 국공채 + 커미티드라인 미사용 잔액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다. 여유자금 = 순콜론 잔액 + 여유자금MMDA예치분* + FX스왑 순운용 잔액</w:t>
      </w:r>
    </w:p>
    <w:p>
      <w:pPr>
        <w:spacing w:after="16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        * 외화타점예치금 중 MMDA 外 예치분은 인정되지 않음</w:t>
      </w:r>
    </w:p>
    <w:p>
      <w:pPr>
        <w:spacing w:after="100" w:before="120"/>
      </w:pPr>
      <w:r>
        <w:rPr>
          <w:rFonts w:ascii="맑은 고딕" w:cs="맑은 고딕" w:eastAsia="맑은 고딕" w:hAnsi="맑은 고딕"/>
          <w:b/>
          <w:bCs/>
          <w:sz w:val="27"/>
          <w:szCs w:val="27"/>
        </w:rPr>
        <w:t xml:space="preserve">2. 외화여유자금비율 현황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가. 월별 평균 비율</w:t>
      </w:r>
    </w:p>
    <w:tbl>
      <w:tblPr>
        <w:tblW w:type="dxa" w:w="1008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300"/>
        <w:gridCol w:w="2300"/>
        <w:gridCol w:w="1780"/>
      </w:tblGrid>
      <w:tr>
        <w:trPr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가용외화여유자금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만기도래차입금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외화여유자금비율</w:t>
            </w:r>
          </w:p>
        </w:tc>
        <w:tc>
          <w:tcPr>
            <w:tcW w:type="dxa" w:w="1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관리목표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25.01월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259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479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54.64%</w:t>
            </w:r>
          </w:p>
        </w:tc>
        <w:tc>
          <w:tcPr>
            <w:tcW w:type="dxa" w:w="1780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50%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25.02월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223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446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50.16%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25.03월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293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412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71.69%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25.04월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325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429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76.69%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25.05월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331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419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79.14%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25.06월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263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412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63.65%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25.07월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289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366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79.33%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25.08월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252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415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61.17%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25.09월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267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397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68.00%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25.10월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372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82.87%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25.11월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274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354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77.22%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25.12월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287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351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81.78%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26.01월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291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364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79.45%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26.02월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348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87.53%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26.03월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301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74.67%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26.04월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236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377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62.53%</w:t>
            </w:r>
          </w:p>
        </w:tc>
        <w:tc>
          <w:tcPr>
            <w:tcW w:type="dxa" w:w="1780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26.05월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251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358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70.30%</w:t>
            </w:r>
          </w:p>
        </w:tc>
        <w:tc>
          <w:tcPr>
            <w:tcW w:type="dxa" w:w="17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60%</w:t>
            </w:r>
          </w:p>
        </w:tc>
      </w:tr>
    </w:tbl>
    <w:p>
      <w:pPr>
        <w:spacing w:after="200" w:before="0"/>
      </w:pPr>
      <w:r>
        <w:rPr>
          <w:rFonts w:ascii="맑은 고딕" w:cs="맑은 고딕" w:eastAsia="맑은 고딕" w:hAnsi="맑은 고딕"/>
          <w:b w:val="false"/>
          <w:bCs w:val="false"/>
          <w:sz w:val="17"/>
          <w:szCs w:val="17"/>
        </w:rPr>
        <w:t xml:space="preserve">* 관리목표 : '25.1월~'26.4월 50%, '26.5월부터 관리목표를 60%로 상향</w:t>
      </w:r>
    </w:p>
    <w:p>
      <w:pPr>
        <w:spacing w:after="100" w:before="120"/>
      </w:pPr>
      <w:r>
        <w:rPr>
          <w:rFonts w:ascii="맑은 고딕" w:cs="맑은 고딕" w:eastAsia="맑은 고딕" w:hAnsi="맑은 고딕"/>
          <w:b/>
          <w:bCs/>
          <w:sz w:val="27"/>
          <w:szCs w:val="27"/>
        </w:rPr>
        <w:t xml:space="preserve">3. 외화여유자금비율(5월)</w:t>
      </w:r>
    </w:p>
    <w:p>
      <w:pPr>
        <w:spacing w:after="6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가. 5월 일별 비율 추이 (영업일 18일, 월 평균 70.30%)</w:t>
      </w:r>
    </w:p>
    <w:p>
      <w:pPr>
        <w:spacing w:after="60" w:before="0"/>
        <w:ind w:left="4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☞ 관리목표(60%) 미만 2회 : 5.27일 49.73%, 5.28일 54.08%</w:t>
      </w:r>
    </w:p>
    <w:p>
      <w:pPr>
        <w:spacing w:after="60"/>
        <w:jc w:val="center"/>
      </w:pPr>
      <w:r>
        <w:drawing>
          <wp:inline distT="0" distB="0" distL="0" distR="0">
            <wp:extent cx="5905500" cy="1476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2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나. 관리목표 미만 발생 사유</w:t>
      </w:r>
    </w:p>
    <w:p>
      <w:pPr>
        <w:spacing w:after="60" w:before="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- (사유) 당일 예상하지 못한 거액 당발송금이 발생한 가운데 타발송금은 평균을 하회하는 수준에 그침에 따라, 여유자금(순콜론+MMDA)이 마이너스로 전환되어 외화여유자금비율이 관리목표(60%)를 하회</w:t>
      </w:r>
    </w:p>
    <w:p>
      <w:pPr>
        <w:spacing w:after="20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· 부족자금은 당일 콜머니 차입으로 충당 : 5.27일 60백만불, 5.28일 90백만불</w:t>
      </w:r>
    </w:p>
    <w:p>
      <w:pPr>
        <w:spacing w:after="80" w:before="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[참고] 5월 일별 자금유출입 현황</w:t>
      </w: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              (단위 : 백만불)</w:t>
      </w:r>
    </w:p>
    <w:tbl>
      <w:tblPr>
        <w:tblW w:type="dxa" w:w="1008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50"/>
        <w:gridCol w:w="1500"/>
        <w:gridCol w:w="1500"/>
        <w:gridCol w:w="1560"/>
        <w:gridCol w:w="1280"/>
        <w:gridCol w:w="1590"/>
      </w:tblGrid>
      <w:tr>
        <w:trPr>
          <w:tblHeader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전일자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마감액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당발송금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(-)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타발송금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(+)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FX거래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자금유출입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콜머니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(+)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당일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마감액</w:t>
            </w:r>
          </w:p>
        </w:tc>
      </w:tr>
      <w:t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05.04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60.98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8.21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18.13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-15.04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55.86</w:t>
            </w:r>
          </w:p>
        </w:tc>
      </w:tr>
      <w:t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05.06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55.86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24.81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28.15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-1.69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57.51</w:t>
            </w:r>
          </w:p>
        </w:tc>
      </w:tr>
      <w:t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05.07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57.51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29.03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27.93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-39.55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10.00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26.86</w:t>
            </w:r>
          </w:p>
        </w:tc>
      </w:tr>
      <w:t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05.08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26.86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15.10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24.52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11.24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47.52</w:t>
            </w:r>
          </w:p>
        </w:tc>
      </w:tr>
      <w:t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05.11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47.52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14.70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16.65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-31.86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17.61</w:t>
            </w:r>
          </w:p>
        </w:tc>
      </w:tr>
      <w:t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05.12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17.61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17.59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24.55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-5.52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10.00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29.05</w:t>
            </w:r>
          </w:p>
        </w:tc>
      </w:tr>
      <w:t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05.13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29.05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10.21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13.90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-15.16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20.00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37.58</w:t>
            </w:r>
          </w:p>
        </w:tc>
      </w:tr>
      <w:t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05.14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37.58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15.48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51.75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-12.40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61.45</w:t>
            </w:r>
          </w:p>
        </w:tc>
      </w:tr>
      <w:t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05.15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61.45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32.65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46.10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-34.18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40.72</w:t>
            </w:r>
          </w:p>
        </w:tc>
      </w:tr>
      <w:t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05.18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40.72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27.31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25.13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-2.65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35.89</w:t>
            </w:r>
          </w:p>
        </w:tc>
      </w:tr>
      <w:t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05.19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35.89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29.17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16.44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-2.35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20.81</w:t>
            </w:r>
          </w:p>
        </w:tc>
      </w:tr>
      <w:t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05.20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20.81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23.14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20.77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-24.82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40.00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33.62</w:t>
            </w:r>
          </w:p>
        </w:tc>
      </w:tr>
      <w:t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05.21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33.62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11.84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40.43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-9.06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53.15</w:t>
            </w:r>
          </w:p>
        </w:tc>
      </w:tr>
      <w:t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05.22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53.15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29.18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120.41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-107.72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36.66</w:t>
            </w:r>
          </w:p>
        </w:tc>
      </w:tr>
      <w:t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05.26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36.66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108.24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37.70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77.59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43.71</w:t>
            </w:r>
          </w:p>
        </w:tc>
      </w:tr>
      <w:t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05.27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43.71</w:t>
            </w:r>
          </w:p>
        </w:tc>
        <w:tc>
          <w:tcPr>
            <w:tcW w:type="dxa" w:w="1500"/>
            <w:tcBorders>
              <w:top w:val="single" w:color="000000" w:sz="18"/>
              <w:left w:val="single" w:color="000000" w:sz="18"/>
              <w:bottom w:val="single" w:color="000000" w:sz="4"/>
              <w:right w:val="single" w:color="000000" w:sz="4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119.08*</w:t>
            </w:r>
          </w:p>
        </w:tc>
        <w:tc>
          <w:tcPr>
            <w:tcW w:type="dxa" w:w="1500"/>
            <w:tcBorders>
              <w:top w:val="single" w:color="000000" w:sz="18"/>
              <w:left w:val="single" w:color="000000" w:sz="4"/>
              <w:bottom w:val="single" w:color="000000" w:sz="4"/>
              <w:right w:val="single" w:color="000000" w:sz="18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42.60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-10.19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60.00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17.04</w:t>
            </w:r>
          </w:p>
        </w:tc>
      </w:tr>
      <w:t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05.28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17.04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18"/>
              <w:bottom w:val="single" w:color="000000" w:sz="18"/>
              <w:right w:val="single" w:color="000000" w:sz="4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63.70*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18"/>
              <w:right w:val="single" w:color="000000" w:sz="18"/>
            </w:tcBorders>
            <w:shd w:fill="FFE699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8.30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2.71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90.00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54.35</w:t>
            </w:r>
          </w:p>
        </w:tc>
      </w:tr>
      <w:t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05.29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54.35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40.66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57.45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18.51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89.65</w:t>
            </w:r>
          </w:p>
        </w:tc>
      </w:tr>
      <w:t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730.37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620.10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620.91</w:t>
            </w:r>
          </w:p>
        </w:tc>
        <w:tc>
          <w:tcPr>
            <w:tcW w:type="dxa" w:w="1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-202.14</w:t>
            </w:r>
          </w:p>
        </w:tc>
        <w:tc>
          <w:tcPr>
            <w:tcW w:type="dxa" w:w="12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230.00</w:t>
            </w:r>
          </w:p>
        </w:tc>
        <w:tc>
          <w:tcPr>
            <w:tcW w:type="dxa" w:w="1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759.04</w:t>
            </w:r>
          </w:p>
        </w:tc>
      </w:tr>
    </w:tbl>
    <w:p>
      <w:pPr>
        <w:spacing w:after="20" w:before="0"/>
      </w:pPr>
      <w:r>
        <w:rPr>
          <w:rFonts w:ascii="맑은 고딕" w:cs="맑은 고딕" w:eastAsia="맑은 고딕" w:hAnsi="맑은 고딕"/>
          <w:b/>
          <w:bCs/>
          <w:sz w:val="17"/>
          <w:szCs w:val="17"/>
        </w:rPr>
        <w:t xml:space="preserve">* 거액 당발송금 내역 : 5.27일 한국가스공사 50백만불, 에코프로머티리얼즈 27백만불, 일지테크 21백만불 / 5.28일 한국가스공사 45백만불</w:t>
      </w:r>
    </w:p>
    <w:p>
      <w:pPr>
        <w:spacing w:after="200" w:before="0"/>
      </w:pPr>
      <w:r>
        <w:rPr>
          <w:rFonts w:ascii="맑은 고딕" w:cs="맑은 고딕" w:eastAsia="맑은 고딕" w:hAnsi="맑은 고딕"/>
          <w:b w:val="false"/>
          <w:bCs w:val="false"/>
          <w:sz w:val="17"/>
          <w:szCs w:val="17"/>
        </w:rPr>
        <w:t xml:space="preserve">* 당발·타발송금은 고객 거래에 따라 예측이 어려운 금액이며, FX 거래 자금 유출입은 트레이딩부서의 거래로 지속 모니터링하고 있어 예측(관리)이 가능한 금액</w:t>
      </w:r>
    </w:p>
    <w:p>
      <w:pPr>
        <w:spacing w:after="100" w:before="120"/>
      </w:pPr>
      <w:r>
        <w:rPr>
          <w:rFonts w:ascii="맑은 고딕" w:cs="맑은 고딕" w:eastAsia="맑은 고딕" w:hAnsi="맑은 고딕"/>
          <w:b/>
          <w:bCs/>
          <w:sz w:val="27"/>
          <w:szCs w:val="27"/>
        </w:rPr>
        <w:t xml:space="preserve">4. 관리방안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가. 관리목표(60%)을 충족하는 순콜론+MMDA 수준을 상시 유지</w:t>
      </w:r>
    </w:p>
    <w:p>
      <w:pPr>
        <w:spacing w:after="40" w:before="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- (방안) 개별환율 적용 거액 송금 건은 딜링룸과 상시 소통하여 사전에 인지·대비</w:t>
      </w:r>
    </w:p>
    <w:p>
      <w:pPr>
        <w:spacing w:after="120" w:before="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- FX 결제액은 하루 전날 예상이 가능하므로, 유출 과다가 예상되는 경우 사전에 커버 요청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나. 상기 사전 관리에도 불구하고 거액 당발송금에 따른 자금 유출로 당일 관리목표 하회가 예상되는 경우 Today 커버거래 실시</w:t>
      </w:r>
    </w:p>
    <w:p>
      <w:pPr>
        <w:spacing w:after="60" w:before="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- (효과) 거액 당발송금(한국가스공사)에 대해 5.27일 +50백만불·5.28일 +45백만불 Today 커버거래 시, 가용외화여유자금이 동액 증가하여 외화여유자금비율이 관리목표(60%)를 상회</w:t>
      </w:r>
    </w:p>
    <w:p>
      <w:pPr>
        <w:spacing w:after="40" w:before="0"/>
        <w:ind w:left="5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· 여유자금(순콜론+MMDA) : 5.27일 △54 → △4백만불, 5.28일 △47 → △2백만불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· 외화여유자금비율 : 5.27일 49.73% → 63.2%, 5.28일 54.08% → 66.8%</w:t>
      </w:r>
    </w:p>
    <w:p>
      <w:pPr>
        <w:spacing w:after="60"/>
        <w:jc w:val="center"/>
      </w:pPr>
      <w:r>
        <w:drawing>
          <wp:inline distT="0" distB="0" distL="0" distR="0">
            <wp:extent cx="57150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ind w:left="300"/>
      </w:pP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* 비율 효과 산출 : (가용외화여유자금 + 커버금액) ÷ 당일 만기도래차입금 → 5.27일 (184+50)/370 = 63.2%, 5.28일 (192+45)/355 = 66.8%</w:t>
      </w:r>
    </w:p>
    <w:p>
      <w:pPr>
        <w:spacing w:after="100" w:before="120"/>
      </w:pPr>
      <w:r>
        <w:rPr>
          <w:rFonts w:ascii="맑은 고딕" w:cs="맑은 고딕" w:eastAsia="맑은 고딕" w:hAnsi="맑은 고딕"/>
          <w:b/>
          <w:bCs/>
          <w:sz w:val="27"/>
          <w:szCs w:val="27"/>
        </w:rPr>
        <w:t xml:space="preserve">[기타] 외화유동성 규제지표 현황 ('26.1월 ~ 5월)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가. 외화 LCR : 기간 평균 185.24%로 감독원 기준(80%)을 지속 상회</w:t>
      </w:r>
    </w:p>
    <w:p>
      <w:pPr>
        <w:spacing w:after="160" w:before="0"/>
        <w:ind w:left="20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나. 중장기외화자금 조달비율 : 기간 평균 180.04%로 감독원 기준(100%)을 지속 상회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다. 관리목표(60%) 충족 기준 순콜론+MMDA 수준</w:t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[참고] 3월 일별 관리목표(60%) 충족 기준 순콜론+MMDA 수준</w:t>
      </w: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              (단위 : 백만불)</w:t>
      </w:r>
    </w:p>
    <w:tbl>
      <w:tblPr>
        <w:tblW w:type="dxa" w:w="1008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1500"/>
        <w:gridCol w:w="1500"/>
        <w:gridCol w:w="1450"/>
        <w:gridCol w:w="1600"/>
        <w:gridCol w:w="1700"/>
        <w:gridCol w:w="1380"/>
      </w:tblGrid>
      <w:tr>
        <w:trPr>
          <w:tblHeader/>
          <w:trHeight w:val="70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일자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만기도래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차입금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가용외화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여유자금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외화여유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자금비율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순콜론+MMDA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(실제)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60% 충족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순콜론+MMDA(이상)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차입금 대비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필요비율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03.03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403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404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100.2%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198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+3.3%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03.04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399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310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77.7%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91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+2.7%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03.05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401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322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80.3%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105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+3.0%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03.06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401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320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79.8%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102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+3.0%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03.09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402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299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74.4%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78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+3.1%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03.10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409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281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68.7%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57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+4.2%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03.11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408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265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65.0%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+4.1%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03.12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406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296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72.9%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74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+3.8%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03.13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385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292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75.8%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70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+0.3%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03.16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408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323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79.2%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104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+4.1%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03.17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413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296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71.7%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74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+4.8%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03.18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407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258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63.4%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+3.9%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03.19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411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293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71.3%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+4.8%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03.20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416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356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85.6%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143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+5.6%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03.23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409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339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82.9%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124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+4.5%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03.24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411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281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68.4%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+4.0%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03.25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412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277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67.2%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+4.1%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03.26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417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269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64.5%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+4.9%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03.27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359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263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73.3%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35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△19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△5.2%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03.30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387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292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75.5%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67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+0.1%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03.31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392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276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70.4%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+0.9%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평균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402.7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300.6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74.67%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79.2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12.6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+3.1%</w:t>
            </w:r>
          </w:p>
        </w:tc>
      </w:tr>
    </w:tbl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/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[참고] 4월 일별 관리목표(60%) 충족 기준 순콜론+MMDA 수준</w:t>
      </w: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              (단위 : 백만불)</w:t>
      </w:r>
    </w:p>
    <w:tbl>
      <w:tblPr>
        <w:tblW w:type="dxa" w:w="1008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1500"/>
        <w:gridCol w:w="1500"/>
        <w:gridCol w:w="1450"/>
        <w:gridCol w:w="1600"/>
        <w:gridCol w:w="1700"/>
        <w:gridCol w:w="1380"/>
      </w:tblGrid>
      <w:tr>
        <w:trPr>
          <w:tblHeader/>
          <w:trHeight w:val="70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일자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만기도래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차입금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가용외화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여유자금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외화여유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자금비율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순콜론+MMDA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(실제)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60% 충족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순콜론+MMDA(이상)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차입금 대비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필요비율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04.01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387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311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80.4%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88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△1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△0.2%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04.02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387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274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70.8%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47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△1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△0.2%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04.03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386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246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63.7%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△2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△0.4%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04.06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390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243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62.3%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+0.3%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04.07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359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219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61.0%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△15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△20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△5.6%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04.08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360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222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61.7%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△12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△20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△5.7%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04.09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360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185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51.4%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△54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△20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△5.7%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04.10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368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255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69.3%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△15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△4.0%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04.13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390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228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58.5%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△5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04.14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383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236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61.6%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△5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△1.2%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04.15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382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231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60.5%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△5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△1.4%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04.16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386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243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63.0%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△3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△0.7%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04.17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381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239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62.7%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△6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△1.6%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04.20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383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231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60.3%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△5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△1.2%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04.21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382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235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61.5%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△5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△1.4%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04.22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383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252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65.8%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△5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△1.2%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04.23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219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56.9%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△15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△2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△0.6%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04.24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381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230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60.4%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△4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△1.0%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04.27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350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233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66.6%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△26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△7.5%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04.28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366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218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59.6%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△16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△14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△3.8%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04.29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370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242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65.4%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△11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△3.1%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04.30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200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52.5%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△36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△4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△1.0%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평균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377.3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236.0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62.53%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3.8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△7.8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△2.1%</w:t>
            </w:r>
          </w:p>
        </w:tc>
      </w:tr>
    </w:tbl>
    <w:p>
      <w:pPr>
        <w:spacing w:after="120" w:before="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/>
      </w:r>
    </w:p>
    <w:p>
      <w:pPr>
        <w:spacing w:after="80" w:before="0"/>
        <w:ind w:left="2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[참고] 5월 일별 관리목표(60%) 충족 기준 순콜론+MMDA 수준</w:t>
      </w:r>
      <w:r>
        <w:rPr>
          <w:rFonts w:ascii="맑은 고딕" w:cs="맑은 고딕" w:eastAsia="맑은 고딕" w:hAnsi="맑은 고딕"/>
          <w:b w:val="false"/>
          <w:bCs w:val="false"/>
          <w:sz w:val="18"/>
          <w:szCs w:val="18"/>
        </w:rPr>
        <w:t xml:space="preserve">              (단위 : 백만불)</w:t>
      </w:r>
    </w:p>
    <w:tbl>
      <w:tblPr>
        <w:tblW w:type="dxa" w:w="1008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1500"/>
        <w:gridCol w:w="1500"/>
        <w:gridCol w:w="1450"/>
        <w:gridCol w:w="1600"/>
        <w:gridCol w:w="1700"/>
        <w:gridCol w:w="1380"/>
      </w:tblGrid>
      <w:tr>
        <w:trPr>
          <w:tblHeader/>
          <w:trHeight w:val="70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일자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만기도래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차입금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가용외화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여유자금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외화여유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자금비율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순콜론+MMDA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(실제)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60% 충족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순콜론+MMDA(이상)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차입금 대비</w:t>
            </w:r>
          </w:p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필요비율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05.04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385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233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60.5%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△1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△0.3%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05.06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381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231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60.6%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△1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△4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△1.0%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05.07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360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227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63.1%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△6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△18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△5.1%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05.08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356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271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76.1%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44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△21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△5.9%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05.11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374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254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67.9%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△9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△2.3%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05.12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336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256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76.2%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△35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△10.3%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05.13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341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254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74.5%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△31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△9.1%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05.14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343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294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85.7%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70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△30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△8.7%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05.15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343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275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80.2%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49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△30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△8.7%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05.18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357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271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75.9%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44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△20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△5.7%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05.19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355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262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73.8%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△22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△6.1%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05.20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354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238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67.2%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△22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△6.3%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05.21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355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287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80.8%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△22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△6.1%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05.22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361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275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76.2%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48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△17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△4.8%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05.26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365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266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72.9%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38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△15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△4.0%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05.27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370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184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49.7%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△54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△11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△3.0%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05.28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355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192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54.1%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△47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△24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CE4E4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△6.6%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05.29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360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252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70.0%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△18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△5.0%</w:t>
            </w:r>
          </w:p>
        </w:tc>
      </w:tr>
      <w:tr>
        <w:trPr>
          <w:tblHeader w:val="false"/>
          <w:trHeight w:val="360" w:hRule="atLeast"/>
        </w:trPr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평균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358.4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251.2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70.30%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EAD3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21.6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△19.4</w:t>
            </w:r>
          </w:p>
        </w:tc>
        <w:tc>
          <w:tcPr>
            <w:tcW w:type="dxa" w:w="13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BDD7EE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0" w:line="200" w:lineRule="auto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△5.5%</w:t>
            </w:r>
          </w:p>
        </w:tc>
      </w:tr>
    </w:tbl>
    <w:p>
      <w:pPr>
        <w:spacing w:after="160" w:before="60"/>
      </w:pPr>
      <w:r>
        <w:rPr>
          <w:rFonts w:ascii="맑은 고딕" w:cs="맑은 고딕" w:eastAsia="맑은 고딕" w:hAnsi="맑은 고딕"/>
          <w:b w:val="false"/>
          <w:bCs w:val="false"/>
          <w:sz w:val="17"/>
          <w:szCs w:val="17"/>
        </w:rPr>
        <w:t xml:space="preserve">* 음영 표시일 : 외화여유자금비율 60% 미달일</w:t>
      </w:r>
    </w:p>
    <w:p>
      <w:pPr>
        <w:spacing w:after="80" w:before="0"/>
      </w:pPr>
      <w:r>
        <w:rPr>
          <w:rFonts w:ascii="맑은 고딕" w:cs="맑은 고딕" w:eastAsia="맑은 고딕" w:hAnsi="맑은 고딕"/>
          <w:b w:val="false"/>
          <w:bCs w:val="false"/>
          <w:sz w:val="22"/>
          <w:szCs w:val="22"/>
        </w:rPr>
        <w:t xml:space="preserve">끝.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01362e1c56420d7b9e95c7f023d496d4944205f.png"/><Relationship Id="rId8" Type="http://schemas.openxmlformats.org/officeDocument/2006/relationships/image" Target="media/5fcd44cebb01c8be8900c0433d0f7d7e4e11fb99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2026-06-11T00:50:44.881Z</dcterms:created>
  <dcterms:modified xsi:type="dcterms:W3CDTF">2026-06-11T00:50:44.881Z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