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Default ContentType="application/vnd.openxmlformats-officedocument.spreadsheetml.sheet" Extension="xlsx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외화여유자금비율 현황 및 관리방안</w:t>
            </w:r>
          </w:p>
        </w:tc>
      </w:tr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(2026.06.11) iM뱅크 자금부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개요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× (1-헤어컷) + 국공채 + 커미티드라인 미사용 잔액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 + FX스왑 순운용 잔액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외화여유자금비율 현황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가. 월별 평균 비율                                                    (단위 : 백만불)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46"/>
        <w:gridCol w:w="20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가용외화여유자금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만기도래차입금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외화여유자금비율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관리목표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25.03월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71.69%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25.04월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76.69%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25.05월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419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79.14%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25.06월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63.65%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25.07월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366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79.33%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25.08월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415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25.09월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397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68.00%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25.10월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82.87%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25.11월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354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77.22%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25.12월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351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81.78%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26.01월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364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79.45%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26.02월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348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87.53%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26.03월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74.67%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26.04월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377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62.53%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26.05월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358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70.30%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60%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나. 5월 일별 비율 추이 (영업일 18일, 월 평균 70.30%)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관리목표(60%) 미만 2회 : 5.27일 49.73%, 5.28일 54.08%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5월 일별 외화여유자금비율 추이 (편집 가능 차트 — 더블클릭하여 데이터·문구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2700400"/>
            <wp:effectExtent l="0" t="0" r="0" b="0"/>
            <wp:docPr id="201" name="Char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4"/>
          <w:szCs w:val="14"/>
        </w:rPr>
        <w:t xml:space="preserve">※ 일별 비율은 원본 그래프 형태를 본떠 근사값으로 작성 (5.27·5.28만 실제값) — 실제 값으로 수정 필요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관리목표 하회 사유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: 당일 예상하지 못한 거액 당발송금이 발생한 가운데 타발송금은 평균을 하회하는 수준에 그침에 따라,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여유자금(순콜론+MMDA)이 마이너스로 전환되어 외화여유자금비율이 관리목표(60%)를 하회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5월 일별 자금유출입 현황                                            (단위 : 백만불)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80"/>
        <w:gridCol w:w="1180"/>
        <w:gridCol w:w="1180"/>
        <w:gridCol w:w="1320"/>
        <w:gridCol w:w="1100"/>
        <w:gridCol w:w="1180"/>
        <w:gridCol w:w="1786"/>
      </w:tblGrid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전일자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마감액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당발송금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(-)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타발송금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(+)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FX거래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자금유출입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콜머니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(+)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당일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마감액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(순콜론+MMDA)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60.98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18.13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-15.04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55.86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55.86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28.15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-1.69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57.51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57.51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27.93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-39.55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26.86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-6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26.86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15.10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24.52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11.24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47.52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47.52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14.70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16.65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-31.86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17.61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17.61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17.59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24.55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-5.52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13.90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-15.16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37.58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37.58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15.48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51.75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-12.40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61.45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61.45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32.65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46.10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-34.18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40.72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40.72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27.31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25.13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-2.65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35.89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35.89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29.17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16.44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-2.35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23.14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20.77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-24.82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11.84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40.43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-9.06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53.15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53.15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29.18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120.41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-107.72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36.66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36.66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108.24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37.70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77.59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43.71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43.71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119.08*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42.60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-10.19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17.04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-54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17.04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63.70*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8.30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2.71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90.00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54.35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-47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54.35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40.66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57.45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18.51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89.65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합계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730.37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620.10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620.91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-202.14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230.00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759.04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22</w:t>
            </w:r>
          </w:p>
        </w:tc>
      </w:tr>
    </w:tbl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* 거액 당발송금 내역 : 5.27일 한국가스공사 50백만불, 에코프로머티리얼즈 27백만불, 일지테크 21백만불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  5.28일 한국가스공사 45백만불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* 5월 당발·타발송금 평균(27,28일 제외): 당발송금 27.33백만불, 타발송금 35.63백만불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외화여유자금비율 관리방안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관리목표(60%)을 충족하는 순콜론+MMDA 수준을 상시 유지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거액 송금 건은 딜링룸과 상시 소통하여 사전에 인지·대비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FX 결제액은 하루 전 예상이 가능하므로, 유출 과다가 예상되는 경우 사전에 커버 실시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사전 관리에도 불구하고 거액 당발송금에 따른 자금 유출로 당일 관리목표 하회가 예상되는 경우 Today 커버거래 실시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한국가스공사 거액 당발송금에 대해 5.27일 +50백만불, 5.28일 +45백만불 Today 커버거래를 실시하였다면, 가용외화여유자금이 동액 증가하여 외화여유자금비율이 관리목표(60%)를 상회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여유자금(순콜론+MMDA) : 5.27일 △54 → △4백만불, 5.28일 △47 → △2백만불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외화여유자금비율 : 5.27일 49.73% → 63.2%, 5.28일 54.08% → 66.8%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[기타] 외화유동성 규제지표 현황 ('26.1월 ~ 5월)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 기준(80%)을 지속 상회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2500400"/>
            <wp:effectExtent l="0" t="0" r="0" b="0"/>
            <wp:docPr id="202" name="Char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2"/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 기준(100%)을 지속 상회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2500400"/>
            <wp:effectExtent l="0" t="0" r="0" b="0"/>
            <wp:docPr id="203" name="Char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3"/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4"/>
          <w:szCs w:val="14"/>
        </w:rPr>
        <w:t xml:space="preserve">※ LCR·조달비율 일별 추이는 데이터 미보유로 근사 예시값 — 실제 값으로 수정 필요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_rels/chart1.xml.rels><?xml version="1.0" encoding="UTF-8"?><Relationships xmlns="http://schemas.openxmlformats.org/package/2006/relationships"><Relationship Id="rId1" Type="http://schemas.openxmlformats.org/officeDocument/2006/relationships/package" Target="../embeddings/chart1.xlsx"/></Relationships>
</file>

<file path=word/charts/_rels/chart2.xml.rels><?xml version="1.0" encoding="UTF-8"?><Relationships xmlns="http://schemas.openxmlformats.org/package/2006/relationships"><Relationship Id="rId1" Type="http://schemas.openxmlformats.org/officeDocument/2006/relationships/package" Target="../embeddings/chart2.xlsx"/></Relationships>
</file>

<file path=word/charts/_rels/chart3.xml.rels><?xml version="1.0" encoding="UTF-8"?><Relationships xmlns="http://schemas.openxmlformats.org/package/2006/relationships"><Relationship Id="rId1" Type="http://schemas.openxmlformats.org/officeDocument/2006/relationships/package" Target="../embeddings/char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외화여유자금비율(%)</c:v>
                </c:pt>
              </c:strCache>
            </c:strRef>
          </c:tx>
          <c:spPr>
            <a:ln w="28575">
              <a:solidFill>
                <a:srgbClr val="2E75B6"/>
              </a:solidFill>
            </a:ln>
          </c:spPr>
          <c:marker>
            <c:symbol val="circle"/>
            <c:size val="6"/>
            <c:spPr>
              <a:solidFill>
                <a:srgbClr val="2E75B6"/>
              </a:solidFill>
              <a:ln>
                <a:solidFill>
                  <a:srgbClr val="2E75B6"/>
                </a:solidFill>
              </a:ln>
            </c:spPr>
          </c:marker>
          <c:dPt>
            <c:idx val="15"/>
            <c:marker>
              <c:symbol val="circle"/>
              <c:size val="7"/>
              <c:spPr>
                <a:solidFill>
                  <a:srgbClr val="C00000"/>
                </a:solidFill>
                <a:ln>
                  <a:solidFill>
                    <a:srgbClr val="C00000"/>
                  </a:solidFill>
                </a:ln>
              </c:spPr>
            </c:marker>
            <c:bubble3D val="0"/>
          </c:dPt>
          <c:dPt>
            <c:idx val="16"/>
            <c:marker>
              <c:symbol val="circle"/>
              <c:size val="7"/>
              <c:spPr>
                <a:solidFill>
                  <a:srgbClr val="C00000"/>
                </a:solidFill>
                <a:ln>
                  <a:solidFill>
                    <a:srgbClr val="C00000"/>
                  </a:solidFill>
                </a:ln>
              </c:spPr>
            </c:marker>
            <c:bubble3D val="0"/>
          </c:dPt>
          <c:dLbls>
            <c:dLbl>
              <c:idx val="7"/>
              <c:numFmt formatCode="0.0&quot;%&quot;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800" b="1">
                      <a:solidFill>
                        <a:srgbClr val="404040"/>
                      </a:solidFill>
                    </a:defRPr>
                  </a:pPr>
                  <a:endParaRPr lang="ko-KR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numFmt formatCode="0.00&quot;%&quot;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800" b="1">
                      <a:solidFill>
                        <a:srgbClr val="C00000"/>
                      </a:solidFill>
                    </a:defRPr>
                  </a:pPr>
                  <a:endParaRPr lang="ko-KR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numFmt formatCode="0.00&quot;%&quot;" sourceLinked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800" b="1">
                      <a:solidFill>
                        <a:srgbClr val="C00000"/>
                      </a:solidFill>
                    </a:defRPr>
                  </a:pPr>
                  <a:endParaRPr lang="ko-KR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elete val="1"/>
          </c:dLbls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Sheet1!$B$2:$B$19</c:f>
              <c:numCache>
                <c:formatCode>General</c:formatCode>
                <c:ptCount val="18"/>
                <c:pt idx="0">
                  <c:v>61.0</c:v>
                </c:pt>
                <c:pt idx="1">
                  <c:v>61.0</c:v>
                </c:pt>
                <c:pt idx="2">
                  <c:v>63.0</c:v>
                </c:pt>
                <c:pt idx="3">
                  <c:v>76.5</c:v>
                </c:pt>
                <c:pt idx="4">
                  <c:v>68.0</c:v>
                </c:pt>
                <c:pt idx="5">
                  <c:v>76.0</c:v>
                </c:pt>
                <c:pt idx="6">
                  <c:v>74.5</c:v>
                </c:pt>
                <c:pt idx="7">
                  <c:v>85.7</c:v>
                </c:pt>
                <c:pt idx="8">
                  <c:v>80.0</c:v>
                </c:pt>
                <c:pt idx="9">
                  <c:v>75.5</c:v>
                </c:pt>
                <c:pt idx="10">
                  <c:v>73.5</c:v>
                </c:pt>
                <c:pt idx="11">
                  <c:v>67.5</c:v>
                </c:pt>
                <c:pt idx="12">
                  <c:v>80.5</c:v>
                </c:pt>
                <c:pt idx="13">
                  <c:v>75.5</c:v>
                </c:pt>
                <c:pt idx="14">
                  <c:v>72.5</c:v>
                </c:pt>
                <c:pt idx="15">
                  <c:v>49.73</c:v>
                </c:pt>
                <c:pt idx="16">
                  <c:v>54.08</c:v>
                </c:pt>
                <c:pt idx="17">
                  <c:v>70.3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관리목표(60%)</c:v>
                </c:pt>
              </c:strCache>
            </c:strRef>
          </c:tx>
          <c:spPr>
            <a:ln w="19050">
              <a:solidFill>
                <a:srgbClr val="548235"/>
              </a:solidFill>
              <a:prstDash val="dash"/>
            </a:ln>
          </c:spPr>
          <c:marker>
            <c:symbol val="none"/>
          </c:marker>
          <c:dLbls>
            <c:dLbl>
              <c:idx val="9"/>
              <c:tx>
                <c:rich>
                  <a:bodyPr/>
                  <a:lstStyle/>
                  <a:p>
                    <a:pPr>
                      <a:defRPr sz="800">
                        <a:solidFill>
                          <a:srgbClr val="548235"/>
                        </a:solidFill>
                      </a:defRPr>
                    </a:pPr>
                    <a:r>
                      <a:rPr lang="ko-KR" sz="800">
                        <a:solidFill>
                          <a:srgbClr val="548235"/>
                        </a:solidFill>
                      </a:rPr>
                      <a:t>관리목표 60%</a:t>
                    </a:r>
                  </a:p>
                </c:rich>
              </c:tx>
              <c:dLblPos val="b"/>
              <c:showLegendKey val="0"/>
              <c:showVal val="0"/>
              <c:showCatName val="0"/>
              <c:showSerName val="0"/>
              <c:showPercent val="0"/>
              <c:showBubbleSize val="0"/>
            </c:dLbl>
            <c:delete val="1"/>
          </c:dLbls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Sheet1!$C$2:$C$19</c:f>
              <c:numCache>
                <c:formatCode>General</c:formatCode>
                <c:ptCount val="18"/>
                <c:pt idx="0">
                  <c:v>60.0</c:v>
                </c:pt>
                <c:pt idx="1">
                  <c:v>60.0</c:v>
                </c:pt>
                <c:pt idx="2">
                  <c:v>60.0</c:v>
                </c:pt>
                <c:pt idx="3">
                  <c:v>60.0</c:v>
                </c:pt>
                <c:pt idx="4">
                  <c:v>60.0</c:v>
                </c:pt>
                <c:pt idx="5">
                  <c:v>60.0</c:v>
                </c:pt>
                <c:pt idx="6">
                  <c:v>60.0</c:v>
                </c:pt>
                <c:pt idx="7">
                  <c:v>60.0</c:v>
                </c:pt>
                <c:pt idx="8">
                  <c:v>60.0</c:v>
                </c:pt>
                <c:pt idx="9">
                  <c:v>60.0</c:v>
                </c:pt>
                <c:pt idx="10">
                  <c:v>60.0</c:v>
                </c:pt>
                <c:pt idx="11">
                  <c:v>60.0</c:v>
                </c:pt>
                <c:pt idx="12">
                  <c:v>60.0</c:v>
                </c:pt>
                <c:pt idx="13">
                  <c:v>60.0</c:v>
                </c:pt>
                <c:pt idx="14">
                  <c:v>60.0</c:v>
                </c:pt>
                <c:pt idx="15">
                  <c:v>60.0</c:v>
                </c:pt>
                <c:pt idx="16">
                  <c:v>60.0</c:v>
                </c:pt>
                <c:pt idx="17">
                  <c:v>60.0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월 평균(70.30%)</c:v>
                </c:pt>
              </c:strCache>
            </c:strRef>
          </c:tx>
          <c:spPr>
            <a:ln w="12700">
              <a:solidFill>
                <a:srgbClr val="A6A6A6"/>
              </a:solidFill>
              <a:prstDash val="dash"/>
            </a:ln>
          </c:spPr>
          <c:marker>
            <c:symbol val="none"/>
          </c:marker>
          <c:dLbls>
            <c:dLbl>
              <c:idx val="1"/>
              <c:tx>
                <c:rich>
                  <a:bodyPr/>
                  <a:lstStyle/>
                  <a:p>
                    <a:pPr>
                      <a:defRPr sz="800">
                        <a:solidFill>
                          <a:srgbClr val="808080"/>
                        </a:solidFill>
                      </a:defRPr>
                    </a:pPr>
                    <a:r>
                      <a:rPr lang="ko-KR" sz="800">
                        <a:solidFill>
                          <a:srgbClr val="808080"/>
                        </a:solidFill>
                      </a:rPr>
                      <a:t>월 평균 70.30%</a:t>
                    </a:r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</c:dLbl>
            <c:delete val="1"/>
          </c:dLbls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Sheet1!$D$2:$D$19</c:f>
              <c:numCache>
                <c:formatCode>General</c:formatCode>
                <c:ptCount val="18"/>
                <c:pt idx="0">
                  <c:v>70.3</c:v>
                </c:pt>
                <c:pt idx="1">
                  <c:v>70.3</c:v>
                </c:pt>
                <c:pt idx="2">
                  <c:v>70.3</c:v>
                </c:pt>
                <c:pt idx="3">
                  <c:v>70.3</c:v>
                </c:pt>
                <c:pt idx="4">
                  <c:v>70.3</c:v>
                </c:pt>
                <c:pt idx="5">
                  <c:v>70.3</c:v>
                </c:pt>
                <c:pt idx="6">
                  <c:v>70.3</c:v>
                </c:pt>
                <c:pt idx="7">
                  <c:v>70.3</c:v>
                </c:pt>
                <c:pt idx="8">
                  <c:v>70.3</c:v>
                </c:pt>
                <c:pt idx="9">
                  <c:v>70.3</c:v>
                </c:pt>
                <c:pt idx="10">
                  <c:v>70.3</c:v>
                </c:pt>
                <c:pt idx="11">
                  <c:v>70.3</c:v>
                </c:pt>
                <c:pt idx="12">
                  <c:v>70.3</c:v>
                </c:pt>
                <c:pt idx="13">
                  <c:v>70.3</c:v>
                </c:pt>
                <c:pt idx="14">
                  <c:v>70.3</c:v>
                </c:pt>
                <c:pt idx="15">
                  <c:v>70.3</c:v>
                </c:pt>
                <c:pt idx="16">
                  <c:v>70.3</c:v>
                </c:pt>
                <c:pt idx="17">
                  <c:v>70.3</c:v>
                </c:pt>
              </c:numCache>
            </c:numRef>
          </c:val>
          <c:smooth val="0"/>
        </c:ser>
        <c:marker val="1"/>
        <c:axId val="1010"/>
        <c:axId val="1020"/>
      </c:lineChart>
      <c:catAx>
        <c:axId val="1010"/>
        <c:scaling>
          <c:orientation val="minMax"/>
        </c:scaling>
        <c:delete val="0"/>
        <c:axPos val="b"/>
        <c:txPr>
          <a:bodyPr/>
          <a:lstStyle/>
          <a:p>
            <a:pPr>
              <a:defRPr sz="800"/>
            </a:pPr>
            <a:endParaRPr lang="ko-KR"/>
          </a:p>
        </c:txPr>
        <c:crossAx val="1020"/>
      </c:catAx>
      <c:valAx>
        <c:axId val="1020"/>
        <c:scaling>
          <c:orientation val="minMax"/>
          <c:max val="90"/>
          <c:min val="40"/>
        </c:scaling>
        <c:delete val="0"/>
        <c:axPos val="l"/>
        <c:majorGridlines>
          <c:spPr>
            <a:ln w="3175">
              <a:solidFill>
                <a:srgbClr val="E6E6E6"/>
              </a:solidFill>
            </a:ln>
          </c:spPr>
        </c:majorGridlines>
        <c:numFmt formatCode="0&quot;%&quot;" sourceLinked="0"/>
        <c:majorTickMark val="none"/>
        <c:txPr>
          <a:bodyPr/>
          <a:lstStyle/>
          <a:p>
            <a:pPr>
              <a:defRPr sz="800"/>
            </a:pPr>
            <a:endParaRPr lang="ko-KR"/>
          </a:p>
        </c:txPr>
        <c:crossAx val="1010"/>
        <c:majorUnit val="10"/>
      </c:valAx>
    </c:plotArea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외화 LCR(%)</c:v>
                </c:pt>
              </c:strCache>
            </c:strRef>
          </c:tx>
          <c:spPr>
            <a:ln w="19050">
              <a:solidFill>
                <a:srgbClr val="262626"/>
              </a:solidFill>
            </a:ln>
          </c:spPr>
          <c:marker>
            <c:symbol val="none"/>
          </c:marker>
          <c:cat>
            <c:strRef>
              <c:f>Sheet1!$A$2:$A$107</c:f>
              <c:strCache>
                <c:ptCount val="106"/>
                <c:pt idx="0">
                  <c:v>01.02</c:v>
                </c:pt>
                <c:pt idx="1">
                  <c:v>01.05</c:v>
                </c:pt>
                <c:pt idx="2">
                  <c:v>01.06</c:v>
                </c:pt>
                <c:pt idx="3">
                  <c:v>01.07</c:v>
                </c:pt>
                <c:pt idx="4">
                  <c:v>01.08</c:v>
                </c:pt>
                <c:pt idx="5">
                  <c:v>01.09</c:v>
                </c:pt>
                <c:pt idx="6">
                  <c:v>01.12</c:v>
                </c:pt>
                <c:pt idx="7">
                  <c:v>01.13</c:v>
                </c:pt>
                <c:pt idx="8">
                  <c:v>01.14</c:v>
                </c:pt>
                <c:pt idx="9">
                  <c:v>01.15</c:v>
                </c:pt>
                <c:pt idx="10">
                  <c:v>01.16</c:v>
                </c:pt>
                <c:pt idx="11">
                  <c:v>01.19</c:v>
                </c:pt>
                <c:pt idx="12">
                  <c:v>01.20</c:v>
                </c:pt>
                <c:pt idx="13">
                  <c:v>01.21</c:v>
                </c:pt>
                <c:pt idx="14">
                  <c:v>01.22</c:v>
                </c:pt>
                <c:pt idx="15">
                  <c:v>01.23</c:v>
                </c:pt>
                <c:pt idx="16">
                  <c:v>01.26</c:v>
                </c:pt>
                <c:pt idx="17">
                  <c:v>01.27</c:v>
                </c:pt>
                <c:pt idx="18">
                  <c:v>01.28</c:v>
                </c:pt>
                <c:pt idx="19">
                  <c:v>01.29</c:v>
                </c:pt>
                <c:pt idx="20">
                  <c:v>01.30</c:v>
                </c:pt>
                <c:pt idx="21">
                  <c:v>02.02</c:v>
                </c:pt>
                <c:pt idx="22">
                  <c:v>02.03</c:v>
                </c:pt>
                <c:pt idx="23">
                  <c:v>02.04</c:v>
                </c:pt>
                <c:pt idx="24">
                  <c:v>02.05</c:v>
                </c:pt>
                <c:pt idx="25">
                  <c:v>02.06</c:v>
                </c:pt>
                <c:pt idx="26">
                  <c:v>02.09</c:v>
                </c:pt>
                <c:pt idx="27">
                  <c:v>02.10</c:v>
                </c:pt>
                <c:pt idx="28">
                  <c:v>02.11</c:v>
                </c:pt>
                <c:pt idx="29">
                  <c:v>02.12</c:v>
                </c:pt>
                <c:pt idx="30">
                  <c:v>02.13</c:v>
                </c:pt>
                <c:pt idx="31">
                  <c:v>02.16</c:v>
                </c:pt>
                <c:pt idx="32">
                  <c:v>02.17</c:v>
                </c:pt>
                <c:pt idx="33">
                  <c:v>02.18</c:v>
                </c:pt>
                <c:pt idx="34">
                  <c:v>02.19</c:v>
                </c:pt>
                <c:pt idx="35">
                  <c:v>02.20</c:v>
                </c:pt>
                <c:pt idx="36">
                  <c:v>02.23</c:v>
                </c:pt>
                <c:pt idx="37">
                  <c:v>02.24</c:v>
                </c:pt>
                <c:pt idx="38">
                  <c:v>02.25</c:v>
                </c:pt>
                <c:pt idx="39">
                  <c:v>02.26</c:v>
                </c:pt>
                <c:pt idx="40">
                  <c:v>02.27</c:v>
                </c:pt>
                <c:pt idx="41">
                  <c:v>03.02</c:v>
                </c:pt>
                <c:pt idx="42">
                  <c:v>03.03</c:v>
                </c:pt>
                <c:pt idx="43">
                  <c:v>03.04</c:v>
                </c:pt>
                <c:pt idx="44">
                  <c:v>03.05</c:v>
                </c:pt>
                <c:pt idx="45">
                  <c:v>03.06</c:v>
                </c:pt>
                <c:pt idx="46">
                  <c:v>03.09</c:v>
                </c:pt>
                <c:pt idx="47">
                  <c:v>03.10</c:v>
                </c:pt>
                <c:pt idx="48">
                  <c:v>03.11</c:v>
                </c:pt>
                <c:pt idx="49">
                  <c:v>03.12</c:v>
                </c:pt>
                <c:pt idx="50">
                  <c:v>03.13</c:v>
                </c:pt>
                <c:pt idx="51">
                  <c:v>03.16</c:v>
                </c:pt>
                <c:pt idx="52">
                  <c:v>03.17</c:v>
                </c:pt>
                <c:pt idx="53">
                  <c:v>03.18</c:v>
                </c:pt>
                <c:pt idx="54">
                  <c:v>03.19</c:v>
                </c:pt>
                <c:pt idx="55">
                  <c:v>03.20</c:v>
                </c:pt>
                <c:pt idx="56">
                  <c:v>03.23</c:v>
                </c:pt>
                <c:pt idx="57">
                  <c:v>03.24</c:v>
                </c:pt>
                <c:pt idx="58">
                  <c:v>03.25</c:v>
                </c:pt>
                <c:pt idx="59">
                  <c:v>03.26</c:v>
                </c:pt>
                <c:pt idx="60">
                  <c:v>03.27</c:v>
                </c:pt>
                <c:pt idx="61">
                  <c:v>03.30</c:v>
                </c:pt>
                <c:pt idx="62">
                  <c:v>03.31</c:v>
                </c:pt>
                <c:pt idx="63">
                  <c:v>04.01</c:v>
                </c:pt>
                <c:pt idx="64">
                  <c:v>04.02</c:v>
                </c:pt>
                <c:pt idx="65">
                  <c:v>04.03</c:v>
                </c:pt>
                <c:pt idx="66">
                  <c:v>04.06</c:v>
                </c:pt>
                <c:pt idx="67">
                  <c:v>04.07</c:v>
                </c:pt>
                <c:pt idx="68">
                  <c:v>04.08</c:v>
                </c:pt>
                <c:pt idx="69">
                  <c:v>04.09</c:v>
                </c:pt>
                <c:pt idx="70">
                  <c:v>04.10</c:v>
                </c:pt>
                <c:pt idx="71">
                  <c:v>04.13</c:v>
                </c:pt>
                <c:pt idx="72">
                  <c:v>04.14</c:v>
                </c:pt>
                <c:pt idx="73">
                  <c:v>04.15</c:v>
                </c:pt>
                <c:pt idx="74">
                  <c:v>04.16</c:v>
                </c:pt>
                <c:pt idx="75">
                  <c:v>04.17</c:v>
                </c:pt>
                <c:pt idx="76">
                  <c:v>04.20</c:v>
                </c:pt>
                <c:pt idx="77">
                  <c:v>04.21</c:v>
                </c:pt>
                <c:pt idx="78">
                  <c:v>04.22</c:v>
                </c:pt>
                <c:pt idx="79">
                  <c:v>04.23</c:v>
                </c:pt>
                <c:pt idx="80">
                  <c:v>04.24</c:v>
                </c:pt>
                <c:pt idx="81">
                  <c:v>04.27</c:v>
                </c:pt>
                <c:pt idx="82">
                  <c:v>04.28</c:v>
                </c:pt>
                <c:pt idx="83">
                  <c:v>04.29</c:v>
                </c:pt>
                <c:pt idx="84">
                  <c:v>04.30</c:v>
                </c:pt>
                <c:pt idx="85">
                  <c:v>05.01</c:v>
                </c:pt>
                <c:pt idx="86">
                  <c:v>05.04</c:v>
                </c:pt>
                <c:pt idx="87">
                  <c:v>05.05</c:v>
                </c:pt>
                <c:pt idx="88">
                  <c:v>05.06</c:v>
                </c:pt>
                <c:pt idx="89">
                  <c:v>05.07</c:v>
                </c:pt>
                <c:pt idx="90">
                  <c:v>05.08</c:v>
                </c:pt>
                <c:pt idx="91">
                  <c:v>05.11</c:v>
                </c:pt>
                <c:pt idx="92">
                  <c:v>05.12</c:v>
                </c:pt>
                <c:pt idx="93">
                  <c:v>05.13</c:v>
                </c:pt>
                <c:pt idx="94">
                  <c:v>05.14</c:v>
                </c:pt>
                <c:pt idx="95">
                  <c:v>05.15</c:v>
                </c:pt>
                <c:pt idx="96">
                  <c:v>05.18</c:v>
                </c:pt>
                <c:pt idx="97">
                  <c:v>05.19</c:v>
                </c:pt>
                <c:pt idx="98">
                  <c:v>05.20</c:v>
                </c:pt>
                <c:pt idx="99">
                  <c:v>05.21</c:v>
                </c:pt>
                <c:pt idx="100">
                  <c:v>05.22</c:v>
                </c:pt>
                <c:pt idx="101">
                  <c:v>05.25</c:v>
                </c:pt>
                <c:pt idx="102">
                  <c:v>05.26</c:v>
                </c:pt>
                <c:pt idx="103">
                  <c:v>05.27</c:v>
                </c:pt>
                <c:pt idx="104">
                  <c:v>05.28</c:v>
                </c:pt>
                <c:pt idx="105">
                  <c:v>05.29</c:v>
                </c:pt>
              </c:strCache>
            </c:strRef>
          </c:cat>
          <c:val>
            <c:numRef>
              <c:f>Sheet1!$B$2:$B$107</c:f>
              <c:numCache>
                <c:formatCode>General</c:formatCode>
                <c:ptCount val="106"/>
                <c:pt idx="0">
                  <c:v>196.5</c:v>
                </c:pt>
                <c:pt idx="1">
                  <c:v>187.1</c:v>
                </c:pt>
                <c:pt idx="2">
                  <c:v>190.3</c:v>
                </c:pt>
                <c:pt idx="3">
                  <c:v>178.3</c:v>
                </c:pt>
                <c:pt idx="4">
                  <c:v>179.4</c:v>
                </c:pt>
                <c:pt idx="5">
                  <c:v>174.5</c:v>
                </c:pt>
                <c:pt idx="6">
                  <c:v>163.8</c:v>
                </c:pt>
                <c:pt idx="7">
                  <c:v>165.4</c:v>
                </c:pt>
                <c:pt idx="8">
                  <c:v>154.7</c:v>
                </c:pt>
                <c:pt idx="9">
                  <c:v>159.1</c:v>
                </c:pt>
                <c:pt idx="10">
                  <c:v>156.6</c:v>
                </c:pt>
                <c:pt idx="11">
                  <c:v>156.9</c:v>
                </c:pt>
                <c:pt idx="12">
                  <c:v>164.9</c:v>
                </c:pt>
                <c:pt idx="13">
                  <c:v>178.2</c:v>
                </c:pt>
                <c:pt idx="14">
                  <c:v>171.9</c:v>
                </c:pt>
                <c:pt idx="15">
                  <c:v>172.0</c:v>
                </c:pt>
                <c:pt idx="16">
                  <c:v>181.3</c:v>
                </c:pt>
                <c:pt idx="17">
                  <c:v>193.5</c:v>
                </c:pt>
                <c:pt idx="18">
                  <c:v>193.4</c:v>
                </c:pt>
                <c:pt idx="19">
                  <c:v>191.0</c:v>
                </c:pt>
                <c:pt idx="20">
                  <c:v>202.5</c:v>
                </c:pt>
                <c:pt idx="21">
                  <c:v>190.9</c:v>
                </c:pt>
                <c:pt idx="22">
                  <c:v>203.0</c:v>
                </c:pt>
                <c:pt idx="23">
                  <c:v>199.1</c:v>
                </c:pt>
                <c:pt idx="24">
                  <c:v>195.6</c:v>
                </c:pt>
                <c:pt idx="25">
                  <c:v>194.8</c:v>
                </c:pt>
                <c:pt idx="26">
                  <c:v>199.6</c:v>
                </c:pt>
                <c:pt idx="27">
                  <c:v>213.6</c:v>
                </c:pt>
                <c:pt idx="28">
                  <c:v>209.4</c:v>
                </c:pt>
                <c:pt idx="29">
                  <c:v>216.7</c:v>
                </c:pt>
                <c:pt idx="30">
                  <c:v>222.9</c:v>
                </c:pt>
                <c:pt idx="31">
                  <c:v>222.1</c:v>
                </c:pt>
                <c:pt idx="32">
                  <c:v>224.6</c:v>
                </c:pt>
                <c:pt idx="33">
                  <c:v>214.6</c:v>
                </c:pt>
                <c:pt idx="34">
                  <c:v>208.9</c:v>
                </c:pt>
                <c:pt idx="35">
                  <c:v>208.4</c:v>
                </c:pt>
                <c:pt idx="36">
                  <c:v>217.0</c:v>
                </c:pt>
                <c:pt idx="37">
                  <c:v>215.7</c:v>
                </c:pt>
                <c:pt idx="38">
                  <c:v>212.2</c:v>
                </c:pt>
                <c:pt idx="39">
                  <c:v>215.2</c:v>
                </c:pt>
                <c:pt idx="40">
                  <c:v>213.5</c:v>
                </c:pt>
                <c:pt idx="41">
                  <c:v>209.0</c:v>
                </c:pt>
                <c:pt idx="42">
                  <c:v>216.0</c:v>
                </c:pt>
                <c:pt idx="43">
                  <c:v>217.1</c:v>
                </c:pt>
                <c:pt idx="44">
                  <c:v>207.9</c:v>
                </c:pt>
                <c:pt idx="45">
                  <c:v>208.4</c:v>
                </c:pt>
                <c:pt idx="46">
                  <c:v>206.5</c:v>
                </c:pt>
                <c:pt idx="47">
                  <c:v>211.5</c:v>
                </c:pt>
                <c:pt idx="48">
                  <c:v>209.9</c:v>
                </c:pt>
                <c:pt idx="49">
                  <c:v>199.2</c:v>
                </c:pt>
                <c:pt idx="50">
                  <c:v>206.6</c:v>
                </c:pt>
                <c:pt idx="51">
                  <c:v>192.0</c:v>
                </c:pt>
                <c:pt idx="52">
                  <c:v>189.6</c:v>
                </c:pt>
                <c:pt idx="53">
                  <c:v>194.1</c:v>
                </c:pt>
                <c:pt idx="54">
                  <c:v>183.1</c:v>
                </c:pt>
                <c:pt idx="55">
                  <c:v>183.2</c:v>
                </c:pt>
                <c:pt idx="56">
                  <c:v>173.2</c:v>
                </c:pt>
                <c:pt idx="57">
                  <c:v>179.7</c:v>
                </c:pt>
                <c:pt idx="58">
                  <c:v>184.4</c:v>
                </c:pt>
                <c:pt idx="59">
                  <c:v>183.9</c:v>
                </c:pt>
                <c:pt idx="60">
                  <c:v>189.9</c:v>
                </c:pt>
                <c:pt idx="61">
                  <c:v>181.7</c:v>
                </c:pt>
                <c:pt idx="62">
                  <c:v>185.4</c:v>
                </c:pt>
                <c:pt idx="63">
                  <c:v>185.3</c:v>
                </c:pt>
                <c:pt idx="64">
                  <c:v>185.1</c:v>
                </c:pt>
                <c:pt idx="65">
                  <c:v>182.7</c:v>
                </c:pt>
                <c:pt idx="66">
                  <c:v>189.2</c:v>
                </c:pt>
                <c:pt idx="67">
                  <c:v>194.7</c:v>
                </c:pt>
                <c:pt idx="68">
                  <c:v>188.2</c:v>
                </c:pt>
                <c:pt idx="69">
                  <c:v>188.8</c:v>
                </c:pt>
                <c:pt idx="70">
                  <c:v>177.2</c:v>
                </c:pt>
                <c:pt idx="71">
                  <c:v>184.3</c:v>
                </c:pt>
                <c:pt idx="72">
                  <c:v>186.9</c:v>
                </c:pt>
                <c:pt idx="73">
                  <c:v>195.3</c:v>
                </c:pt>
                <c:pt idx="74">
                  <c:v>196.1</c:v>
                </c:pt>
                <c:pt idx="75">
                  <c:v>185.9</c:v>
                </c:pt>
                <c:pt idx="76">
                  <c:v>183.0</c:v>
                </c:pt>
                <c:pt idx="77">
                  <c:v>187.3</c:v>
                </c:pt>
                <c:pt idx="78">
                  <c:v>176.6</c:v>
                </c:pt>
                <c:pt idx="79">
                  <c:v>180.1</c:v>
                </c:pt>
                <c:pt idx="80">
                  <c:v>175.5</c:v>
                </c:pt>
                <c:pt idx="81">
                  <c:v>172.1</c:v>
                </c:pt>
                <c:pt idx="82">
                  <c:v>169.0</c:v>
                </c:pt>
                <c:pt idx="83">
                  <c:v>181.6</c:v>
                </c:pt>
                <c:pt idx="84">
                  <c:v>174.9</c:v>
                </c:pt>
                <c:pt idx="85">
                  <c:v>173.7</c:v>
                </c:pt>
                <c:pt idx="86">
                  <c:v>175.9</c:v>
                </c:pt>
                <c:pt idx="87">
                  <c:v>186.4</c:v>
                </c:pt>
                <c:pt idx="88">
                  <c:v>175.7</c:v>
                </c:pt>
                <c:pt idx="89">
                  <c:v>177.5</c:v>
                </c:pt>
                <c:pt idx="90">
                  <c:v>180.3</c:v>
                </c:pt>
                <c:pt idx="91">
                  <c:v>188.2</c:v>
                </c:pt>
                <c:pt idx="92">
                  <c:v>190.7</c:v>
                </c:pt>
                <c:pt idx="93">
                  <c:v>192.7</c:v>
                </c:pt>
                <c:pt idx="94">
                  <c:v>181.9</c:v>
                </c:pt>
                <c:pt idx="95">
                  <c:v>176.9</c:v>
                </c:pt>
                <c:pt idx="96">
                  <c:v>170.1</c:v>
                </c:pt>
                <c:pt idx="97">
                  <c:v>174.9</c:v>
                </c:pt>
                <c:pt idx="98">
                  <c:v>176.6</c:v>
                </c:pt>
                <c:pt idx="99">
                  <c:v>159.1</c:v>
                </c:pt>
                <c:pt idx="100">
                  <c:v>150</c:v>
                </c:pt>
                <c:pt idx="101">
                  <c:v>150</c:v>
                </c:pt>
                <c:pt idx="102">
                  <c:v>151.7</c:v>
                </c:pt>
                <c:pt idx="103">
                  <c:v>164.1</c:v>
                </c:pt>
                <c:pt idx="104">
                  <c:v>176.3</c:v>
                </c:pt>
                <c:pt idx="105">
                  <c:v>179.9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감독기준(80%)</c:v>
                </c:pt>
              </c:strCache>
            </c:strRef>
          </c:tx>
          <c:spPr>
            <a:ln w="19050">
              <a:solidFill>
                <a:srgbClr val="C00000"/>
              </a:solidFill>
            </a:ln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pPr>
                      <a:defRPr sz="800">
                        <a:solidFill>
                          <a:srgbClr val="C00000"/>
                        </a:solidFill>
                      </a:defRPr>
                    </a:pPr>
                    <a:r>
                      <a:rPr lang="ko-KR" sz="800">
                        <a:solidFill>
                          <a:srgbClr val="C00000"/>
                        </a:solidFill>
                      </a:rPr>
                      <a:t>감독 기준 80%</a:t>
                    </a:r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</c:dLbl>
            <c:delete val="1"/>
          </c:dLbls>
          <c:cat>
            <c:strRef>
              <c:f>Sheet1!$A$2:$A$107</c:f>
              <c:strCache>
                <c:ptCount val="106"/>
                <c:pt idx="0">
                  <c:v>01.02</c:v>
                </c:pt>
                <c:pt idx="1">
                  <c:v>01.05</c:v>
                </c:pt>
                <c:pt idx="2">
                  <c:v>01.06</c:v>
                </c:pt>
                <c:pt idx="3">
                  <c:v>01.07</c:v>
                </c:pt>
                <c:pt idx="4">
                  <c:v>01.08</c:v>
                </c:pt>
                <c:pt idx="5">
                  <c:v>01.09</c:v>
                </c:pt>
                <c:pt idx="6">
                  <c:v>01.12</c:v>
                </c:pt>
                <c:pt idx="7">
                  <c:v>01.13</c:v>
                </c:pt>
                <c:pt idx="8">
                  <c:v>01.14</c:v>
                </c:pt>
                <c:pt idx="9">
                  <c:v>01.15</c:v>
                </c:pt>
                <c:pt idx="10">
                  <c:v>01.16</c:v>
                </c:pt>
                <c:pt idx="11">
                  <c:v>01.19</c:v>
                </c:pt>
                <c:pt idx="12">
                  <c:v>01.20</c:v>
                </c:pt>
                <c:pt idx="13">
                  <c:v>01.21</c:v>
                </c:pt>
                <c:pt idx="14">
                  <c:v>01.22</c:v>
                </c:pt>
                <c:pt idx="15">
                  <c:v>01.23</c:v>
                </c:pt>
                <c:pt idx="16">
                  <c:v>01.26</c:v>
                </c:pt>
                <c:pt idx="17">
                  <c:v>01.27</c:v>
                </c:pt>
                <c:pt idx="18">
                  <c:v>01.28</c:v>
                </c:pt>
                <c:pt idx="19">
                  <c:v>01.29</c:v>
                </c:pt>
                <c:pt idx="20">
                  <c:v>01.30</c:v>
                </c:pt>
                <c:pt idx="21">
                  <c:v>02.02</c:v>
                </c:pt>
                <c:pt idx="22">
                  <c:v>02.03</c:v>
                </c:pt>
                <c:pt idx="23">
                  <c:v>02.04</c:v>
                </c:pt>
                <c:pt idx="24">
                  <c:v>02.05</c:v>
                </c:pt>
                <c:pt idx="25">
                  <c:v>02.06</c:v>
                </c:pt>
                <c:pt idx="26">
                  <c:v>02.09</c:v>
                </c:pt>
                <c:pt idx="27">
                  <c:v>02.10</c:v>
                </c:pt>
                <c:pt idx="28">
                  <c:v>02.11</c:v>
                </c:pt>
                <c:pt idx="29">
                  <c:v>02.12</c:v>
                </c:pt>
                <c:pt idx="30">
                  <c:v>02.13</c:v>
                </c:pt>
                <c:pt idx="31">
                  <c:v>02.16</c:v>
                </c:pt>
                <c:pt idx="32">
                  <c:v>02.17</c:v>
                </c:pt>
                <c:pt idx="33">
                  <c:v>02.18</c:v>
                </c:pt>
                <c:pt idx="34">
                  <c:v>02.19</c:v>
                </c:pt>
                <c:pt idx="35">
                  <c:v>02.20</c:v>
                </c:pt>
                <c:pt idx="36">
                  <c:v>02.23</c:v>
                </c:pt>
                <c:pt idx="37">
                  <c:v>02.24</c:v>
                </c:pt>
                <c:pt idx="38">
                  <c:v>02.25</c:v>
                </c:pt>
                <c:pt idx="39">
                  <c:v>02.26</c:v>
                </c:pt>
                <c:pt idx="40">
                  <c:v>02.27</c:v>
                </c:pt>
                <c:pt idx="41">
                  <c:v>03.02</c:v>
                </c:pt>
                <c:pt idx="42">
                  <c:v>03.03</c:v>
                </c:pt>
                <c:pt idx="43">
                  <c:v>03.04</c:v>
                </c:pt>
                <c:pt idx="44">
                  <c:v>03.05</c:v>
                </c:pt>
                <c:pt idx="45">
                  <c:v>03.06</c:v>
                </c:pt>
                <c:pt idx="46">
                  <c:v>03.09</c:v>
                </c:pt>
                <c:pt idx="47">
                  <c:v>03.10</c:v>
                </c:pt>
                <c:pt idx="48">
                  <c:v>03.11</c:v>
                </c:pt>
                <c:pt idx="49">
                  <c:v>03.12</c:v>
                </c:pt>
                <c:pt idx="50">
                  <c:v>03.13</c:v>
                </c:pt>
                <c:pt idx="51">
                  <c:v>03.16</c:v>
                </c:pt>
                <c:pt idx="52">
                  <c:v>03.17</c:v>
                </c:pt>
                <c:pt idx="53">
                  <c:v>03.18</c:v>
                </c:pt>
                <c:pt idx="54">
                  <c:v>03.19</c:v>
                </c:pt>
                <c:pt idx="55">
                  <c:v>03.20</c:v>
                </c:pt>
                <c:pt idx="56">
                  <c:v>03.23</c:v>
                </c:pt>
                <c:pt idx="57">
                  <c:v>03.24</c:v>
                </c:pt>
                <c:pt idx="58">
                  <c:v>03.25</c:v>
                </c:pt>
                <c:pt idx="59">
                  <c:v>03.26</c:v>
                </c:pt>
                <c:pt idx="60">
                  <c:v>03.27</c:v>
                </c:pt>
                <c:pt idx="61">
                  <c:v>03.30</c:v>
                </c:pt>
                <c:pt idx="62">
                  <c:v>03.31</c:v>
                </c:pt>
                <c:pt idx="63">
                  <c:v>04.01</c:v>
                </c:pt>
                <c:pt idx="64">
                  <c:v>04.02</c:v>
                </c:pt>
                <c:pt idx="65">
                  <c:v>04.03</c:v>
                </c:pt>
                <c:pt idx="66">
                  <c:v>04.06</c:v>
                </c:pt>
                <c:pt idx="67">
                  <c:v>04.07</c:v>
                </c:pt>
                <c:pt idx="68">
                  <c:v>04.08</c:v>
                </c:pt>
                <c:pt idx="69">
                  <c:v>04.09</c:v>
                </c:pt>
                <c:pt idx="70">
                  <c:v>04.10</c:v>
                </c:pt>
                <c:pt idx="71">
                  <c:v>04.13</c:v>
                </c:pt>
                <c:pt idx="72">
                  <c:v>04.14</c:v>
                </c:pt>
                <c:pt idx="73">
                  <c:v>04.15</c:v>
                </c:pt>
                <c:pt idx="74">
                  <c:v>04.16</c:v>
                </c:pt>
                <c:pt idx="75">
                  <c:v>04.17</c:v>
                </c:pt>
                <c:pt idx="76">
                  <c:v>04.20</c:v>
                </c:pt>
                <c:pt idx="77">
                  <c:v>04.21</c:v>
                </c:pt>
                <c:pt idx="78">
                  <c:v>04.22</c:v>
                </c:pt>
                <c:pt idx="79">
                  <c:v>04.23</c:v>
                </c:pt>
                <c:pt idx="80">
                  <c:v>04.24</c:v>
                </c:pt>
                <c:pt idx="81">
                  <c:v>04.27</c:v>
                </c:pt>
                <c:pt idx="82">
                  <c:v>04.28</c:v>
                </c:pt>
                <c:pt idx="83">
                  <c:v>04.29</c:v>
                </c:pt>
                <c:pt idx="84">
                  <c:v>04.30</c:v>
                </c:pt>
                <c:pt idx="85">
                  <c:v>05.01</c:v>
                </c:pt>
                <c:pt idx="86">
                  <c:v>05.04</c:v>
                </c:pt>
                <c:pt idx="87">
                  <c:v>05.05</c:v>
                </c:pt>
                <c:pt idx="88">
                  <c:v>05.06</c:v>
                </c:pt>
                <c:pt idx="89">
                  <c:v>05.07</c:v>
                </c:pt>
                <c:pt idx="90">
                  <c:v>05.08</c:v>
                </c:pt>
                <c:pt idx="91">
                  <c:v>05.11</c:v>
                </c:pt>
                <c:pt idx="92">
                  <c:v>05.12</c:v>
                </c:pt>
                <c:pt idx="93">
                  <c:v>05.13</c:v>
                </c:pt>
                <c:pt idx="94">
                  <c:v>05.14</c:v>
                </c:pt>
                <c:pt idx="95">
                  <c:v>05.15</c:v>
                </c:pt>
                <c:pt idx="96">
                  <c:v>05.18</c:v>
                </c:pt>
                <c:pt idx="97">
                  <c:v>05.19</c:v>
                </c:pt>
                <c:pt idx="98">
                  <c:v>05.20</c:v>
                </c:pt>
                <c:pt idx="99">
                  <c:v>05.21</c:v>
                </c:pt>
                <c:pt idx="100">
                  <c:v>05.22</c:v>
                </c:pt>
                <c:pt idx="101">
                  <c:v>05.25</c:v>
                </c:pt>
                <c:pt idx="102">
                  <c:v>05.26</c:v>
                </c:pt>
                <c:pt idx="103">
                  <c:v>05.27</c:v>
                </c:pt>
                <c:pt idx="104">
                  <c:v>05.28</c:v>
                </c:pt>
                <c:pt idx="105">
                  <c:v>05.29</c:v>
                </c:pt>
              </c:strCache>
            </c:strRef>
          </c:cat>
          <c:val>
            <c:numRef>
              <c:f>Sheet1!$C$2:$C$107</c:f>
              <c:numCache>
                <c:formatCode>General</c:formatCode>
                <c:ptCount val="106"/>
                <c:pt idx="0">
                  <c:v>80.0</c:v>
                </c:pt>
                <c:pt idx="1">
                  <c:v>80.0</c:v>
                </c:pt>
                <c:pt idx="2">
                  <c:v>80.0</c:v>
                </c:pt>
                <c:pt idx="3">
                  <c:v>80.0</c:v>
                </c:pt>
                <c:pt idx="4">
                  <c:v>80.0</c:v>
                </c:pt>
                <c:pt idx="5">
                  <c:v>80.0</c:v>
                </c:pt>
                <c:pt idx="6">
                  <c:v>80.0</c:v>
                </c:pt>
                <c:pt idx="7">
                  <c:v>80.0</c:v>
                </c:pt>
                <c:pt idx="8">
                  <c:v>80.0</c:v>
                </c:pt>
                <c:pt idx="9">
                  <c:v>80.0</c:v>
                </c:pt>
                <c:pt idx="10">
                  <c:v>80.0</c:v>
                </c:pt>
                <c:pt idx="11">
                  <c:v>80.0</c:v>
                </c:pt>
                <c:pt idx="12">
                  <c:v>80.0</c:v>
                </c:pt>
                <c:pt idx="13">
                  <c:v>80.0</c:v>
                </c:pt>
                <c:pt idx="14">
                  <c:v>80.0</c:v>
                </c:pt>
                <c:pt idx="15">
                  <c:v>80.0</c:v>
                </c:pt>
                <c:pt idx="16">
                  <c:v>80.0</c:v>
                </c:pt>
                <c:pt idx="17">
                  <c:v>80.0</c:v>
                </c:pt>
                <c:pt idx="18">
                  <c:v>80.0</c:v>
                </c:pt>
                <c:pt idx="19">
                  <c:v>80.0</c:v>
                </c:pt>
                <c:pt idx="20">
                  <c:v>80.0</c:v>
                </c:pt>
                <c:pt idx="21">
                  <c:v>80.0</c:v>
                </c:pt>
                <c:pt idx="22">
                  <c:v>80.0</c:v>
                </c:pt>
                <c:pt idx="23">
                  <c:v>80.0</c:v>
                </c:pt>
                <c:pt idx="24">
                  <c:v>80.0</c:v>
                </c:pt>
                <c:pt idx="25">
                  <c:v>80.0</c:v>
                </c:pt>
                <c:pt idx="26">
                  <c:v>80.0</c:v>
                </c:pt>
                <c:pt idx="27">
                  <c:v>80.0</c:v>
                </c:pt>
                <c:pt idx="28">
                  <c:v>80.0</c:v>
                </c:pt>
                <c:pt idx="29">
                  <c:v>80.0</c:v>
                </c:pt>
                <c:pt idx="30">
                  <c:v>80.0</c:v>
                </c:pt>
                <c:pt idx="31">
                  <c:v>80.0</c:v>
                </c:pt>
                <c:pt idx="32">
                  <c:v>80.0</c:v>
                </c:pt>
                <c:pt idx="33">
                  <c:v>80.0</c:v>
                </c:pt>
                <c:pt idx="34">
                  <c:v>80.0</c:v>
                </c:pt>
                <c:pt idx="35">
                  <c:v>80.0</c:v>
                </c:pt>
                <c:pt idx="36">
                  <c:v>80.0</c:v>
                </c:pt>
                <c:pt idx="37">
                  <c:v>80.0</c:v>
                </c:pt>
                <c:pt idx="38">
                  <c:v>80.0</c:v>
                </c:pt>
                <c:pt idx="39">
                  <c:v>80.0</c:v>
                </c:pt>
                <c:pt idx="40">
                  <c:v>80.0</c:v>
                </c:pt>
                <c:pt idx="41">
                  <c:v>80.0</c:v>
                </c:pt>
                <c:pt idx="42">
                  <c:v>80.0</c:v>
                </c:pt>
                <c:pt idx="43">
                  <c:v>80.0</c:v>
                </c:pt>
                <c:pt idx="44">
                  <c:v>80.0</c:v>
                </c:pt>
                <c:pt idx="45">
                  <c:v>80.0</c:v>
                </c:pt>
                <c:pt idx="46">
                  <c:v>80.0</c:v>
                </c:pt>
                <c:pt idx="47">
                  <c:v>80.0</c:v>
                </c:pt>
                <c:pt idx="48">
                  <c:v>80.0</c:v>
                </c:pt>
                <c:pt idx="49">
                  <c:v>80.0</c:v>
                </c:pt>
                <c:pt idx="50">
                  <c:v>80.0</c:v>
                </c:pt>
                <c:pt idx="51">
                  <c:v>80.0</c:v>
                </c:pt>
                <c:pt idx="52">
                  <c:v>80.0</c:v>
                </c:pt>
                <c:pt idx="53">
                  <c:v>80.0</c:v>
                </c:pt>
                <c:pt idx="54">
                  <c:v>80.0</c:v>
                </c:pt>
                <c:pt idx="55">
                  <c:v>80.0</c:v>
                </c:pt>
                <c:pt idx="56">
                  <c:v>80.0</c:v>
                </c:pt>
                <c:pt idx="57">
                  <c:v>80.0</c:v>
                </c:pt>
                <c:pt idx="58">
                  <c:v>80.0</c:v>
                </c:pt>
                <c:pt idx="59">
                  <c:v>80.0</c:v>
                </c:pt>
                <c:pt idx="60">
                  <c:v>80.0</c:v>
                </c:pt>
                <c:pt idx="61">
                  <c:v>80.0</c:v>
                </c:pt>
                <c:pt idx="62">
                  <c:v>80.0</c:v>
                </c:pt>
                <c:pt idx="63">
                  <c:v>80.0</c:v>
                </c:pt>
                <c:pt idx="64">
                  <c:v>80.0</c:v>
                </c:pt>
                <c:pt idx="65">
                  <c:v>80.0</c:v>
                </c:pt>
                <c:pt idx="66">
                  <c:v>80.0</c:v>
                </c:pt>
                <c:pt idx="67">
                  <c:v>80.0</c:v>
                </c:pt>
                <c:pt idx="68">
                  <c:v>80.0</c:v>
                </c:pt>
                <c:pt idx="69">
                  <c:v>80.0</c:v>
                </c:pt>
                <c:pt idx="70">
                  <c:v>80.0</c:v>
                </c:pt>
                <c:pt idx="71">
                  <c:v>80.0</c:v>
                </c:pt>
                <c:pt idx="72">
                  <c:v>80.0</c:v>
                </c:pt>
                <c:pt idx="73">
                  <c:v>80.0</c:v>
                </c:pt>
                <c:pt idx="74">
                  <c:v>80.0</c:v>
                </c:pt>
                <c:pt idx="75">
                  <c:v>80.0</c:v>
                </c:pt>
                <c:pt idx="76">
                  <c:v>80.0</c:v>
                </c:pt>
                <c:pt idx="77">
                  <c:v>80.0</c:v>
                </c:pt>
                <c:pt idx="78">
                  <c:v>80.0</c:v>
                </c:pt>
                <c:pt idx="79">
                  <c:v>80.0</c:v>
                </c:pt>
                <c:pt idx="80">
                  <c:v>80.0</c:v>
                </c:pt>
                <c:pt idx="81">
                  <c:v>80.0</c:v>
                </c:pt>
                <c:pt idx="82">
                  <c:v>80.0</c:v>
                </c:pt>
                <c:pt idx="83">
                  <c:v>80.0</c:v>
                </c:pt>
                <c:pt idx="84">
                  <c:v>80.0</c:v>
                </c:pt>
                <c:pt idx="85">
                  <c:v>80.0</c:v>
                </c:pt>
                <c:pt idx="86">
                  <c:v>80.0</c:v>
                </c:pt>
                <c:pt idx="87">
                  <c:v>80.0</c:v>
                </c:pt>
                <c:pt idx="88">
                  <c:v>80.0</c:v>
                </c:pt>
                <c:pt idx="89">
                  <c:v>80.0</c:v>
                </c:pt>
                <c:pt idx="90">
                  <c:v>80.0</c:v>
                </c:pt>
                <c:pt idx="91">
                  <c:v>80.0</c:v>
                </c:pt>
                <c:pt idx="92">
                  <c:v>80.0</c:v>
                </c:pt>
                <c:pt idx="93">
                  <c:v>80.0</c:v>
                </c:pt>
                <c:pt idx="94">
                  <c:v>80.0</c:v>
                </c:pt>
                <c:pt idx="95">
                  <c:v>80.0</c:v>
                </c:pt>
                <c:pt idx="96">
                  <c:v>80.0</c:v>
                </c:pt>
                <c:pt idx="97">
                  <c:v>80.0</c:v>
                </c:pt>
                <c:pt idx="98">
                  <c:v>80.0</c:v>
                </c:pt>
                <c:pt idx="99">
                  <c:v>80.0</c:v>
                </c:pt>
                <c:pt idx="100">
                  <c:v>80.0</c:v>
                </c:pt>
                <c:pt idx="101">
                  <c:v>80.0</c:v>
                </c:pt>
                <c:pt idx="102">
                  <c:v>80.0</c:v>
                </c:pt>
                <c:pt idx="103">
                  <c:v>80.0</c:v>
                </c:pt>
                <c:pt idx="104">
                  <c:v>80.0</c:v>
                </c:pt>
                <c:pt idx="105">
                  <c:v>80.0</c:v>
                </c:pt>
              </c:numCache>
            </c:numRef>
          </c:val>
          <c:smooth val="0"/>
        </c:ser>
        <c:marker val="1"/>
        <c:axId val="2010"/>
        <c:axId val="2020"/>
      </c:lineChart>
      <c:catAx>
        <c:axId val="2010"/>
        <c:scaling>
          <c:orientation val="minMax"/>
        </c:scaling>
        <c:delete val="0"/>
        <c:axPos val="b"/>
        <c:txPr>
          <a:bodyPr/>
          <a:lstStyle/>
          <a:p>
            <a:pPr>
              <a:defRPr sz="800"/>
            </a:pPr>
            <a:endParaRPr lang="ko-KR"/>
          </a:p>
        </c:txPr>
        <c:crossAx val="2020"/>
        <c:tickLblSkip val="10"/>
        <c:tickMarkSkip val="10"/>
      </c:catAx>
      <c:valAx>
        <c:axId val="2020"/>
        <c:scaling>
          <c:orientation val="minMax"/>
          <c:max val="240"/>
          <c:min val="40"/>
        </c:scaling>
        <c:delete val="0"/>
        <c:axPos val="l"/>
        <c:majorGridlines>
          <c:spPr>
            <a:ln w="3175">
              <a:solidFill>
                <a:srgbClr val="E6E6E6"/>
              </a:solidFill>
            </a:ln>
          </c:spPr>
        </c:majorGridlines>
        <c:numFmt formatCode="0&quot;%&quot;" sourceLinked="0"/>
        <c:majorTickMark val="none"/>
        <c:txPr>
          <a:bodyPr/>
          <a:lstStyle/>
          <a:p>
            <a:pPr>
              <a:defRPr sz="800"/>
            </a:pPr>
            <a:endParaRPr lang="ko-KR"/>
          </a:p>
        </c:txPr>
        <c:crossAx val="2010"/>
        <c:majorUnit val="40"/>
      </c:valAx>
    </c:plotArea>
    <c:plotVisOnly val="1"/>
    <c:dispBlanksAs val="gap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중장기외화자금 조달비율(%)</c:v>
                </c:pt>
              </c:strCache>
            </c:strRef>
          </c:tx>
          <c:spPr>
            <a:ln w="19050">
              <a:solidFill>
                <a:srgbClr val="262626"/>
              </a:solidFill>
            </a:ln>
          </c:spPr>
          <c:marker>
            <c:symbol val="none"/>
          </c:marker>
          <c:cat>
            <c:strRef>
              <c:f>Sheet1!$A$2:$A$107</c:f>
              <c:strCache>
                <c:ptCount val="106"/>
                <c:pt idx="0">
                  <c:v>01.02</c:v>
                </c:pt>
                <c:pt idx="1">
                  <c:v>01.05</c:v>
                </c:pt>
                <c:pt idx="2">
                  <c:v>01.06</c:v>
                </c:pt>
                <c:pt idx="3">
                  <c:v>01.07</c:v>
                </c:pt>
                <c:pt idx="4">
                  <c:v>01.08</c:v>
                </c:pt>
                <c:pt idx="5">
                  <c:v>01.09</c:v>
                </c:pt>
                <c:pt idx="6">
                  <c:v>01.12</c:v>
                </c:pt>
                <c:pt idx="7">
                  <c:v>01.13</c:v>
                </c:pt>
                <c:pt idx="8">
                  <c:v>01.14</c:v>
                </c:pt>
                <c:pt idx="9">
                  <c:v>01.15</c:v>
                </c:pt>
                <c:pt idx="10">
                  <c:v>01.16</c:v>
                </c:pt>
                <c:pt idx="11">
                  <c:v>01.19</c:v>
                </c:pt>
                <c:pt idx="12">
                  <c:v>01.20</c:v>
                </c:pt>
                <c:pt idx="13">
                  <c:v>01.21</c:v>
                </c:pt>
                <c:pt idx="14">
                  <c:v>01.22</c:v>
                </c:pt>
                <c:pt idx="15">
                  <c:v>01.23</c:v>
                </c:pt>
                <c:pt idx="16">
                  <c:v>01.26</c:v>
                </c:pt>
                <c:pt idx="17">
                  <c:v>01.27</c:v>
                </c:pt>
                <c:pt idx="18">
                  <c:v>01.28</c:v>
                </c:pt>
                <c:pt idx="19">
                  <c:v>01.29</c:v>
                </c:pt>
                <c:pt idx="20">
                  <c:v>01.30</c:v>
                </c:pt>
                <c:pt idx="21">
                  <c:v>02.02</c:v>
                </c:pt>
                <c:pt idx="22">
                  <c:v>02.03</c:v>
                </c:pt>
                <c:pt idx="23">
                  <c:v>02.04</c:v>
                </c:pt>
                <c:pt idx="24">
                  <c:v>02.05</c:v>
                </c:pt>
                <c:pt idx="25">
                  <c:v>02.06</c:v>
                </c:pt>
                <c:pt idx="26">
                  <c:v>02.09</c:v>
                </c:pt>
                <c:pt idx="27">
                  <c:v>02.10</c:v>
                </c:pt>
                <c:pt idx="28">
                  <c:v>02.11</c:v>
                </c:pt>
                <c:pt idx="29">
                  <c:v>02.12</c:v>
                </c:pt>
                <c:pt idx="30">
                  <c:v>02.13</c:v>
                </c:pt>
                <c:pt idx="31">
                  <c:v>02.16</c:v>
                </c:pt>
                <c:pt idx="32">
                  <c:v>02.17</c:v>
                </c:pt>
                <c:pt idx="33">
                  <c:v>02.18</c:v>
                </c:pt>
                <c:pt idx="34">
                  <c:v>02.19</c:v>
                </c:pt>
                <c:pt idx="35">
                  <c:v>02.20</c:v>
                </c:pt>
                <c:pt idx="36">
                  <c:v>02.23</c:v>
                </c:pt>
                <c:pt idx="37">
                  <c:v>02.24</c:v>
                </c:pt>
                <c:pt idx="38">
                  <c:v>02.25</c:v>
                </c:pt>
                <c:pt idx="39">
                  <c:v>02.26</c:v>
                </c:pt>
                <c:pt idx="40">
                  <c:v>02.27</c:v>
                </c:pt>
                <c:pt idx="41">
                  <c:v>03.02</c:v>
                </c:pt>
                <c:pt idx="42">
                  <c:v>03.03</c:v>
                </c:pt>
                <c:pt idx="43">
                  <c:v>03.04</c:v>
                </c:pt>
                <c:pt idx="44">
                  <c:v>03.05</c:v>
                </c:pt>
                <c:pt idx="45">
                  <c:v>03.06</c:v>
                </c:pt>
                <c:pt idx="46">
                  <c:v>03.09</c:v>
                </c:pt>
                <c:pt idx="47">
                  <c:v>03.10</c:v>
                </c:pt>
                <c:pt idx="48">
                  <c:v>03.11</c:v>
                </c:pt>
                <c:pt idx="49">
                  <c:v>03.12</c:v>
                </c:pt>
                <c:pt idx="50">
                  <c:v>03.13</c:v>
                </c:pt>
                <c:pt idx="51">
                  <c:v>03.16</c:v>
                </c:pt>
                <c:pt idx="52">
                  <c:v>03.17</c:v>
                </c:pt>
                <c:pt idx="53">
                  <c:v>03.18</c:v>
                </c:pt>
                <c:pt idx="54">
                  <c:v>03.19</c:v>
                </c:pt>
                <c:pt idx="55">
                  <c:v>03.20</c:v>
                </c:pt>
                <c:pt idx="56">
                  <c:v>03.23</c:v>
                </c:pt>
                <c:pt idx="57">
                  <c:v>03.24</c:v>
                </c:pt>
                <c:pt idx="58">
                  <c:v>03.25</c:v>
                </c:pt>
                <c:pt idx="59">
                  <c:v>03.26</c:v>
                </c:pt>
                <c:pt idx="60">
                  <c:v>03.27</c:v>
                </c:pt>
                <c:pt idx="61">
                  <c:v>03.30</c:v>
                </c:pt>
                <c:pt idx="62">
                  <c:v>03.31</c:v>
                </c:pt>
                <c:pt idx="63">
                  <c:v>04.01</c:v>
                </c:pt>
                <c:pt idx="64">
                  <c:v>04.02</c:v>
                </c:pt>
                <c:pt idx="65">
                  <c:v>04.03</c:v>
                </c:pt>
                <c:pt idx="66">
                  <c:v>04.06</c:v>
                </c:pt>
                <c:pt idx="67">
                  <c:v>04.07</c:v>
                </c:pt>
                <c:pt idx="68">
                  <c:v>04.08</c:v>
                </c:pt>
                <c:pt idx="69">
                  <c:v>04.09</c:v>
                </c:pt>
                <c:pt idx="70">
                  <c:v>04.10</c:v>
                </c:pt>
                <c:pt idx="71">
                  <c:v>04.13</c:v>
                </c:pt>
                <c:pt idx="72">
                  <c:v>04.14</c:v>
                </c:pt>
                <c:pt idx="73">
                  <c:v>04.15</c:v>
                </c:pt>
                <c:pt idx="74">
                  <c:v>04.16</c:v>
                </c:pt>
                <c:pt idx="75">
                  <c:v>04.17</c:v>
                </c:pt>
                <c:pt idx="76">
                  <c:v>04.20</c:v>
                </c:pt>
                <c:pt idx="77">
                  <c:v>04.21</c:v>
                </c:pt>
                <c:pt idx="78">
                  <c:v>04.22</c:v>
                </c:pt>
                <c:pt idx="79">
                  <c:v>04.23</c:v>
                </c:pt>
                <c:pt idx="80">
                  <c:v>04.24</c:v>
                </c:pt>
                <c:pt idx="81">
                  <c:v>04.27</c:v>
                </c:pt>
                <c:pt idx="82">
                  <c:v>04.28</c:v>
                </c:pt>
                <c:pt idx="83">
                  <c:v>04.29</c:v>
                </c:pt>
                <c:pt idx="84">
                  <c:v>04.30</c:v>
                </c:pt>
                <c:pt idx="85">
                  <c:v>05.01</c:v>
                </c:pt>
                <c:pt idx="86">
                  <c:v>05.04</c:v>
                </c:pt>
                <c:pt idx="87">
                  <c:v>05.05</c:v>
                </c:pt>
                <c:pt idx="88">
                  <c:v>05.06</c:v>
                </c:pt>
                <c:pt idx="89">
                  <c:v>05.07</c:v>
                </c:pt>
                <c:pt idx="90">
                  <c:v>05.08</c:v>
                </c:pt>
                <c:pt idx="91">
                  <c:v>05.11</c:v>
                </c:pt>
                <c:pt idx="92">
                  <c:v>05.12</c:v>
                </c:pt>
                <c:pt idx="93">
                  <c:v>05.13</c:v>
                </c:pt>
                <c:pt idx="94">
                  <c:v>05.14</c:v>
                </c:pt>
                <c:pt idx="95">
                  <c:v>05.15</c:v>
                </c:pt>
                <c:pt idx="96">
                  <c:v>05.18</c:v>
                </c:pt>
                <c:pt idx="97">
                  <c:v>05.19</c:v>
                </c:pt>
                <c:pt idx="98">
                  <c:v>05.20</c:v>
                </c:pt>
                <c:pt idx="99">
                  <c:v>05.21</c:v>
                </c:pt>
                <c:pt idx="100">
                  <c:v>05.22</c:v>
                </c:pt>
                <c:pt idx="101">
                  <c:v>05.25</c:v>
                </c:pt>
                <c:pt idx="102">
                  <c:v>05.26</c:v>
                </c:pt>
                <c:pt idx="103">
                  <c:v>05.27</c:v>
                </c:pt>
                <c:pt idx="104">
                  <c:v>05.28</c:v>
                </c:pt>
                <c:pt idx="105">
                  <c:v>05.29</c:v>
                </c:pt>
              </c:strCache>
            </c:strRef>
          </c:cat>
          <c:val>
            <c:numRef>
              <c:f>Sheet1!$B$2:$B$107</c:f>
              <c:numCache>
                <c:formatCode>General</c:formatCode>
                <c:ptCount val="106"/>
                <c:pt idx="0">
                  <c:v>177.0</c:v>
                </c:pt>
                <c:pt idx="1">
                  <c:v>178.5</c:v>
                </c:pt>
                <c:pt idx="2">
                  <c:v>178.9</c:v>
                </c:pt>
                <c:pt idx="3">
                  <c:v>180.7</c:v>
                </c:pt>
                <c:pt idx="4">
                  <c:v>184.8</c:v>
                </c:pt>
                <c:pt idx="5">
                  <c:v>184.7</c:v>
                </c:pt>
                <c:pt idx="6">
                  <c:v>183.4</c:v>
                </c:pt>
                <c:pt idx="7">
                  <c:v>183.6</c:v>
                </c:pt>
                <c:pt idx="8">
                  <c:v>184.2</c:v>
                </c:pt>
                <c:pt idx="9">
                  <c:v>179.6</c:v>
                </c:pt>
                <c:pt idx="10">
                  <c:v>184.1</c:v>
                </c:pt>
                <c:pt idx="11">
                  <c:v>185.5</c:v>
                </c:pt>
                <c:pt idx="12">
                  <c:v>187.0</c:v>
                </c:pt>
                <c:pt idx="13">
                  <c:v>187.2</c:v>
                </c:pt>
                <c:pt idx="14">
                  <c:v>184.1</c:v>
                </c:pt>
                <c:pt idx="15">
                  <c:v>182.6</c:v>
                </c:pt>
                <c:pt idx="16">
                  <c:v>179.6</c:v>
                </c:pt>
                <c:pt idx="17">
                  <c:v>182.4</c:v>
                </c:pt>
                <c:pt idx="18">
                  <c:v>179.3</c:v>
                </c:pt>
                <c:pt idx="19">
                  <c:v>177.8</c:v>
                </c:pt>
                <c:pt idx="20">
                  <c:v>178.3</c:v>
                </c:pt>
                <c:pt idx="21">
                  <c:v>178.2</c:v>
                </c:pt>
                <c:pt idx="22">
                  <c:v>179.6</c:v>
                </c:pt>
                <c:pt idx="23">
                  <c:v>178.1</c:v>
                </c:pt>
                <c:pt idx="24">
                  <c:v>177.0</c:v>
                </c:pt>
                <c:pt idx="25">
                  <c:v>177.7</c:v>
                </c:pt>
                <c:pt idx="26">
                  <c:v>177.7</c:v>
                </c:pt>
                <c:pt idx="27">
                  <c:v>179.3</c:v>
                </c:pt>
                <c:pt idx="28">
                  <c:v>177.1</c:v>
                </c:pt>
                <c:pt idx="29">
                  <c:v>182.5</c:v>
                </c:pt>
                <c:pt idx="30">
                  <c:v>182.8</c:v>
                </c:pt>
                <c:pt idx="31">
                  <c:v>178.9</c:v>
                </c:pt>
                <c:pt idx="32">
                  <c:v>177.6</c:v>
                </c:pt>
                <c:pt idx="33">
                  <c:v>177.3</c:v>
                </c:pt>
                <c:pt idx="34">
                  <c:v>177.1</c:v>
                </c:pt>
                <c:pt idx="35">
                  <c:v>174.7</c:v>
                </c:pt>
                <c:pt idx="36">
                  <c:v>179.1</c:v>
                </c:pt>
                <c:pt idx="37">
                  <c:v>182.1</c:v>
                </c:pt>
                <c:pt idx="38">
                  <c:v>179.2</c:v>
                </c:pt>
                <c:pt idx="39">
                  <c:v>177.5</c:v>
                </c:pt>
                <c:pt idx="40">
                  <c:v>173.2</c:v>
                </c:pt>
                <c:pt idx="41">
                  <c:v>170.9</c:v>
                </c:pt>
                <c:pt idx="42">
                  <c:v>171.4</c:v>
                </c:pt>
                <c:pt idx="43">
                  <c:v>170.8</c:v>
                </c:pt>
                <c:pt idx="44">
                  <c:v>174.7</c:v>
                </c:pt>
                <c:pt idx="45">
                  <c:v>171.0</c:v>
                </c:pt>
                <c:pt idx="46">
                  <c:v>167.7</c:v>
                </c:pt>
                <c:pt idx="47">
                  <c:v>173.3</c:v>
                </c:pt>
                <c:pt idx="48">
                  <c:v>172.1</c:v>
                </c:pt>
                <c:pt idx="49">
                  <c:v>168.1</c:v>
                </c:pt>
                <c:pt idx="50">
                  <c:v>168.8</c:v>
                </c:pt>
                <c:pt idx="51">
                  <c:v>164.6</c:v>
                </c:pt>
                <c:pt idx="52">
                  <c:v>166.0</c:v>
                </c:pt>
                <c:pt idx="53">
                  <c:v>170.0</c:v>
                </c:pt>
                <c:pt idx="54">
                  <c:v>170.6</c:v>
                </c:pt>
                <c:pt idx="55">
                  <c:v>169.1</c:v>
                </c:pt>
                <c:pt idx="56">
                  <c:v>164.5</c:v>
                </c:pt>
                <c:pt idx="57">
                  <c:v>162.6</c:v>
                </c:pt>
                <c:pt idx="58">
                  <c:v>160.1</c:v>
                </c:pt>
                <c:pt idx="59">
                  <c:v>165.1</c:v>
                </c:pt>
                <c:pt idx="60">
                  <c:v>166.3</c:v>
                </c:pt>
                <c:pt idx="61">
                  <c:v>169.4</c:v>
                </c:pt>
                <c:pt idx="62">
                  <c:v>168.0</c:v>
                </c:pt>
                <c:pt idx="63">
                  <c:v>167.1</c:v>
                </c:pt>
                <c:pt idx="64">
                  <c:v>171.9</c:v>
                </c:pt>
                <c:pt idx="65">
                  <c:v>176.3</c:v>
                </c:pt>
                <c:pt idx="66">
                  <c:v>178.1</c:v>
                </c:pt>
                <c:pt idx="67">
                  <c:v>179.2</c:v>
                </c:pt>
                <c:pt idx="68">
                  <c:v>180.4</c:v>
                </c:pt>
                <c:pt idx="69">
                  <c:v>181.0</c:v>
                </c:pt>
                <c:pt idx="70">
                  <c:v>177.8</c:v>
                </c:pt>
                <c:pt idx="71">
                  <c:v>179.1</c:v>
                </c:pt>
                <c:pt idx="72">
                  <c:v>179.1</c:v>
                </c:pt>
                <c:pt idx="73">
                  <c:v>177.1</c:v>
                </c:pt>
                <c:pt idx="74">
                  <c:v>176.3</c:v>
                </c:pt>
                <c:pt idx="75">
                  <c:v>178.0</c:v>
                </c:pt>
                <c:pt idx="76">
                  <c:v>178.9</c:v>
                </c:pt>
                <c:pt idx="77">
                  <c:v>183.1</c:v>
                </c:pt>
                <c:pt idx="78">
                  <c:v>187.5</c:v>
                </c:pt>
                <c:pt idx="79">
                  <c:v>185.9</c:v>
                </c:pt>
                <c:pt idx="80">
                  <c:v>189.2</c:v>
                </c:pt>
                <c:pt idx="81">
                  <c:v>191.5</c:v>
                </c:pt>
                <c:pt idx="82">
                  <c:v>192</c:v>
                </c:pt>
                <c:pt idx="83">
                  <c:v>188.8</c:v>
                </c:pt>
                <c:pt idx="84">
                  <c:v>185.9</c:v>
                </c:pt>
                <c:pt idx="85">
                  <c:v>184.7</c:v>
                </c:pt>
                <c:pt idx="86">
                  <c:v>184.2</c:v>
                </c:pt>
                <c:pt idx="87">
                  <c:v>183.2</c:v>
                </c:pt>
                <c:pt idx="88">
                  <c:v>185.8</c:v>
                </c:pt>
                <c:pt idx="89">
                  <c:v>189.0</c:v>
                </c:pt>
                <c:pt idx="90">
                  <c:v>189.8</c:v>
                </c:pt>
                <c:pt idx="91">
                  <c:v>187.1</c:v>
                </c:pt>
                <c:pt idx="92">
                  <c:v>186.8</c:v>
                </c:pt>
                <c:pt idx="93">
                  <c:v>187.5</c:v>
                </c:pt>
                <c:pt idx="94">
                  <c:v>181.9</c:v>
                </c:pt>
                <c:pt idx="95">
                  <c:v>183.4</c:v>
                </c:pt>
                <c:pt idx="96">
                  <c:v>185.9</c:v>
                </c:pt>
                <c:pt idx="97">
                  <c:v>185.9</c:v>
                </c:pt>
                <c:pt idx="98">
                  <c:v>185.7</c:v>
                </c:pt>
                <c:pt idx="99">
                  <c:v>183.3</c:v>
                </c:pt>
                <c:pt idx="100">
                  <c:v>179.5</c:v>
                </c:pt>
                <c:pt idx="101">
                  <c:v>182.4</c:v>
                </c:pt>
                <c:pt idx="102">
                  <c:v>180.1</c:v>
                </c:pt>
                <c:pt idx="103">
                  <c:v>182.6</c:v>
                </c:pt>
                <c:pt idx="104">
                  <c:v>185.1</c:v>
                </c:pt>
                <c:pt idx="105">
                  <c:v>181.6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감독기준(100%)</c:v>
                </c:pt>
              </c:strCache>
            </c:strRef>
          </c:tx>
          <c:spPr>
            <a:ln w="19050">
              <a:solidFill>
                <a:srgbClr val="C00000"/>
              </a:solidFill>
            </a:ln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pPr>
                      <a:defRPr sz="800">
                        <a:solidFill>
                          <a:srgbClr val="C00000"/>
                        </a:solidFill>
                      </a:defRPr>
                    </a:pPr>
                    <a:r>
                      <a:rPr lang="ko-KR" sz="800">
                        <a:solidFill>
                          <a:srgbClr val="C00000"/>
                        </a:solidFill>
                      </a:rPr>
                      <a:t>감독 기준 100%</a:t>
                    </a:r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</c:dLbl>
            <c:delete val="1"/>
          </c:dLbls>
          <c:cat>
            <c:strRef>
              <c:f>Sheet1!$A$2:$A$107</c:f>
              <c:strCache>
                <c:ptCount val="106"/>
                <c:pt idx="0">
                  <c:v>01.02</c:v>
                </c:pt>
                <c:pt idx="1">
                  <c:v>01.05</c:v>
                </c:pt>
                <c:pt idx="2">
                  <c:v>01.06</c:v>
                </c:pt>
                <c:pt idx="3">
                  <c:v>01.07</c:v>
                </c:pt>
                <c:pt idx="4">
                  <c:v>01.08</c:v>
                </c:pt>
                <c:pt idx="5">
                  <c:v>01.09</c:v>
                </c:pt>
                <c:pt idx="6">
                  <c:v>01.12</c:v>
                </c:pt>
                <c:pt idx="7">
                  <c:v>01.13</c:v>
                </c:pt>
                <c:pt idx="8">
                  <c:v>01.14</c:v>
                </c:pt>
                <c:pt idx="9">
                  <c:v>01.15</c:v>
                </c:pt>
                <c:pt idx="10">
                  <c:v>01.16</c:v>
                </c:pt>
                <c:pt idx="11">
                  <c:v>01.19</c:v>
                </c:pt>
                <c:pt idx="12">
                  <c:v>01.20</c:v>
                </c:pt>
                <c:pt idx="13">
                  <c:v>01.21</c:v>
                </c:pt>
                <c:pt idx="14">
                  <c:v>01.22</c:v>
                </c:pt>
                <c:pt idx="15">
                  <c:v>01.23</c:v>
                </c:pt>
                <c:pt idx="16">
                  <c:v>01.26</c:v>
                </c:pt>
                <c:pt idx="17">
                  <c:v>01.27</c:v>
                </c:pt>
                <c:pt idx="18">
                  <c:v>01.28</c:v>
                </c:pt>
                <c:pt idx="19">
                  <c:v>01.29</c:v>
                </c:pt>
                <c:pt idx="20">
                  <c:v>01.30</c:v>
                </c:pt>
                <c:pt idx="21">
                  <c:v>02.02</c:v>
                </c:pt>
                <c:pt idx="22">
                  <c:v>02.03</c:v>
                </c:pt>
                <c:pt idx="23">
                  <c:v>02.04</c:v>
                </c:pt>
                <c:pt idx="24">
                  <c:v>02.05</c:v>
                </c:pt>
                <c:pt idx="25">
                  <c:v>02.06</c:v>
                </c:pt>
                <c:pt idx="26">
                  <c:v>02.09</c:v>
                </c:pt>
                <c:pt idx="27">
                  <c:v>02.10</c:v>
                </c:pt>
                <c:pt idx="28">
                  <c:v>02.11</c:v>
                </c:pt>
                <c:pt idx="29">
                  <c:v>02.12</c:v>
                </c:pt>
                <c:pt idx="30">
                  <c:v>02.13</c:v>
                </c:pt>
                <c:pt idx="31">
                  <c:v>02.16</c:v>
                </c:pt>
                <c:pt idx="32">
                  <c:v>02.17</c:v>
                </c:pt>
                <c:pt idx="33">
                  <c:v>02.18</c:v>
                </c:pt>
                <c:pt idx="34">
                  <c:v>02.19</c:v>
                </c:pt>
                <c:pt idx="35">
                  <c:v>02.20</c:v>
                </c:pt>
                <c:pt idx="36">
                  <c:v>02.23</c:v>
                </c:pt>
                <c:pt idx="37">
                  <c:v>02.24</c:v>
                </c:pt>
                <c:pt idx="38">
                  <c:v>02.25</c:v>
                </c:pt>
                <c:pt idx="39">
                  <c:v>02.26</c:v>
                </c:pt>
                <c:pt idx="40">
                  <c:v>02.27</c:v>
                </c:pt>
                <c:pt idx="41">
                  <c:v>03.02</c:v>
                </c:pt>
                <c:pt idx="42">
                  <c:v>03.03</c:v>
                </c:pt>
                <c:pt idx="43">
                  <c:v>03.04</c:v>
                </c:pt>
                <c:pt idx="44">
                  <c:v>03.05</c:v>
                </c:pt>
                <c:pt idx="45">
                  <c:v>03.06</c:v>
                </c:pt>
                <c:pt idx="46">
                  <c:v>03.09</c:v>
                </c:pt>
                <c:pt idx="47">
                  <c:v>03.10</c:v>
                </c:pt>
                <c:pt idx="48">
                  <c:v>03.11</c:v>
                </c:pt>
                <c:pt idx="49">
                  <c:v>03.12</c:v>
                </c:pt>
                <c:pt idx="50">
                  <c:v>03.13</c:v>
                </c:pt>
                <c:pt idx="51">
                  <c:v>03.16</c:v>
                </c:pt>
                <c:pt idx="52">
                  <c:v>03.17</c:v>
                </c:pt>
                <c:pt idx="53">
                  <c:v>03.18</c:v>
                </c:pt>
                <c:pt idx="54">
                  <c:v>03.19</c:v>
                </c:pt>
                <c:pt idx="55">
                  <c:v>03.20</c:v>
                </c:pt>
                <c:pt idx="56">
                  <c:v>03.23</c:v>
                </c:pt>
                <c:pt idx="57">
                  <c:v>03.24</c:v>
                </c:pt>
                <c:pt idx="58">
                  <c:v>03.25</c:v>
                </c:pt>
                <c:pt idx="59">
                  <c:v>03.26</c:v>
                </c:pt>
                <c:pt idx="60">
                  <c:v>03.27</c:v>
                </c:pt>
                <c:pt idx="61">
                  <c:v>03.30</c:v>
                </c:pt>
                <c:pt idx="62">
                  <c:v>03.31</c:v>
                </c:pt>
                <c:pt idx="63">
                  <c:v>04.01</c:v>
                </c:pt>
                <c:pt idx="64">
                  <c:v>04.02</c:v>
                </c:pt>
                <c:pt idx="65">
                  <c:v>04.03</c:v>
                </c:pt>
                <c:pt idx="66">
                  <c:v>04.06</c:v>
                </c:pt>
                <c:pt idx="67">
                  <c:v>04.07</c:v>
                </c:pt>
                <c:pt idx="68">
                  <c:v>04.08</c:v>
                </c:pt>
                <c:pt idx="69">
                  <c:v>04.09</c:v>
                </c:pt>
                <c:pt idx="70">
                  <c:v>04.10</c:v>
                </c:pt>
                <c:pt idx="71">
                  <c:v>04.13</c:v>
                </c:pt>
                <c:pt idx="72">
                  <c:v>04.14</c:v>
                </c:pt>
                <c:pt idx="73">
                  <c:v>04.15</c:v>
                </c:pt>
                <c:pt idx="74">
                  <c:v>04.16</c:v>
                </c:pt>
                <c:pt idx="75">
                  <c:v>04.17</c:v>
                </c:pt>
                <c:pt idx="76">
                  <c:v>04.20</c:v>
                </c:pt>
                <c:pt idx="77">
                  <c:v>04.21</c:v>
                </c:pt>
                <c:pt idx="78">
                  <c:v>04.22</c:v>
                </c:pt>
                <c:pt idx="79">
                  <c:v>04.23</c:v>
                </c:pt>
                <c:pt idx="80">
                  <c:v>04.24</c:v>
                </c:pt>
                <c:pt idx="81">
                  <c:v>04.27</c:v>
                </c:pt>
                <c:pt idx="82">
                  <c:v>04.28</c:v>
                </c:pt>
                <c:pt idx="83">
                  <c:v>04.29</c:v>
                </c:pt>
                <c:pt idx="84">
                  <c:v>04.30</c:v>
                </c:pt>
                <c:pt idx="85">
                  <c:v>05.01</c:v>
                </c:pt>
                <c:pt idx="86">
                  <c:v>05.04</c:v>
                </c:pt>
                <c:pt idx="87">
                  <c:v>05.05</c:v>
                </c:pt>
                <c:pt idx="88">
                  <c:v>05.06</c:v>
                </c:pt>
                <c:pt idx="89">
                  <c:v>05.07</c:v>
                </c:pt>
                <c:pt idx="90">
                  <c:v>05.08</c:v>
                </c:pt>
                <c:pt idx="91">
                  <c:v>05.11</c:v>
                </c:pt>
                <c:pt idx="92">
                  <c:v>05.12</c:v>
                </c:pt>
                <c:pt idx="93">
                  <c:v>05.13</c:v>
                </c:pt>
                <c:pt idx="94">
                  <c:v>05.14</c:v>
                </c:pt>
                <c:pt idx="95">
                  <c:v>05.15</c:v>
                </c:pt>
                <c:pt idx="96">
                  <c:v>05.18</c:v>
                </c:pt>
                <c:pt idx="97">
                  <c:v>05.19</c:v>
                </c:pt>
                <c:pt idx="98">
                  <c:v>05.20</c:v>
                </c:pt>
                <c:pt idx="99">
                  <c:v>05.21</c:v>
                </c:pt>
                <c:pt idx="100">
                  <c:v>05.22</c:v>
                </c:pt>
                <c:pt idx="101">
                  <c:v>05.25</c:v>
                </c:pt>
                <c:pt idx="102">
                  <c:v>05.26</c:v>
                </c:pt>
                <c:pt idx="103">
                  <c:v>05.27</c:v>
                </c:pt>
                <c:pt idx="104">
                  <c:v>05.28</c:v>
                </c:pt>
                <c:pt idx="105">
                  <c:v>05.29</c:v>
                </c:pt>
              </c:strCache>
            </c:strRef>
          </c:cat>
          <c:val>
            <c:numRef>
              <c:f>Sheet1!$C$2:$C$107</c:f>
              <c:numCache>
                <c:formatCode>General</c:formatCode>
                <c:ptCount val="106"/>
                <c:pt idx="0">
                  <c:v>100.0</c:v>
                </c:pt>
                <c:pt idx="1">
                  <c:v>100.0</c:v>
                </c:pt>
                <c:pt idx="2">
                  <c:v>100.0</c:v>
                </c:pt>
                <c:pt idx="3">
                  <c:v>100.0</c:v>
                </c:pt>
                <c:pt idx="4">
                  <c:v>100.0</c:v>
                </c:pt>
                <c:pt idx="5">
                  <c:v>100.0</c:v>
                </c:pt>
                <c:pt idx="6">
                  <c:v>100.0</c:v>
                </c:pt>
                <c:pt idx="7">
                  <c:v>100.0</c:v>
                </c:pt>
                <c:pt idx="8">
                  <c:v>100.0</c:v>
                </c:pt>
                <c:pt idx="9">
                  <c:v>100.0</c:v>
                </c:pt>
                <c:pt idx="10">
                  <c:v>100.0</c:v>
                </c:pt>
                <c:pt idx="11">
                  <c:v>100.0</c:v>
                </c:pt>
                <c:pt idx="12">
                  <c:v>100.0</c:v>
                </c:pt>
                <c:pt idx="13">
                  <c:v>100.0</c:v>
                </c:pt>
                <c:pt idx="14">
                  <c:v>100.0</c:v>
                </c:pt>
                <c:pt idx="15">
                  <c:v>100.0</c:v>
                </c:pt>
                <c:pt idx="16">
                  <c:v>100.0</c:v>
                </c:pt>
                <c:pt idx="17">
                  <c:v>100.0</c:v>
                </c:pt>
                <c:pt idx="18">
                  <c:v>100.0</c:v>
                </c:pt>
                <c:pt idx="19">
                  <c:v>100.0</c:v>
                </c:pt>
                <c:pt idx="20">
                  <c:v>100.0</c:v>
                </c:pt>
                <c:pt idx="21">
                  <c:v>100.0</c:v>
                </c:pt>
                <c:pt idx="22">
                  <c:v>100.0</c:v>
                </c:pt>
                <c:pt idx="23">
                  <c:v>100.0</c:v>
                </c:pt>
                <c:pt idx="24">
                  <c:v>100.0</c:v>
                </c:pt>
                <c:pt idx="25">
                  <c:v>100.0</c:v>
                </c:pt>
                <c:pt idx="26">
                  <c:v>100.0</c:v>
                </c:pt>
                <c:pt idx="27">
                  <c:v>100.0</c:v>
                </c:pt>
                <c:pt idx="28">
                  <c:v>100.0</c:v>
                </c:pt>
                <c:pt idx="29">
                  <c:v>100.0</c:v>
                </c:pt>
                <c:pt idx="30">
                  <c:v>100.0</c:v>
                </c:pt>
                <c:pt idx="31">
                  <c:v>100.0</c:v>
                </c:pt>
                <c:pt idx="32">
                  <c:v>100.0</c:v>
                </c:pt>
                <c:pt idx="33">
                  <c:v>100.0</c:v>
                </c:pt>
                <c:pt idx="34">
                  <c:v>100.0</c:v>
                </c:pt>
                <c:pt idx="35">
                  <c:v>100.0</c:v>
                </c:pt>
                <c:pt idx="36">
                  <c:v>100.0</c:v>
                </c:pt>
                <c:pt idx="37">
                  <c:v>100.0</c:v>
                </c:pt>
                <c:pt idx="38">
                  <c:v>100.0</c:v>
                </c:pt>
                <c:pt idx="39">
                  <c:v>100.0</c:v>
                </c:pt>
                <c:pt idx="40">
                  <c:v>100.0</c:v>
                </c:pt>
                <c:pt idx="41">
                  <c:v>100.0</c:v>
                </c:pt>
                <c:pt idx="42">
                  <c:v>100.0</c:v>
                </c:pt>
                <c:pt idx="43">
                  <c:v>100.0</c:v>
                </c:pt>
                <c:pt idx="44">
                  <c:v>100.0</c:v>
                </c:pt>
                <c:pt idx="45">
                  <c:v>100.0</c:v>
                </c:pt>
                <c:pt idx="46">
                  <c:v>100.0</c:v>
                </c:pt>
                <c:pt idx="47">
                  <c:v>100.0</c:v>
                </c:pt>
                <c:pt idx="48">
                  <c:v>100.0</c:v>
                </c:pt>
                <c:pt idx="49">
                  <c:v>100.0</c:v>
                </c:pt>
                <c:pt idx="50">
                  <c:v>100.0</c:v>
                </c:pt>
                <c:pt idx="51">
                  <c:v>100.0</c:v>
                </c:pt>
                <c:pt idx="52">
                  <c:v>100.0</c:v>
                </c:pt>
                <c:pt idx="53">
                  <c:v>100.0</c:v>
                </c:pt>
                <c:pt idx="54">
                  <c:v>100.0</c:v>
                </c:pt>
                <c:pt idx="55">
                  <c:v>100.0</c:v>
                </c:pt>
                <c:pt idx="56">
                  <c:v>100.0</c:v>
                </c:pt>
                <c:pt idx="57">
                  <c:v>100.0</c:v>
                </c:pt>
                <c:pt idx="58">
                  <c:v>100.0</c:v>
                </c:pt>
                <c:pt idx="59">
                  <c:v>100.0</c:v>
                </c:pt>
                <c:pt idx="60">
                  <c:v>100.0</c:v>
                </c:pt>
                <c:pt idx="61">
                  <c:v>100.0</c:v>
                </c:pt>
                <c:pt idx="62">
                  <c:v>100.0</c:v>
                </c:pt>
                <c:pt idx="63">
                  <c:v>100.0</c:v>
                </c:pt>
                <c:pt idx="64">
                  <c:v>100.0</c:v>
                </c:pt>
                <c:pt idx="65">
                  <c:v>100.0</c:v>
                </c:pt>
                <c:pt idx="66">
                  <c:v>100.0</c:v>
                </c:pt>
                <c:pt idx="67">
                  <c:v>100.0</c:v>
                </c:pt>
                <c:pt idx="68">
                  <c:v>100.0</c:v>
                </c:pt>
                <c:pt idx="69">
                  <c:v>100.0</c:v>
                </c:pt>
                <c:pt idx="70">
                  <c:v>100.0</c:v>
                </c:pt>
                <c:pt idx="71">
                  <c:v>100.0</c:v>
                </c:pt>
                <c:pt idx="72">
                  <c:v>100.0</c:v>
                </c:pt>
                <c:pt idx="73">
                  <c:v>100.0</c:v>
                </c:pt>
                <c:pt idx="74">
                  <c:v>100.0</c:v>
                </c:pt>
                <c:pt idx="75">
                  <c:v>100.0</c:v>
                </c:pt>
                <c:pt idx="76">
                  <c:v>100.0</c:v>
                </c:pt>
                <c:pt idx="77">
                  <c:v>100.0</c:v>
                </c:pt>
                <c:pt idx="78">
                  <c:v>100.0</c:v>
                </c:pt>
                <c:pt idx="79">
                  <c:v>100.0</c:v>
                </c:pt>
                <c:pt idx="80">
                  <c:v>100.0</c:v>
                </c:pt>
                <c:pt idx="81">
                  <c:v>100.0</c:v>
                </c:pt>
                <c:pt idx="82">
                  <c:v>100.0</c:v>
                </c:pt>
                <c:pt idx="83">
                  <c:v>100.0</c:v>
                </c:pt>
                <c:pt idx="84">
                  <c:v>100.0</c:v>
                </c:pt>
                <c:pt idx="85">
                  <c:v>100.0</c:v>
                </c:pt>
                <c:pt idx="86">
                  <c:v>100.0</c:v>
                </c:pt>
                <c:pt idx="87">
                  <c:v>100.0</c:v>
                </c:pt>
                <c:pt idx="88">
                  <c:v>100.0</c:v>
                </c:pt>
                <c:pt idx="89">
                  <c:v>100.0</c:v>
                </c:pt>
                <c:pt idx="90">
                  <c:v>100.0</c:v>
                </c:pt>
                <c:pt idx="91">
                  <c:v>100.0</c:v>
                </c:pt>
                <c:pt idx="92">
                  <c:v>100.0</c:v>
                </c:pt>
                <c:pt idx="93">
                  <c:v>100.0</c:v>
                </c:pt>
                <c:pt idx="94">
                  <c:v>100.0</c:v>
                </c:pt>
                <c:pt idx="95">
                  <c:v>100.0</c:v>
                </c:pt>
                <c:pt idx="96">
                  <c:v>100.0</c:v>
                </c:pt>
                <c:pt idx="97">
                  <c:v>100.0</c:v>
                </c:pt>
                <c:pt idx="98">
                  <c:v>100.0</c:v>
                </c:pt>
                <c:pt idx="99">
                  <c:v>100.0</c:v>
                </c:pt>
                <c:pt idx="100">
                  <c:v>100.0</c:v>
                </c:pt>
                <c:pt idx="101">
                  <c:v>100.0</c:v>
                </c:pt>
                <c:pt idx="102">
                  <c:v>100.0</c:v>
                </c:pt>
                <c:pt idx="103">
                  <c:v>100.0</c:v>
                </c:pt>
                <c:pt idx="104">
                  <c:v>100.0</c:v>
                </c:pt>
                <c:pt idx="105">
                  <c:v>100.0</c:v>
                </c:pt>
              </c:numCache>
            </c:numRef>
          </c:val>
          <c:smooth val="0"/>
        </c:ser>
        <c:marker val="1"/>
        <c:axId val="3010"/>
        <c:axId val="3020"/>
      </c:lineChart>
      <c:catAx>
        <c:axId val="3010"/>
        <c:scaling>
          <c:orientation val="minMax"/>
        </c:scaling>
        <c:delete val="0"/>
        <c:axPos val="b"/>
        <c:txPr>
          <a:bodyPr/>
          <a:lstStyle/>
          <a:p>
            <a:pPr>
              <a:defRPr sz="800"/>
            </a:pPr>
            <a:endParaRPr lang="ko-KR"/>
          </a:p>
        </c:txPr>
        <c:crossAx val="3020"/>
        <c:tickLblSkip val="10"/>
        <c:tickMarkSkip val="10"/>
      </c:catAx>
      <c:valAx>
        <c:axId val="3020"/>
        <c:scaling>
          <c:orientation val="minMax"/>
          <c:max val="220"/>
          <c:min val="60"/>
        </c:scaling>
        <c:delete val="0"/>
        <c:axPos val="l"/>
        <c:majorGridlines>
          <c:spPr>
            <a:ln w="3175">
              <a:solidFill>
                <a:srgbClr val="E6E6E6"/>
              </a:solidFill>
            </a:ln>
          </c:spPr>
        </c:majorGridlines>
        <c:numFmt formatCode="0&quot;%&quot;" sourceLinked="0"/>
        <c:majorTickMark val="none"/>
        <c:txPr>
          <a:bodyPr/>
          <a:lstStyle/>
          <a:p>
            <a:pPr>
              <a:defRPr sz="800"/>
            </a:pPr>
            <a:endParaRPr lang="ko-KR"/>
          </a:p>
        </c:txPr>
        <c:crossAx val="3010"/>
        <c:majorUnit val="40"/>
      </c:valAx>
    </c:plotArea>
    <c:plotVisOnly val="1"/>
    <c:dispBlanksAs val="gap"/>
  </c:chart>
  <c:externalData r:id="rId1">
    <c:autoUpdate val="0"/>
  </c:externalData>
</c:chartSpac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2026-06-18T05:02:02.126Z</dcterms:created>
  <dcterms:modified xsi:type="dcterms:W3CDTF">2026-06-18T05:02:02.126Z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