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30"/>
                <w:szCs w:val="30"/>
              </w:rPr>
              <w:t xml:space="preserve">외화여유자금비율 현황 및 관리방안</w:t>
            </w:r>
          </w:p>
        </w:tc>
      </w:tr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(2025.03.20) iM뱅크 자금부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개요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외화여유자금비율 = 가용외화여유자금 / 3개월 내 만기도래 차입금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가용외화여유자금 = 여유자금 * (1-헤어컷) + 국공채 + 커미티드라인 미사용 잔액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다. 여유자금 = 순콜론 잔액 + 여유자금MMDA예치분* + FX스왑 순운용 잔액</w:t>
      </w:r>
    </w:p>
    <w:p>
      <w:pPr>
        <w:spacing w:after="1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* 외화타점예치금 중 MMDA 外 예치분은 인정되지 않음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외화여유자금비율 현황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월별 평균 비율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300"/>
        <w:gridCol w:w="2300"/>
        <w:gridCol w:w="178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가용외화여유자금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만기도래차입금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외화여유자금비율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관리목표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54.64%</w:t>
            </w:r>
          </w:p>
        </w:tc>
        <w:tc>
          <w:tcPr>
            <w:tcW w:type="dxa" w:w="178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223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446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50.16%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25.03월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71.69%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25.04월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325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429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76.69%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25.05월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79.14%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25.06월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63.65%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25.07월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79.33%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25.08월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61.17%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25.09월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397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68.00%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25.10월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82.87%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77.22%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81.78%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79.45%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348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87.53%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26.03월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74.67%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26.04월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236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62.53%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26.05월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70.30%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60%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관리목표 : '25.1월~'26.4월 50%, '26.5월부터 권고비율 60%로 상향 관리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외화여유자금비율(5월)</w:t>
      </w:r>
    </w:p>
    <w:p>
      <w:pPr>
        <w:spacing w:after="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5월 일별 비율 추이 (영업일 18일, 월 평균 70.30%)</w:t>
      </w:r>
    </w:p>
    <w:p>
      <w:pPr>
        <w:spacing w:after="100" w:before="0"/>
        <w:ind w:left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☞ 권고비율(60%) 미만 2회 : 5.27일 49.73%, 5.28일 54.08%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C00000" w:sz="6"/>
              <w:left w:val="dashed" w:color="C00000" w:sz="6"/>
              <w:bottom w:val="dashed" w:color="C00000" w:sz="6"/>
              <w:right w:val="dashed" w:color="C00000" w:sz="6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6"/>
                <w:szCs w:val="16"/>
              </w:rPr>
              <w:t xml:space="preserve">[원본 문서의 '5월 일별 비율 추이' 그래프를 여기에 복사해 넣으세요]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0"/>
        <w:gridCol w:w="5030"/>
      </w:tblGrid>
      <w:tr>
        <w:tc>
          <w:tcPr>
            <w:tcW w:type="dxa" w:w="5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[참고] 5월 일별 순콜론·여유자금MMDA 운용 현황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2"/>
                <w:szCs w:val="12"/>
              </w:rPr>
              <w:t xml:space="preserve"> (단위:백만불)</w:t>
            </w:r>
          </w:p>
          <w:tbl>
            <w:tblPr>
              <w:tblW w:type="dxa" w:w="48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50"/>
              <w:gridCol w:w="1600"/>
              <w:gridCol w:w="1450"/>
              <w:gridCol w:w="950"/>
            </w:tblGrid>
            <w:tr>
              <w:trPr>
                <w:tblHeader/>
                <w:trHeight w:val="62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일자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순콜론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(본점+해외)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여유자금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MMDA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합산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05.04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05.06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△72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05.07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△35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△6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05.08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△12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05.11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25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05.12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38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27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05.13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25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05.14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70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05.15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49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05.18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05.19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05.20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△35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05.21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63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05.22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48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05.26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38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05.27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△76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22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△54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05.28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△106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△47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05.29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△73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95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22</w:t>
                  </w:r>
                </w:p>
              </w:tc>
            </w:tr>
          </w:tbl>
          <w:p/>
        </w:tc>
        <w:tc>
          <w:tcPr>
            <w:tcW w:type="dxa" w:w="50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[참고] 3월 순콜론·여유자금MMDA 운용 요약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2"/>
                <w:szCs w:val="12"/>
              </w:rPr>
              <w:t xml:space="preserve"> (단위:백만불)</w:t>
            </w:r>
          </w:p>
          <w:tbl>
            <w:tblPr>
              <w:tblW w:type="dxa" w:w="49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0"/>
              <w:gridCol w:w="1750"/>
              <w:gridCol w:w="1300"/>
            </w:tblGrid>
            <w:tr>
              <w:trPr>
                <w:tblHeader/>
                <w:trHeight w:val="38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구분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최소~최대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평균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만기도래차입금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359 ~ 417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402.7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가용외화여유자금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258 ~ 404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300.6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외화여유자금비율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최소 63.4%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74.67%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순콜론+MMDA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최소 32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79.2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60% 충족 순콜론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+MMDA(이상)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최고 +37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DD7EE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3"/>
                      <w:szCs w:val="13"/>
                    </w:rPr>
                    <w:t xml:space="preserve">+20.2</w:t>
                  </w:r>
                </w:p>
              </w:tc>
            </w:tr>
          </w:tbl>
          <w:p>
            <w:pPr>
              <w:spacing w:after="60" w:before="16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[참고] 4월 순콜론·여유자금MMDA 운용 요약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2"/>
                <w:szCs w:val="12"/>
              </w:rPr>
              <w:t xml:space="preserve"> (단위:백만불)</w:t>
            </w:r>
          </w:p>
          <w:tbl>
            <w:tblPr>
              <w:tblW w:type="dxa" w:w="49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0"/>
              <w:gridCol w:w="1750"/>
              <w:gridCol w:w="1300"/>
            </w:tblGrid>
            <w:tr>
              <w:trPr>
                <w:tblHeader/>
                <w:trHeight w:val="38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구분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최소~최대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평균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만기도래차입금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350 ~ 390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377.3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가용외화여유자금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185 ~ 311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237.3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외화여유자금비율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최소 51.4%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62.85%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순콜론+MMDA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최소 △54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5.2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60% 충족 순콜론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+MMDA(이상)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최고 +9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DD7EE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3"/>
                      <w:szCs w:val="13"/>
                    </w:rPr>
                    <w:t xml:space="preserve">△5.7</w:t>
                  </w:r>
                </w:p>
              </w:tc>
            </w:tr>
          </w:tbl>
          <w:p/>
        </w:tc>
      </w:tr>
    </w:tbl>
    <w:p>
      <w:pPr>
        <w:spacing w:after="120" w:before="6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권고비율(60%) 충족을 위한 순콜론+MMDA 합산 최저수준은 5월 일평균 △14.5백만불이며, 3~4월 요약 및 일별 산출 내역은 [부록] 참조</w:t>
      </w:r>
    </w:p>
    <w:p>
      <w:pPr>
        <w:spacing w:after="80" w:before="12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권고비율 미만 발생 사유</w:t>
      </w:r>
    </w:p>
    <w:p>
      <w:pPr>
        <w:spacing w:after="8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(사유) 5.27~5.28일 여유자금(순콜론+MMDA)이 각각 △54백만불·△47백만불로 5월 중 최저 수준</w:t>
      </w:r>
    </w:p>
    <w:p>
      <w:pPr>
        <w:spacing w:after="20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· 당발송금·타발송금 및 FX 거래 자금 유출입을 합한 금액의 유출이 커짐에 따라 순콜론·MMDA 자금의 마이너스 폭이 확대되고, 이에 따라 여유자금이 감소하여 외화여유자금비율이 권고비율(60%)을 하회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 일별 자금유출입 현황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9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280"/>
        <w:gridCol w:w="1230"/>
        <w:gridCol w:w="1230"/>
        <w:gridCol w:w="1300"/>
        <w:gridCol w:w="1050"/>
        <w:gridCol w:w="1260"/>
        <w:gridCol w:w="1500"/>
      </w:tblGrid>
      <w:tr>
        <w:trPr>
          <w:tblHeader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일자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전일자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당발송금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(-)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타발송금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(+)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FX거래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자금유출입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콜머니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(+)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당일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  <w:tc>
          <w:tcPr>
            <w:tcW w:type="dxa" w:w="1500"/>
            <w:tcBorders>
              <w:top w:val="single" w:color="000000" w:sz="18"/>
              <w:left w:val="single" w:color="000000" w:sz="18"/>
              <w:bottom w:val="single" w:color="000000" w:sz="4"/>
              <w:right w:val="single" w:color="000000" w:sz="18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콜머니제외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60.98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8.21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18.13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-15.04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24.81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28.15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-1.69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29.03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27.93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-39.55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16.86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26.86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15.10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24.52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11.24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14.70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16.65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-31.86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17.59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24.55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-5.52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19.05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05.13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10.21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13.90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-15.16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37.58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17.58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37.58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15.48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51.75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-12.40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05.15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32.65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46.10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-34.18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27.31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-2.65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29.17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16.44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-2.35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05.20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23.14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20.77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-24.82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33.62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-6.38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33.62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11.84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40.43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-9.06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29.18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120.41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-107.72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108.24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37.70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77.59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43.71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43.71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05.27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43.71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119.08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42.60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-10.19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17.04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-42.96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05.28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17.04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63.70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8.30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2.71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90.00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54.35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-35.65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54.35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40.66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57.45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18.51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89.65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89.65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합계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730.37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620.10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620.91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-202.14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230.00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759.04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18"/>
              <w:right w:val="single" w:color="000000" w:sz="18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529.04</w:t>
            </w:r>
          </w:p>
        </w:tc>
      </w:tr>
    </w:tbl>
    <w:p>
      <w:p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당발·타발송금은 고객 거래에 따라 예측이 불가능한 금액이며, FX거래 자금유출입은 당일 마감액에서 전일자 마감액·당발·타발송금·콜머니를 가감하여 산출(= 당일 − 전일 + 당발 − 타발 − 콜머니)</w:t>
      </w:r>
    </w:p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콜머니제외 마감액 = 당일 마감액 − 콜머니, 트레이딩부서가 지속 모니터링하여 예측(관리) 가능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5월말 기준 만기도래 차입금 현황 (단위 : 백만불)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C00000" w:sz="6"/>
              <w:left w:val="dashed" w:color="C00000" w:sz="6"/>
              <w:bottom w:val="dashed" w:color="C00000" w:sz="6"/>
              <w:right w:val="dashed" w:color="C00000" w:sz="6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6"/>
                <w:szCs w:val="16"/>
              </w:rPr>
              <w:t xml:space="preserve">[원본 문서의 '만기도래 차입금 현황' 표를 여기에 복사해 넣으세요]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관리방안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당발송금·타발송금 및 FX 결제금액을 모니터링하여 여유자금(순콜론·MMDA)이 0 이상이 되도록 관리</w:t>
      </w:r>
    </w:p>
    <w:p>
      <w:pPr>
        <w:spacing w:after="12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당발·타발송금의 경우 거액 건은 운용부와 소통하여 사전에 파악할 수 있도록 면밀히 관리하고, FX 결제금액은 하루 전에 익일 결제금액을 예측할 수 있으므로, 자금부는 이를 종합한 일일 자금수지 전망을 토대로 당일 여유자금을 사전 관리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당일 여유자금(순콜론+MMDA)이 0 미만으로 예상되는 경우 부족분만큼 커버거래(FX 자금유입) 실시</w:t>
      </w:r>
    </w:p>
    <w:p>
      <w:pPr>
        <w:spacing w:after="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(효과) 여유자금이 0이 되도록 5.27일 +54백만불·5.28일 +47백만불 커버거래 시, 가용외화여유자금이 동액 증가하여 외화여유자금비율이 권고비율(60%)을 상회</w:t>
      </w:r>
    </w:p>
    <w:p>
      <w:pPr>
        <w:spacing w:after="40" w:before="0"/>
        <w:ind w:left="5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여유자금(순콜론+MMDA) : 5.27일 △54 → 0백만불, 5.28일 △47 → 0백만불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외화여유자금비율 : 5.27일 49.73% → 64.3%, 5.28일 54.08% → 67.3%</w:t>
      </w:r>
    </w:p>
    <w:p>
      <w:pPr>
        <w:spacing w:after="60"/>
        <w:jc w:val="center"/>
      </w:pPr>
      <w:r>
        <w:drawing>
          <wp:inline distT="0" distB="0" distL="0" distR="0">
            <wp:extent cx="5715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* 비율 효과 산출 : (가용외화여유자금 + 커버금액) ÷ 당일 만기도래차입금 → 5.27일 (184+54)/370 = 64.3%, 5.28일 (192+47)/355 = 67.3%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다. 권고비율(60%)을 충족하는 순콜론+MMDA 수준을 상시 유지하도록 관리 기준선 설정</w:t>
      </w:r>
    </w:p>
    <w:p>
      <w:pPr>
        <w:spacing w:after="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- 3~5월 일별 60% 충족 기준 금액의 월중 최고치는 3월 +37백만불(3.20일), 4월 +9백만불(4.1일), 5월 △1백만불(5.4일) 수준 (일별 산출 내역은 [부록] 참조)</w:t>
      </w:r>
    </w:p>
    <w:p>
      <w:pPr>
        <w:spacing w:after="200" w:before="0"/>
        <w:ind w:left="3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- 이 중 가장 큰 금액인 +37백만불을 초과하는 수준으로 순콜론+MMDA를 유지하여, 어떠한 가용자금 구성 변동 하에서도 외화여유자금비율이 권고비율(60%)을 상회하도록 관리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[부록] 기타 외화유동성 지표 현황 ('26.1월 ~ 5월)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 LCR : 기간 평균 185.24%로 감독원 기준(80%)을 지속 상회</w:t>
      </w:r>
    </w:p>
    <w:p>
      <w:pPr>
        <w:spacing w:after="1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중장기외화자금 조달비율 : 기간 평균 180.04%로 감독원 기준(100%)을 지속 상회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다. 권고비율(60%) 충족 기준 순콜론+MMDA 수준 : 3월 일평균 +20.2백만불, 4월 △5.7백만불, 5월 △14.5백만불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3월 일별 권고비율(60%)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>
        <w:trPr>
          <w:tblHeader/>
          <w:trHeight w:val="62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여유자금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자금비율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(실제)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순콜론+MMDA(이상)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 대비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필요비율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100.2%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198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+8.9%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399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310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77.7%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91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322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80.3%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105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320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79.8%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102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74.4%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281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68.7%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65.0%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72.9%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75.8%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+2.3%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323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79.2%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104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+6.3%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71.7%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+6.2%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+4.5%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71.3%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+6.2%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85.6%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143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+8.8%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339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82.9%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124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+7.4%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281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68.4%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67.2%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64.5%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73.3%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△3.5%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03.30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75.5%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+1.9%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03.31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392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+2.3%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402.7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300.6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74.67%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79.2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20.2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+5.0%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4월 일별 권고비율(60%)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>
        <w:trPr>
          <w:tblHeader/>
          <w:trHeight w:val="62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여유자금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자금비율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(실제)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순콜론+MMDA(이상)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 대비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필요비율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311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80.4%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+2.4%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+1.3%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+1.3%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390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62.3%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+0.8%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219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61.0%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222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61.7%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185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51.4%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△23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△6.4%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69.3%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△2.5%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390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228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58.5%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+0.3%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61.6%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62.7%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61.5%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65.8%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04.23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385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219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56.9%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△0.8%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66.6%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△6.6%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04.28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366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218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59.6%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△3.9%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370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65.4%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04.30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200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52.5%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△36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377.3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237.3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62.85%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5.2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△5.7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△1.6%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 일별 권고비율(60%)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>
        <w:trPr>
          <w:tblHeader/>
          <w:trHeight w:val="62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여유자금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자금비율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(실제)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순콜론+MMDA(이상)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 대비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필요비율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227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63.1%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△4.7%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76.1%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△3.7%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374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67.9%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336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76.2%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△8.0%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341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74.5%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△7.0%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343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85.7%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343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80.2%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75.9%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73.8%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67.2%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287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80.8%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76.2%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72.9%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△2.5%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05.27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370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184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49.7%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△4.3%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05.28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192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54.1%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△47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△26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△7.3%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358.4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251.2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70.30%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21.6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△14.5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△4.1%</w:t>
            </w:r>
          </w:p>
        </w:tc>
      </w:tr>
    </w:tbl>
    <w:p>
      <w:pPr>
        <w:spacing w:after="20" w:before="6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60% 충족 순콜론+MMDA(이상) = 권고비율(60%) × 만기도래차입금에 상응하는 가용외화여유자금을 확보하기 위해 필요한 순콜론+MMDA 합산의 최저수준 (이 수준 이상 유지 시 외화여유자금비율 60% 충족)</w:t>
      </w:r>
    </w:p>
    <w:p>
      <w:p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차입금 대비 필요비율 = 60% 충족 순콜론+MMDA ÷ 당일 만기도래차입금, 순콜론+MMDA를 만기도래차입금의 동 비율 이상으로 유지 시 외화여유자금비율 60% 충족 (월중 최고 : 3월 +8.9%, 4월 +2.4%, 5월 △0.3%)</w:t>
      </w:r>
    </w:p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음영 표시일 : 외화여유자금비율 60% 미달일 (4월 5일, 5월 2일)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끝.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c61820dd77acff4550bc7c3e9e59fe7f10887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2026-06-10T06:58:56.213Z</dcterms:created>
  <dcterms:modified xsi:type="dcterms:W3CDTF">2026-06-10T06:58:56.215Z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