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30"/>
                <w:szCs w:val="30"/>
              </w:rPr>
              <w:t xml:space="preserve">외화여유자금비율 현황 및 관리방안</w:t>
            </w:r>
          </w:p>
        </w:tc>
      </w:tr>
      <w:tr>
        <w:tc>
          <w:tcPr>
            <w:tcW w:type="dxa" w:w="10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(2025.03.20) iM뱅크 자금부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개요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외화여유자금비율 = 가용외화여유자금 / 3개월 내 만기도래 차입금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가용외화여유자금 = 여유자금 * (1-헤어컷) + 국공채 + 커미티드라인 미사용 잔액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여유자금 = 순콜론 잔액 + 여유자금MMDA예치분* + FX스왑 순운용 잔액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* 외화타점예치금 중 MMDA 外 예치분은 인정되지 않음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외화여유자금비율 현황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월별 평균 비율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300"/>
        <w:gridCol w:w="2300"/>
        <w:gridCol w:w="1780"/>
      </w:tblGrid>
      <w:tr>
        <w:trPr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가용외화여유자금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만기도래차입금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외화여유자금비율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관리목표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54.64%</w:t>
            </w:r>
          </w:p>
        </w:tc>
        <w:tc>
          <w:tcPr>
            <w:tcW w:type="dxa" w:w="178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446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50.16%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71.69%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429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76.69%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79.14%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25.06월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63.65%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25.07월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79.33%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25.08월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61.17%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25.09월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397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68.00%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25.10월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82.87%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77.22%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81.78%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26.01월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79.45%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26.02월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348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87.53%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26.03월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74.67%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26.04월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62.53%</w:t>
            </w:r>
          </w:p>
        </w:tc>
        <w:tc>
          <w:tcPr>
            <w:tcW w:type="dxa" w:w="178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26.05월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70.30%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60%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관리목표 : '25.1월~'26.4월 50%, '26.5월부터 권고비율 60%로 상향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외화여유자금비율(5월)</w:t>
      </w:r>
    </w:p>
    <w:p>
      <w:pPr>
        <w:spacing w:after="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5월 일별 비율 추이 (영업일 18일, 월 평균 70.30%)</w:t>
      </w:r>
    </w:p>
    <w:p>
      <w:pPr>
        <w:spacing w:after="100" w:before="0"/>
        <w:ind w:left="4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☞ 권고비율(60%) 미만 2회 : 5.27일 49.73%, 5.28일 54.08%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'5월 일별 비율 추이' 그래프를 여기에 복사해 넣으세요]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0"/>
        <w:gridCol w:w="5030"/>
      </w:tblGrid>
      <w:tr>
        <w:tc>
          <w:tcPr>
            <w:tcW w:type="dxa" w:w="5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5월 일별 순콜론·여유자금MMDA 운용 현황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8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50"/>
              <w:gridCol w:w="1600"/>
              <w:gridCol w:w="1450"/>
              <w:gridCol w:w="950"/>
            </w:tblGrid>
            <w:tr>
              <w:trPr>
                <w:tblHeader/>
                <w:trHeight w:val="62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일자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(본점+해외)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여유자금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MMDA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합산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71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△6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05.08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△12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05.13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△21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25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05.14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70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05.15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05.19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05.20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△35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05.21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63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05.22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05.26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△11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49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38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05.27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△76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△54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05.28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△106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59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CE4E4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△47</w:t>
                  </w:r>
                </w:p>
              </w:tc>
            </w:tr>
            <w:tr>
              <w:trPr>
                <w:tblHeader w:val="false"/>
                <w:trHeight w:val="300" w:hRule="atLeast"/>
              </w:trPr>
              <w:tc>
                <w:tcPr>
                  <w:tcW w:type="dxa" w:w="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05.29</w:t>
                  </w:r>
                </w:p>
              </w:tc>
              <w:tc>
                <w:tcPr>
                  <w:tcW w:type="dxa" w:w="16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△73</w:t>
                  </w:r>
                </w:p>
              </w:tc>
              <w:tc>
                <w:tcPr>
                  <w:tcW w:type="dxa" w:w="14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95</w:t>
                  </w:r>
                </w:p>
              </w:tc>
              <w:tc>
                <w:tcPr>
                  <w:tcW w:type="dxa" w:w="9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4"/>
                      <w:szCs w:val="14"/>
                    </w:rPr>
                    <w:t xml:space="preserve">22</w:t>
                  </w:r>
                </w:p>
              </w:tc>
            </w:tr>
          </w:tbl>
          <w:p/>
        </w:tc>
        <w:tc>
          <w:tcPr>
            <w:tcW w:type="dxa" w:w="50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3월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359 ~ 417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402.7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258 ~ 404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300.6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63.4%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74.67%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32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79.2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+37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+20.2</w:t>
                  </w:r>
                </w:p>
              </w:tc>
            </w:tr>
          </w:tbl>
          <w:p>
            <w:pPr>
              <w:spacing w:after="60" w:before="160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[참고] 4월 순콜론·여유자금MMDA 운용 요약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2"/>
                <w:szCs w:val="12"/>
              </w:rPr>
              <w:t xml:space="preserve"> (단위:백만불)</w:t>
            </w:r>
          </w:p>
          <w:tbl>
            <w:tblPr>
              <w:tblW w:type="dxa" w:w="49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0"/>
              <w:gridCol w:w="1750"/>
              <w:gridCol w:w="1300"/>
            </w:tblGrid>
            <w:tr>
              <w:trPr>
                <w:tblHeader/>
                <w:trHeight w:val="38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구분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최소~최대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AD3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4"/>
                      <w:szCs w:val="14"/>
                    </w:rPr>
                    <w:t xml:space="preserve">평균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만기도래차입금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350 ~ 390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377.3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가용외화여유자금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185 ~ 311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236.0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외화여유자금비율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51.4%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62.53%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순콜론+MMDA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최소 △54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3.8</w:t>
                  </w:r>
                </w:p>
              </w:tc>
            </w:tr>
            <w:tr>
              <w:trPr>
                <w:tblHeader w:val="false"/>
                <w:trHeight w:val="340" w:hRule="atLeast"/>
              </w:trPr>
              <w:tc>
                <w:tcPr>
                  <w:tcW w:type="dxa" w:w="18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60% 충족 순콜론</w:t>
                  </w:r>
                </w:p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+MMDA(이상)</w:t>
                  </w:r>
                </w:p>
              </w:tc>
              <w:tc>
                <w:tcPr>
                  <w:tcW w:type="dxa" w:w="175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sz w:val="13"/>
                      <w:szCs w:val="13"/>
                    </w:rPr>
                    <w:t xml:space="preserve">최고 +9</w:t>
                  </w:r>
                </w:p>
              </w:tc>
              <w:tc>
                <w:tcPr>
                  <w:tcW w:type="dxa" w:w="1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DD7EE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line="200" w:lineRule="auto"/>
                    <w:jc w:val="right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3"/>
                      <w:szCs w:val="13"/>
                    </w:rPr>
                    <w:t xml:space="preserve">△5.8</w:t>
                  </w:r>
                </w:p>
              </w:tc>
            </w:tr>
          </w:tbl>
          <w:p/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권고비율(60%) 충족을 위한 순콜론+MMDA 합산 최저수준은 5월 일평균 △14.5백만불이며, 3~4월 요약 및 일별 산출 내역은 [부록] 참조</w:t>
      </w:r>
    </w:p>
    <w:p>
      <w:pPr>
        <w:spacing w:after="80" w:before="12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권고비율 미만 발생 사유</w:t>
      </w:r>
    </w:p>
    <w:p>
      <w:pPr>
        <w:spacing w:after="8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(사유) 5.27~5.28일 여유자금(순콜론+MMDA)이 각각 △54백만불·△47백만불로 5월 중 최저 수준</w:t>
      </w:r>
    </w:p>
    <w:p>
      <w:pPr>
        <w:spacing w:after="200" w:before="0"/>
        <w:ind w:left="5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당발송금·타발송금 및 FX 거래 자금 유출입을 합한 금액의 유출이 커짐에 따라 순콜론·MMDA 자금의 마이너스 폭이 확대되고, 이에 따라 여유자금이 감소하여 외화여유자금비율이 권고비율(60%)을 하회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자금유출입 현황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9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280"/>
        <w:gridCol w:w="1230"/>
        <w:gridCol w:w="1230"/>
        <w:gridCol w:w="1300"/>
        <w:gridCol w:w="1050"/>
        <w:gridCol w:w="1260"/>
        <w:gridCol w:w="1500"/>
      </w:tblGrid>
      <w:tr>
        <w:trPr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일자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전일자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(-)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타발송금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FX거래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자금유출입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(+)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당일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  <w:tc>
          <w:tcPr>
            <w:tcW w:type="dxa" w:w="1500"/>
            <w:tcBorders>
              <w:top w:val="single" w:color="000000" w:sz="18"/>
              <w:left w:val="single" w:color="000000" w:sz="18"/>
              <w:bottom w:val="single" w:color="000000" w:sz="4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콜머니제외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마감액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60.98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-15.04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55.86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28.15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-1.69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57.51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29.03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27.93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-39.55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16.86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05.08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26.86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11.24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47.52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14.70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16.65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-31.86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17.61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24.55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-5.52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19.05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05.13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29.05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10.21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13.90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-15.16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17.58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05.14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37.58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15.48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51.75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-12.40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05.15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61.45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32.65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46.10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-34.18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40.72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27.31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25.13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-2.65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05.19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35.89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16.44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-2.35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05.20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20.81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23.14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20.77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-24.82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-6.38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05.21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33.62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11.84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40.43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-9.06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05.22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53.15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29.18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120.41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-107.72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05.26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36.66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108.24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37.70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77.59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43.71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05.27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43.71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119.08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42.60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-10.19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-42.96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05.28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17.04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63.70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8.30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699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2.71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90.00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54.35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-35.65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05.29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54.35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40.66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57.45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18.51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/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4"/>
              <w:right w:val="single" w:color="000000" w:sz="18"/>
            </w:tcBorders>
            <w:shd w:fill="EAF1FB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5"/>
                <w:szCs w:val="15"/>
              </w:rPr>
              <w:t xml:space="preserve">89.65</w:t>
            </w:r>
          </w:p>
        </w:tc>
      </w:tr>
      <w:t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합계</w:t>
            </w:r>
          </w:p>
        </w:tc>
        <w:tc>
          <w:tcPr>
            <w:tcW w:type="dxa" w:w="1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730.37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620.10</w:t>
            </w:r>
          </w:p>
        </w:tc>
        <w:tc>
          <w:tcPr>
            <w:tcW w:type="dxa" w:w="12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620.91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-202.14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230.00</w:t>
            </w:r>
          </w:p>
        </w:tc>
        <w:tc>
          <w:tcPr>
            <w:tcW w:type="dxa" w:w="1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759.04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18"/>
              <w:bottom w:val="single" w:color="000000" w:sz="18"/>
              <w:right w:val="single" w:color="000000" w:sz="18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5"/>
                <w:szCs w:val="15"/>
              </w:rPr>
              <w:t xml:space="preserve">529.04</w:t>
            </w:r>
          </w:p>
        </w:tc>
      </w:tr>
    </w:tbl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당발·타발송금은 고객 거래에 따라 예측이 불가능한 금액이며, FX거래 자금유출입은 당일 마감액에서 전일자 마감액·당발·타발송금·콜머니를 가감하여 산출(= 당일 − 전일 + 당발 − 타발 − 콜머니)</w:t>
      </w:r>
    </w:p>
    <w:p>
      <w:pPr>
        <w:spacing w:after="20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콜머니제외 마감액 = 당일 마감액 − 콜머니, 트레이딩부서가 지속 모니터링하여 예측(관리) 가능</w:t>
      </w:r>
    </w:p>
    <w:p>
      <w:pPr>
        <w:spacing w:after="80" w:before="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5월말 기준 만기도래 차입금 현황 (단위 : 백만불)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C00000" w:sz="6"/>
              <w:left w:val="dashed" w:color="C00000" w:sz="6"/>
              <w:bottom w:val="dashed" w:color="C00000" w:sz="6"/>
              <w:right w:val="dashed" w:color="C00000" w:sz="6"/>
            </w:tcBorders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0000"/>
                <w:sz w:val="16"/>
                <w:szCs w:val="16"/>
              </w:rPr>
              <w:t xml:space="preserve">[원본 문서의 '만기도래 차입금 현황' 표를 여기에 복사해 넣으세요]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관리방안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당발송금·타발송금 및 FX 결제금액을 모니터링하여 여유자금(순콜론·MMDA)이 0 이상이 되도록 관리</w:t>
      </w:r>
    </w:p>
    <w:p>
      <w:pPr>
        <w:spacing w:after="12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당발·타발송금의 경우 거액 건은 운용부와 소통하여 사전에 파악할 수 있도록 면밀히 관리하고, FX 결제금액은 하루 전에 익일 결제금액을 예측할 수 있으므로, 자금부는 이를 종합한 일일 자금수지 전망을 토대로 당일 여유자금을 사전 관리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당일 여유자금(순콜론+MMDA)이 0 미만으로 예상되는 경우 부족분만큼 커버거래(FX 자금유입) 실시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(효과) 여유자금이 0이 되도록 5.27일 +54백만불·5.28일 +47백만불 커버거래 시, 가용외화여유자금이 동액 증가하여 외화여유자금비율이 권고비율(60%)을 상회</w:t>
      </w:r>
    </w:p>
    <w:p>
      <w:pPr>
        <w:spacing w:after="4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여유자금(순콜론+MMDA) : 5.27일 △54 → 0백만불, 5.28일 △47 → 0백만불</w:t>
      </w:r>
    </w:p>
    <w:p>
      <w:pPr>
        <w:spacing w:after="80" w:before="0"/>
        <w:ind w:left="5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· 외화여유자금비율 : 5.27일 49.73% → 64.3%, 5.28일 54.08% → 67.3%</w:t>
      </w:r>
    </w:p>
    <w:p>
      <w:pPr>
        <w:spacing w:after="6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* 비율 효과 산출 : (가용외화여유자금 + 커버금액) ÷ 당일 만기도래차입금 → 5.27일 (184+54)/370 = 64.3%, 5.28일 (192+47)/355 = 67.3%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다. 권고비율(60%)을 충족하는 순콜론+MMDA 수준을 상시 유지하도록 관리 기준선 설정</w:t>
      </w:r>
    </w:p>
    <w:p>
      <w:pPr>
        <w:spacing w:after="60" w:before="0"/>
        <w:ind w:left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- 3~5월 일별 60% 충족 기준 금액의 월중 최고치는 3월 +37백만불(3.20일), 4월 +9백만불(4.1일), 5월 △1백만불(5.4일) 수준 (일별 산출 내역은 [부록] 참조)</w:t>
      </w:r>
    </w:p>
    <w:p>
      <w:pPr>
        <w:spacing w:after="200" w:before="0"/>
        <w:ind w:left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- 이 중 가장 큰 금액인 +37백만불을 초과하는 수준으로 순콜론+MMDA를 유지하여, 어떠한 가용자금 구성 변동 하에서도 외화여유자금비율이 권고비율(60%)을 상회하도록 관리</w:t>
      </w:r>
    </w:p>
    <w:p>
      <w:pPr>
        <w:spacing w:after="100" w:before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[부록] 기타 외화유동성 지표 현황 ('26.1월 ~ 5월)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가. 외화 LCR : 기간 평균 185.24%로 감독원 기준(80%)을 지속 상회</w:t>
      </w:r>
    </w:p>
    <w:p>
      <w:pPr>
        <w:spacing w:after="160" w:before="0"/>
        <w:ind w:left="2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나. 중장기외화자금 조달비율 : 기간 평균 180.04%로 감독원 기준(100%)을 지속 상회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다. 권고비율(60%) 충족 기준 순콜론+MMDA 수준 : 3월 일평균 +20.2백만불, 4월 △5.8백만불, 5월 △14.5백만불</w:t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3월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+8.9%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77.7%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79.2%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104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+4.5%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71.3%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+6.2%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143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+8.8%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+7.4%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68.4%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+5.6%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03.31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402.7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300.6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74.67%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79.2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20.2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+5.0%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4월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311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+2.4%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+1.3%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+0.8%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51.4%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△6.4%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69.3%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228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58.5%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+0.3%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04.17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62.7%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61.5%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219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56.9%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66.6%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366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59.6%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04.29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242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65.4%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04.30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52.5%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△36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377.3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236.0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62.53%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3.8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△5.8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△1.6%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/>
      </w:r>
    </w:p>
    <w:p>
      <w:pPr>
        <w:spacing w:after="80" w:before="0"/>
        <w:ind w:left="2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[참고] 5월 일별 권고비율(60%) 충족 기준 순콜론+MMDA 수준</w:t>
      </w:r>
      <w:r>
        <w:rPr>
          <w:rFonts w:ascii="맑은 고딕" w:cs="맑은 고딕" w:eastAsia="맑은 고딕" w:hAnsi="맑은 고딕"/>
          <w:b w:val="false"/>
          <w:bCs w:val="false"/>
          <w:sz w:val="15"/>
          <w:szCs w:val="15"/>
        </w:rPr>
        <w:t xml:space="preserve">              (단위 : 백만불)</w:t>
      </w:r>
    </w:p>
    <w:tbl>
      <w:tblPr>
        <w:tblW w:type="dxa" w:w="1008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500"/>
        <w:gridCol w:w="1500"/>
        <w:gridCol w:w="1450"/>
        <w:gridCol w:w="1600"/>
        <w:gridCol w:w="1700"/>
        <w:gridCol w:w="1380"/>
      </w:tblGrid>
      <w:tr>
        <w:trPr>
          <w:tblHeader/>
          <w:trHeight w:val="62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일자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만기도래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가용외화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여유자금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외화여유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자금비율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(실제)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60% 충족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순콜론+MMDA(이상)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차입금 대비</w:t>
            </w:r>
          </w:p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필요비율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233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60.6%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△0.8%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△3.7%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△27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△8.0%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74.5%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△7.0%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294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85.7%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△18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271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75.9%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△13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△3.6%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05.19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73.8%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△4.2%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238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67.2%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△5.4%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287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80.8%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63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△11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△3.1%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275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76.2%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△10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△2.8%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266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72.9%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△9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△2.5%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184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49.7%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△54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05.28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192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54.1%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△26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E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△7.3%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05.29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252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70.0%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△14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3"/>
                <w:szCs w:val="13"/>
              </w:rPr>
              <w:t xml:space="preserve">△3.9%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평균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358.4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251.2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70.30%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D3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21.6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△14.5</w:t>
            </w:r>
          </w:p>
        </w:tc>
        <w:tc>
          <w:tcPr>
            <w:tcW w:type="dxa" w:w="13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line="200" w:lineRule="auto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sz w:val="13"/>
                <w:szCs w:val="13"/>
              </w:rPr>
              <w:t xml:space="preserve">△4.1%</w:t>
            </w:r>
          </w:p>
        </w:tc>
      </w:tr>
    </w:tbl>
    <w:p>
      <w:pPr>
        <w:spacing w:after="20" w:before="6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60% 충족 순콜론+MMDA(이상) = 권고비율(60%) × 만기도래차입금에 상응하는 가용외화여유자금을 확보하기 위해 필요한 순콜론+MMDA 합산의 최저수준 (이 수준 이상 유지 시 외화여유자금비율 60% 충족)</w:t>
      </w:r>
    </w:p>
    <w:p>
      <w:pPr>
        <w:spacing w:after="2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차입금 대비 필요비율 = 60% 충족 순콜론+MMDA ÷ 당일 만기도래차입금, 순콜론+MMDA를 만기도래차입금의 동 비율 이상으로 유지 시 외화여유자금비율 60% 충족 (월중 최고 : 3월 +8.9%, 4월 +2.4%, 5월 △0.3%)</w:t>
      </w:r>
    </w:p>
    <w:p>
      <w:pPr>
        <w:spacing w:after="160" w:before="0"/>
      </w:pPr>
      <w:r>
        <w:rPr>
          <w:rFonts w:ascii="맑은 고딕" w:cs="맑은 고딕" w:eastAsia="맑은 고딕" w:hAnsi="맑은 고딕"/>
          <w:b w:val="false"/>
          <w:bCs w:val="false"/>
          <w:sz w:val="14"/>
          <w:szCs w:val="14"/>
        </w:rPr>
        <w:t xml:space="preserve">* 음영 표시일 : 외화여유자금비율 60% 미달일 (4월 5일, 5월 2일)</w:t>
      </w:r>
    </w:p>
    <w:p>
      <w:pPr>
        <w:spacing w:after="80" w:before="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끝.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61820dd77acff4550bc7c3e9e59fe7f10887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2026-06-10T07:05:35.541Z</dcterms:created>
  <dcterms:modified xsi:type="dcterms:W3CDTF">2026-06-10T07:05:35.541Z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