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30"/>
                <w:szCs w:val="30"/>
              </w:rPr>
              <w:t xml:space="preserve">외화여유자금비율 현황 및 관리방안</w:t>
            </w:r>
          </w:p>
        </w:tc>
      </w:tr>
      <w:tr>
        <w:tc>
          <w:tcPr>
            <w:tcW w:type="dxa" w:w="10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(2025.03.20) iM뱅크 자금부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/>
      </w:r>
    </w:p>
    <w:p>
      <w:pPr>
        <w:spacing w:after="100" w:before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1. 개요</w:t>
      </w:r>
    </w:p>
    <w:p>
      <w:pPr>
        <w:spacing w:after="80" w:before="0"/>
        <w:ind w:left="2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가. 외화여유자금비율 = 가용외화여유자금 / 3개월 내 만기도래 차입금</w:t>
      </w:r>
    </w:p>
    <w:p>
      <w:pPr>
        <w:spacing w:after="80" w:before="0"/>
        <w:ind w:left="2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나. 가용외화여유자금 = 여유자금 * (1-헤어컷) + 국공채 + 커미티드라인 미사용 잔액</w:t>
      </w:r>
    </w:p>
    <w:p>
      <w:pPr>
        <w:spacing w:after="80" w:before="0"/>
        <w:ind w:left="2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다. 여유자금 = 순콜론 잔액 + 여유자금MMDA예치분* + FX스왑 순운용 잔액</w:t>
      </w:r>
    </w:p>
    <w:p>
      <w:pPr>
        <w:spacing w:after="160" w:before="0"/>
        <w:ind w:left="200"/>
      </w:pPr>
      <w:r>
        <w:rPr>
          <w:rFonts w:ascii="맑은 고딕" w:cs="맑은 고딕" w:eastAsia="맑은 고딕" w:hAnsi="맑은 고딕"/>
          <w:b w:val="false"/>
          <w:bCs w:val="false"/>
          <w:sz w:val="15"/>
          <w:szCs w:val="15"/>
        </w:rPr>
        <w:t xml:space="preserve">        * 외화타점예치금 중 MMDA 外 예치분은 인정되지 않음</w:t>
      </w:r>
    </w:p>
    <w:p>
      <w:pPr>
        <w:spacing w:after="100" w:before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2. 외화여유자금비율 현황</w:t>
      </w:r>
    </w:p>
    <w:p>
      <w:pPr>
        <w:spacing w:after="80" w:before="0"/>
        <w:ind w:left="2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가. 월별 평균 비율</w:t>
      </w:r>
    </w:p>
    <w:tbl>
      <w:tblPr>
        <w:tblW w:type="dxa" w:w="1008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400"/>
        <w:gridCol w:w="2300"/>
        <w:gridCol w:w="2300"/>
        <w:gridCol w:w="1780"/>
      </w:tblGrid>
      <w:tr>
        <w:trPr>
          <w:tblHeader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구분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가용외화여유자금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만기도래차입금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외화여유자금비율</w:t>
            </w:r>
          </w:p>
        </w:tc>
        <w:tc>
          <w:tcPr>
            <w:tcW w:type="dxa" w:w="1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관리목표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25.01월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259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479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54.64%</w:t>
            </w:r>
          </w:p>
        </w:tc>
        <w:tc>
          <w:tcPr>
            <w:tcW w:type="dxa" w:w="1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50%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25.02월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223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446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50.16%</w:t>
            </w:r>
          </w:p>
        </w:tc>
        <w:tc>
          <w:tcPr>
            <w:tcW w:type="dxa" w:w="1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50%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25.03월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293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412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71.69%</w:t>
            </w:r>
          </w:p>
        </w:tc>
        <w:tc>
          <w:tcPr>
            <w:tcW w:type="dxa" w:w="1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50%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25.04월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325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429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76.69%</w:t>
            </w:r>
          </w:p>
        </w:tc>
        <w:tc>
          <w:tcPr>
            <w:tcW w:type="dxa" w:w="1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50%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25.05월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331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419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79.14%</w:t>
            </w:r>
          </w:p>
        </w:tc>
        <w:tc>
          <w:tcPr>
            <w:tcW w:type="dxa" w:w="1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50%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25.06월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263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412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63.65%</w:t>
            </w:r>
          </w:p>
        </w:tc>
        <w:tc>
          <w:tcPr>
            <w:tcW w:type="dxa" w:w="1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50%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25.07월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289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366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79.33%</w:t>
            </w:r>
          </w:p>
        </w:tc>
        <w:tc>
          <w:tcPr>
            <w:tcW w:type="dxa" w:w="1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50%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25.08월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252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415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61.17%</w:t>
            </w:r>
          </w:p>
        </w:tc>
        <w:tc>
          <w:tcPr>
            <w:tcW w:type="dxa" w:w="1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50%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25.09월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267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397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68.00%</w:t>
            </w:r>
          </w:p>
        </w:tc>
        <w:tc>
          <w:tcPr>
            <w:tcW w:type="dxa" w:w="1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50%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25.10월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307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372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82.87%</w:t>
            </w:r>
          </w:p>
        </w:tc>
        <w:tc>
          <w:tcPr>
            <w:tcW w:type="dxa" w:w="1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50%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25.11월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274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354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77.22%</w:t>
            </w:r>
          </w:p>
        </w:tc>
        <w:tc>
          <w:tcPr>
            <w:tcW w:type="dxa" w:w="1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50%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25.12월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287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351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81.78%</w:t>
            </w:r>
          </w:p>
        </w:tc>
        <w:tc>
          <w:tcPr>
            <w:tcW w:type="dxa" w:w="1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50%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26.01월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291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364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79.45%</w:t>
            </w:r>
          </w:p>
        </w:tc>
        <w:tc>
          <w:tcPr>
            <w:tcW w:type="dxa" w:w="1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50%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26.02월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304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348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87.53%</w:t>
            </w:r>
          </w:p>
        </w:tc>
        <w:tc>
          <w:tcPr>
            <w:tcW w:type="dxa" w:w="1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50%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26.03월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301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403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74.67%</w:t>
            </w:r>
          </w:p>
        </w:tc>
        <w:tc>
          <w:tcPr>
            <w:tcW w:type="dxa" w:w="1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50%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26.04월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236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377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62.53%</w:t>
            </w:r>
          </w:p>
        </w:tc>
        <w:tc>
          <w:tcPr>
            <w:tcW w:type="dxa" w:w="1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50%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26.05월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251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358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70.30%</w:t>
            </w:r>
          </w:p>
        </w:tc>
        <w:tc>
          <w:tcPr>
            <w:tcW w:type="dxa" w:w="1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60%</w:t>
            </w:r>
          </w:p>
        </w:tc>
      </w:tr>
    </w:tbl>
    <w:p>
      <w:pPr>
        <w:spacing w:after="200" w:before="0"/>
      </w:pPr>
      <w:r>
        <w:rPr>
          <w:rFonts w:ascii="맑은 고딕" w:cs="맑은 고딕" w:eastAsia="맑은 고딕" w:hAnsi="맑은 고딕"/>
          <w:b w:val="false"/>
          <w:bCs w:val="false"/>
          <w:sz w:val="14"/>
          <w:szCs w:val="14"/>
        </w:rPr>
        <w:t xml:space="preserve">* 관리목표 : '25.1월~'26.4월 50%, '26.5월부터 권고비율 60%로 상향 관리</w:t>
      </w:r>
    </w:p>
    <w:p>
      <w:pPr>
        <w:spacing w:after="100" w:before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3. 외화여유자금비율(5월)</w:t>
      </w:r>
    </w:p>
    <w:p>
      <w:pPr>
        <w:spacing w:after="60" w:before="0"/>
        <w:ind w:left="2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가. 5월 일별 비율 추이 (영업일 18일, 월 평균 70.30%)</w:t>
      </w:r>
    </w:p>
    <w:p>
      <w:pPr>
        <w:spacing w:after="100" w:before="0"/>
        <w:ind w:left="40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☞ 권고비율(60%) 미만 2회 : 5.27일 49.73%, 5.28일 54.08%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dashed" w:color="C00000" w:sz="6"/>
              <w:left w:val="dashed" w:color="C00000" w:sz="6"/>
              <w:bottom w:val="dashed" w:color="C00000" w:sz="6"/>
              <w:right w:val="dashed" w:color="C00000" w:sz="6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00000"/>
                <w:sz w:val="16"/>
                <w:szCs w:val="16"/>
              </w:rPr>
              <w:t xml:space="preserve">[원본 문서의 '5월 일별 비율 추이' 그래프를 여기에 복사해 넣으세요]</w:t>
            </w:r>
          </w:p>
        </w:tc>
      </w:tr>
    </w:tbl>
    <w:p>
      <w:pPr>
        <w:spacing w:after="60" w:before="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/>
      </w:r>
    </w:p>
    <w:p>
      <w:pPr>
        <w:spacing w:after="80" w:before="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[참고] 5월 일별 순콜론·여유자금MMDA 운용 현황</w:t>
      </w:r>
      <w:r>
        <w:rPr>
          <w:rFonts w:ascii="맑은 고딕" w:cs="맑은 고딕" w:eastAsia="맑은 고딕" w:hAnsi="맑은 고딕"/>
          <w:b w:val="false"/>
          <w:bCs w:val="false"/>
          <w:sz w:val="15"/>
          <w:szCs w:val="15"/>
        </w:rPr>
        <w:t xml:space="preserve">              (단위 : 백만불)</w:t>
      </w:r>
    </w:p>
    <w:tbl>
      <w:tblPr>
        <w:tblW w:type="dxa" w:w="1008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900"/>
        <w:gridCol w:w="2900"/>
        <w:gridCol w:w="2880"/>
      </w:tblGrid>
      <w:tr>
        <w:trPr>
          <w:tblHeader/>
        </w:trP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일자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순콜론(본점+해외)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여유자금MMDA</w:t>
            </w:r>
          </w:p>
        </w:tc>
        <w:tc>
          <w:tcPr>
            <w:tcW w:type="dxa" w:w="2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합산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05.04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△71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72</w:t>
            </w:r>
          </w:p>
        </w:tc>
        <w:tc>
          <w:tcPr>
            <w:tcW w:type="dxa" w:w="2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05.06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△72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71</w:t>
            </w:r>
          </w:p>
        </w:tc>
        <w:tc>
          <w:tcPr>
            <w:tcW w:type="dxa" w:w="2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△1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05.07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△35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29</w:t>
            </w:r>
          </w:p>
        </w:tc>
        <w:tc>
          <w:tcPr>
            <w:tcW w:type="dxa" w:w="2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△6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05.08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△12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56</w:t>
            </w:r>
          </w:p>
        </w:tc>
        <w:tc>
          <w:tcPr>
            <w:tcW w:type="dxa" w:w="2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44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05.11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△1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26</w:t>
            </w:r>
          </w:p>
        </w:tc>
        <w:tc>
          <w:tcPr>
            <w:tcW w:type="dxa" w:w="2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25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05.12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△11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38</w:t>
            </w:r>
          </w:p>
        </w:tc>
        <w:tc>
          <w:tcPr>
            <w:tcW w:type="dxa" w:w="2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27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05.13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△21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46</w:t>
            </w:r>
          </w:p>
        </w:tc>
        <w:tc>
          <w:tcPr>
            <w:tcW w:type="dxa" w:w="2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25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05.14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70</w:t>
            </w:r>
          </w:p>
        </w:tc>
        <w:tc>
          <w:tcPr>
            <w:tcW w:type="dxa" w:w="2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70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05.15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49</w:t>
            </w:r>
          </w:p>
        </w:tc>
        <w:tc>
          <w:tcPr>
            <w:tcW w:type="dxa" w:w="2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49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05.18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4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40</w:t>
            </w:r>
          </w:p>
        </w:tc>
        <w:tc>
          <w:tcPr>
            <w:tcW w:type="dxa" w:w="2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44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05.19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4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2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34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05.20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△35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42</w:t>
            </w:r>
          </w:p>
        </w:tc>
        <w:tc>
          <w:tcPr>
            <w:tcW w:type="dxa" w:w="2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7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05.21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62</w:t>
            </w:r>
          </w:p>
        </w:tc>
        <w:tc>
          <w:tcPr>
            <w:tcW w:type="dxa" w:w="2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63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05.22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45</w:t>
            </w:r>
          </w:p>
        </w:tc>
        <w:tc>
          <w:tcPr>
            <w:tcW w:type="dxa" w:w="2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48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05.26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△11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49</w:t>
            </w:r>
          </w:p>
        </w:tc>
        <w:tc>
          <w:tcPr>
            <w:tcW w:type="dxa" w:w="2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38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05.27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△76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W w:type="dxa" w:w="2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△54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05.28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△106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59</w:t>
            </w:r>
          </w:p>
        </w:tc>
        <w:tc>
          <w:tcPr>
            <w:tcW w:type="dxa" w:w="2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△47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05.29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△73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95</w:t>
            </w:r>
          </w:p>
        </w:tc>
        <w:tc>
          <w:tcPr>
            <w:tcW w:type="dxa" w:w="2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22</w:t>
            </w:r>
          </w:p>
        </w:tc>
      </w:tr>
    </w:tbl>
    <w:p>
      <w:pPr>
        <w:spacing w:after="120" w:before="60"/>
      </w:pPr>
      <w:r>
        <w:rPr>
          <w:rFonts w:ascii="맑은 고딕" w:cs="맑은 고딕" w:eastAsia="맑은 고딕" w:hAnsi="맑은 고딕"/>
          <w:b w:val="false"/>
          <w:bCs w:val="false"/>
          <w:sz w:val="14"/>
          <w:szCs w:val="14"/>
        </w:rPr>
        <w:t xml:space="preserve">* 권고비율(60%) 충족을 위한 순콜론+MMDA 합산 최저수준은 5월 일평균 △14.5백만불이며, 일별 산출 내역은 [부록] 참조</w:t>
      </w:r>
    </w:p>
    <w:p>
      <w:pPr>
        <w:spacing w:after="80" w:before="120"/>
        <w:ind w:left="2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나. 권고비율 미만 발생 사유</w:t>
      </w:r>
    </w:p>
    <w:p>
      <w:pPr>
        <w:spacing w:after="80" w:before="0"/>
        <w:ind w:left="3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- (사유) 5.27~5.28일 여유자금(순콜론+MMDA)이 각각 △54백만불·△47백만불로 5월 중 최저 수준</w:t>
      </w:r>
    </w:p>
    <w:p>
      <w:pPr>
        <w:spacing w:after="200" w:before="0"/>
        <w:ind w:left="5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· 당발송금·타발송금 및 FX 거래 자금 유출입을 합한 금액의 유출이 커짐에 따라 순콜론·MMDA 자금의 마이너스 폭이 확대되고, 이에 따라 여유자금이 감소하여 외화여유자금비율이 권고비율(60%)을 하회</w:t>
      </w:r>
    </w:p>
    <w:p>
      <w:pPr>
        <w:spacing w:after="80" w:before="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[참고] 5월 일별 자금유출입 현황</w:t>
      </w:r>
      <w:r>
        <w:rPr>
          <w:rFonts w:ascii="맑은 고딕" w:cs="맑은 고딕" w:eastAsia="맑은 고딕" w:hAnsi="맑은 고딕"/>
          <w:b w:val="false"/>
          <w:bCs w:val="false"/>
          <w:sz w:val="15"/>
          <w:szCs w:val="15"/>
        </w:rPr>
        <w:t xml:space="preserve">              (단위 : 백만불)</w:t>
      </w:r>
    </w:p>
    <w:tbl>
      <w:tblPr>
        <w:tblW w:type="dxa" w:w="9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1280"/>
        <w:gridCol w:w="1230"/>
        <w:gridCol w:w="1230"/>
        <w:gridCol w:w="1300"/>
        <w:gridCol w:w="1050"/>
        <w:gridCol w:w="1260"/>
        <w:gridCol w:w="1500"/>
      </w:tblGrid>
      <w:tr>
        <w:trPr>
          <w:tblHeader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일자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전일자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마감액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당발송금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(-)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타발송금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(+)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FX거래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자금유출입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콜머니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(+)</w:t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당일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마감액</w:t>
            </w:r>
          </w:p>
        </w:tc>
        <w:tc>
          <w:tcPr>
            <w:tcW w:type="dxa" w:w="1500"/>
            <w:tcBorders>
              <w:top w:val="single" w:color="000000" w:sz="18"/>
              <w:left w:val="single" w:color="000000" w:sz="18"/>
              <w:bottom w:val="single" w:color="000000" w:sz="4"/>
              <w:right w:val="single" w:color="000000" w:sz="18"/>
            </w:tcBorders>
            <w:shd w:fill="BDD7E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콜머니제외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마감액</w:t>
            </w:r>
          </w:p>
        </w:tc>
      </w:tr>
      <w:t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05.04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60.98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8.21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18.13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-15.04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55.86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18"/>
              <w:bottom w:val="single" w:color="000000" w:sz="4"/>
              <w:right w:val="single" w:color="000000" w:sz="18"/>
            </w:tcBorders>
            <w:shd w:fill="EAF1F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55.86</w:t>
            </w:r>
          </w:p>
        </w:tc>
      </w:tr>
      <w:t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05.06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55.86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24.81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28.15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-1.69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57.51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18"/>
              <w:bottom w:val="single" w:color="000000" w:sz="4"/>
              <w:right w:val="single" w:color="000000" w:sz="18"/>
            </w:tcBorders>
            <w:shd w:fill="EAF1F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57.51</w:t>
            </w:r>
          </w:p>
        </w:tc>
      </w:tr>
      <w:t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05.07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57.51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29.03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27.93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-39.55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10.00</w:t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26.86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18"/>
              <w:bottom w:val="single" w:color="000000" w:sz="4"/>
              <w:right w:val="single" w:color="000000" w:sz="18"/>
            </w:tcBorders>
            <w:shd w:fill="EAF1F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16.86</w:t>
            </w:r>
          </w:p>
        </w:tc>
      </w:tr>
      <w:t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05.08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26.86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15.10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24.52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11.24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47.52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18"/>
              <w:bottom w:val="single" w:color="000000" w:sz="4"/>
              <w:right w:val="single" w:color="000000" w:sz="18"/>
            </w:tcBorders>
            <w:shd w:fill="EAF1F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47.52</w:t>
            </w:r>
          </w:p>
        </w:tc>
      </w:tr>
      <w:t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05.11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47.52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14.70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16.65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-31.86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17.61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18"/>
              <w:bottom w:val="single" w:color="000000" w:sz="4"/>
              <w:right w:val="single" w:color="000000" w:sz="18"/>
            </w:tcBorders>
            <w:shd w:fill="EAF1F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17.61</w:t>
            </w:r>
          </w:p>
        </w:tc>
      </w:tr>
      <w:t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05.12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17.61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17.59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24.55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-5.52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10.00</w:t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29.05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18"/>
              <w:bottom w:val="single" w:color="000000" w:sz="4"/>
              <w:right w:val="single" w:color="000000" w:sz="18"/>
            </w:tcBorders>
            <w:shd w:fill="EAF1F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19.05</w:t>
            </w:r>
          </w:p>
        </w:tc>
      </w:tr>
      <w:t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05.13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29.05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10.21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13.90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-15.16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20.00</w:t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37.58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18"/>
              <w:bottom w:val="single" w:color="000000" w:sz="4"/>
              <w:right w:val="single" w:color="000000" w:sz="18"/>
            </w:tcBorders>
            <w:shd w:fill="EAF1F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17.58</w:t>
            </w:r>
          </w:p>
        </w:tc>
      </w:tr>
      <w:t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05.14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37.58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15.48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51.75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-12.40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61.45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18"/>
              <w:bottom w:val="single" w:color="000000" w:sz="4"/>
              <w:right w:val="single" w:color="000000" w:sz="18"/>
            </w:tcBorders>
            <w:shd w:fill="EAF1F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61.45</w:t>
            </w:r>
          </w:p>
        </w:tc>
      </w:tr>
      <w:t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05.15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61.45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32.65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46.10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-34.18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40.72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18"/>
              <w:bottom w:val="single" w:color="000000" w:sz="4"/>
              <w:right w:val="single" w:color="000000" w:sz="18"/>
            </w:tcBorders>
            <w:shd w:fill="EAF1F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40.72</w:t>
            </w:r>
          </w:p>
        </w:tc>
      </w:tr>
      <w:t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05.18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40.72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27.31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25.13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-2.65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35.89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18"/>
              <w:bottom w:val="single" w:color="000000" w:sz="4"/>
              <w:right w:val="single" w:color="000000" w:sz="18"/>
            </w:tcBorders>
            <w:shd w:fill="EAF1F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35.89</w:t>
            </w:r>
          </w:p>
        </w:tc>
      </w:tr>
      <w:t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05.19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35.89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29.17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16.44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-2.35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20.81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18"/>
              <w:bottom w:val="single" w:color="000000" w:sz="4"/>
              <w:right w:val="single" w:color="000000" w:sz="18"/>
            </w:tcBorders>
            <w:shd w:fill="EAF1F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20.81</w:t>
            </w:r>
          </w:p>
        </w:tc>
      </w:tr>
      <w:t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05.20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20.81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23.14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20.77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-24.82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40.00</w:t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33.62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18"/>
              <w:bottom w:val="single" w:color="000000" w:sz="4"/>
              <w:right w:val="single" w:color="000000" w:sz="18"/>
            </w:tcBorders>
            <w:shd w:fill="EAF1F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-6.38</w:t>
            </w:r>
          </w:p>
        </w:tc>
      </w:tr>
      <w:t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05.21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33.62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11.84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40.43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-9.06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53.15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18"/>
              <w:bottom w:val="single" w:color="000000" w:sz="4"/>
              <w:right w:val="single" w:color="000000" w:sz="18"/>
            </w:tcBorders>
            <w:shd w:fill="EAF1F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53.15</w:t>
            </w:r>
          </w:p>
        </w:tc>
      </w:tr>
      <w:t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05.22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53.15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29.18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120.41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-107.72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36.66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18"/>
              <w:bottom w:val="single" w:color="000000" w:sz="4"/>
              <w:right w:val="single" w:color="000000" w:sz="18"/>
            </w:tcBorders>
            <w:shd w:fill="EAF1F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36.66</w:t>
            </w:r>
          </w:p>
        </w:tc>
      </w:tr>
      <w:t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05.26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36.66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108.24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37.70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77.59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43.71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18"/>
              <w:bottom w:val="single" w:color="000000" w:sz="4"/>
              <w:right w:val="single" w:color="000000" w:sz="18"/>
            </w:tcBorders>
            <w:shd w:fill="EAF1F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43.71</w:t>
            </w:r>
          </w:p>
        </w:tc>
      </w:tr>
      <w:t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05.27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43.71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119.08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42.60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-10.19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60.00</w:t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17.04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18"/>
              <w:bottom w:val="single" w:color="000000" w:sz="4"/>
              <w:right w:val="single" w:color="000000" w:sz="18"/>
            </w:tcBorders>
            <w:shd w:fill="EAF1F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-42.96</w:t>
            </w:r>
          </w:p>
        </w:tc>
      </w:tr>
      <w:t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05.28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17.04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63.70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8.30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2.71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90.00</w:t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54.35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18"/>
              <w:bottom w:val="single" w:color="000000" w:sz="4"/>
              <w:right w:val="single" w:color="000000" w:sz="18"/>
            </w:tcBorders>
            <w:shd w:fill="EAF1F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-35.65</w:t>
            </w:r>
          </w:p>
        </w:tc>
      </w:tr>
      <w:t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05.29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54.35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40.66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57.45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18.51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89.65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18"/>
              <w:bottom w:val="single" w:color="000000" w:sz="4"/>
              <w:right w:val="single" w:color="000000" w:sz="18"/>
            </w:tcBorders>
            <w:shd w:fill="EAF1F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89.65</w:t>
            </w:r>
          </w:p>
        </w:tc>
      </w:tr>
      <w:t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합계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730.37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620.10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620.91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-202.14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230.00</w:t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759.04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18"/>
              <w:bottom w:val="single" w:color="000000" w:sz="18"/>
              <w:right w:val="single" w:color="000000" w:sz="18"/>
            </w:tcBorders>
            <w:shd w:fill="BDD7E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529.04</w:t>
            </w:r>
          </w:p>
        </w:tc>
      </w:tr>
    </w:tbl>
    <w:p>
      <w:pPr>
        <w:spacing w:after="20" w:before="0"/>
      </w:pPr>
      <w:r>
        <w:rPr>
          <w:rFonts w:ascii="맑은 고딕" w:cs="맑은 고딕" w:eastAsia="맑은 고딕" w:hAnsi="맑은 고딕"/>
          <w:b w:val="false"/>
          <w:bCs w:val="false"/>
          <w:sz w:val="14"/>
          <w:szCs w:val="14"/>
        </w:rPr>
        <w:t xml:space="preserve">* 당발·타발송금은 고객 거래에 따라 예측이 불가능한 금액이며, FX거래 자금유출입은 당일 마감액에서 전일자 마감액·당발·타발송금·콜머니를 가감하여 산출(= 당일 − 전일 + 당발 − 타발 − 콜머니)</w:t>
      </w:r>
    </w:p>
    <w:p>
      <w:pPr>
        <w:spacing w:after="200" w:before="0"/>
      </w:pPr>
      <w:r>
        <w:rPr>
          <w:rFonts w:ascii="맑은 고딕" w:cs="맑은 고딕" w:eastAsia="맑은 고딕" w:hAnsi="맑은 고딕"/>
          <w:b w:val="false"/>
          <w:bCs w:val="false"/>
          <w:sz w:val="14"/>
          <w:szCs w:val="14"/>
        </w:rPr>
        <w:t xml:space="preserve">* 콜머니제외 마감액 = 당일 마감액 − 콜머니, 트레이딩부서가 지속 모니터링하여 예측(관리) 가능</w:t>
      </w:r>
    </w:p>
    <w:p>
      <w:pPr>
        <w:spacing w:after="80" w:before="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[참고] 5월말 기준 만기도래 차입금 현황 (단위 : 백만불)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dashed" w:color="C00000" w:sz="6"/>
              <w:left w:val="dashed" w:color="C00000" w:sz="6"/>
              <w:bottom w:val="dashed" w:color="C00000" w:sz="6"/>
              <w:right w:val="dashed" w:color="C00000" w:sz="6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00000"/>
                <w:sz w:val="16"/>
                <w:szCs w:val="16"/>
              </w:rPr>
              <w:t xml:space="preserve">[원본 문서의 '만기도래 차입금 현황' 표를 여기에 복사해 넣으세요]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/>
      </w:r>
    </w:p>
    <w:p>
      <w:pPr>
        <w:spacing w:after="100" w:before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4. 관리방안</w:t>
      </w:r>
    </w:p>
    <w:p>
      <w:pPr>
        <w:spacing w:after="80" w:before="0"/>
        <w:ind w:left="2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가. 당발송금·타발송금 및 FX 결제금액을 모니터링하여 여유자금(순콜론·MMDA)이 0 이상이 되도록 관리</w:t>
      </w:r>
    </w:p>
    <w:p>
      <w:pPr>
        <w:spacing w:after="120" w:before="0"/>
        <w:ind w:left="3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- 거액의 당발·타발송금은 운용부서와의 사전 소통을 통해 미리 인지가 가능하고, FX 결제금액은 하루 전에 익일 결제금액을 예측할 수 있으므로, 자금부는 이를 종합한 일일 자금수지 전망을 토대로 당일 여유자금을 사전 관리</w:t>
      </w:r>
    </w:p>
    <w:p>
      <w:pPr>
        <w:spacing w:after="80" w:before="0"/>
        <w:ind w:left="2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나. 당일 여유자금(순콜론+MMDA)이 0 미만으로 예상되는 경우 부족분만큼 커버거래(FX 자금유입) 실시</w:t>
      </w:r>
    </w:p>
    <w:p>
      <w:pPr>
        <w:spacing w:after="60" w:before="0"/>
        <w:ind w:left="3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- (효과) 여유자금이 0이 되도록 5.27일 +54백만불·5.28일 +47백만불 커버거래 시, 가용외화여유자금이 동액 증가하여 외화여유자금비율이 권고비율(60%)을 상회</w:t>
      </w:r>
    </w:p>
    <w:p>
      <w:pPr>
        <w:spacing w:after="40" w:before="0"/>
        <w:ind w:left="50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· 여유자금(순콜론+MMDA) : 5.27일 △54 → 0백만불, 5.28일 △47 → 0백만불</w:t>
      </w:r>
    </w:p>
    <w:p>
      <w:pPr>
        <w:spacing w:after="80" w:before="0"/>
        <w:ind w:left="50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· 외화여유자금비율 : 5.27일 49.73% → 64.3%, 5.28일 54.08% → 67.3%</w:t>
      </w:r>
    </w:p>
    <w:p>
      <w:pPr>
        <w:spacing w:after="60"/>
        <w:jc w:val="center"/>
      </w:pPr>
      <w:r>
        <w:drawing>
          <wp:inline distT="0" distB="0" distL="0" distR="0">
            <wp:extent cx="5715000" cy="1943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ind w:left="300"/>
      </w:pPr>
      <w:r>
        <w:rPr>
          <w:rFonts w:ascii="맑은 고딕" w:cs="맑은 고딕" w:eastAsia="맑은 고딕" w:hAnsi="맑은 고딕"/>
          <w:b w:val="false"/>
          <w:bCs w:val="false"/>
          <w:sz w:val="15"/>
          <w:szCs w:val="15"/>
        </w:rPr>
        <w:t xml:space="preserve">* 비율 효과 산출 : (가용외화여유자금 + 커버금액) ÷ 당일 만기도래차입금 → 5.27일 (184+54)/370 = 64.3%, 5.28일 (192+47)/355 = 67.3%</w:t>
      </w:r>
    </w:p>
    <w:p>
      <w:pPr>
        <w:spacing w:after="100" w:before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[부록] 기타 외화유동성 지표 현황 ('26.1월 ~ 5월)</w:t>
      </w:r>
    </w:p>
    <w:p>
      <w:pPr>
        <w:spacing w:after="80" w:before="0"/>
        <w:ind w:left="2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가. 외화 LCR : 기간 평균 185.24%로 감독원 기준(80%)을 지속 상회</w:t>
      </w:r>
    </w:p>
    <w:p>
      <w:pPr>
        <w:spacing w:after="160" w:before="0"/>
        <w:ind w:left="2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나. 중장기외화자금 조달비율 : 기간 평균 180.04%로 감독원 기준(100%)을 지속 상회</w:t>
      </w:r>
    </w:p>
    <w:p>
      <w:pPr>
        <w:spacing w:after="80" w:before="0"/>
        <w:ind w:left="20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다. 권고비율(60%) 충족 기준 순콜론+MMDA 수준 : 5월 일평균 △14.5백만불</w:t>
      </w:r>
    </w:p>
    <w:p>
      <w:pPr>
        <w:spacing w:after="80" w:before="0"/>
        <w:ind w:left="20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[참고] 5월 일별 권고비율(60%) 충족 기준 순콜론+MMDA 수준</w:t>
      </w:r>
      <w:r>
        <w:rPr>
          <w:rFonts w:ascii="맑은 고딕" w:cs="맑은 고딕" w:eastAsia="맑은 고딕" w:hAnsi="맑은 고딕"/>
          <w:b w:val="false"/>
          <w:bCs w:val="false"/>
          <w:sz w:val="15"/>
          <w:szCs w:val="15"/>
        </w:rPr>
        <w:t xml:space="preserve">              (단위 : 백만불)</w:t>
      </w:r>
    </w:p>
    <w:tbl>
      <w:tblPr>
        <w:tblW w:type="dxa" w:w="1008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750"/>
        <w:gridCol w:w="1750"/>
        <w:gridCol w:w="1750"/>
        <w:gridCol w:w="1850"/>
        <w:gridCol w:w="1880"/>
      </w:tblGrid>
      <w:tr>
        <w:trPr>
          <w:tblHeader/>
          <w:trHeight w:val="620" w:hRule="atLeast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일자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만기도래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차입금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가용외화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여유자금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외화여유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자금비율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순콜론+MMDA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(실제)</w:t>
            </w:r>
          </w:p>
        </w:tc>
        <w:tc>
          <w:tcPr>
            <w:tcW w:type="dxa" w:w="1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60% 충족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순콜론+MMDA(이상)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05.04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385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233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60.5%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△1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05.06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381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231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60.6%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△1</w:t>
            </w:r>
          </w:p>
        </w:tc>
        <w:tc>
          <w:tcPr>
            <w:tcW w:type="dxa" w:w="1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△3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05.07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360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227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63.1%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△6</w:t>
            </w:r>
          </w:p>
        </w:tc>
        <w:tc>
          <w:tcPr>
            <w:tcW w:type="dxa" w:w="1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△17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05.08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356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271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76.1%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44</w:t>
            </w:r>
          </w:p>
        </w:tc>
        <w:tc>
          <w:tcPr>
            <w:tcW w:type="dxa" w:w="1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△13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05.11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374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254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67.9%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25</w:t>
            </w:r>
          </w:p>
        </w:tc>
        <w:tc>
          <w:tcPr>
            <w:tcW w:type="dxa" w:w="1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△5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05.12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336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256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76.2%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27</w:t>
            </w:r>
          </w:p>
        </w:tc>
        <w:tc>
          <w:tcPr>
            <w:tcW w:type="dxa" w:w="1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△27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05.13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341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254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74.5%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25</w:t>
            </w:r>
          </w:p>
        </w:tc>
        <w:tc>
          <w:tcPr>
            <w:tcW w:type="dxa" w:w="1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△24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05.14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343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294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85.7%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70</w:t>
            </w:r>
          </w:p>
        </w:tc>
        <w:tc>
          <w:tcPr>
            <w:tcW w:type="dxa" w:w="1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△18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05.15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343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275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80.2%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49</w:t>
            </w:r>
          </w:p>
        </w:tc>
        <w:tc>
          <w:tcPr>
            <w:tcW w:type="dxa" w:w="1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△20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05.18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357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271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75.9%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44</w:t>
            </w:r>
          </w:p>
        </w:tc>
        <w:tc>
          <w:tcPr>
            <w:tcW w:type="dxa" w:w="1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△13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05.19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355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262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73.8%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34</w:t>
            </w:r>
          </w:p>
        </w:tc>
        <w:tc>
          <w:tcPr>
            <w:tcW w:type="dxa" w:w="1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△15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05.20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354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238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67.2%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7</w:t>
            </w:r>
          </w:p>
        </w:tc>
        <w:tc>
          <w:tcPr>
            <w:tcW w:type="dxa" w:w="1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△19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05.21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355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287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80.8%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63</w:t>
            </w:r>
          </w:p>
        </w:tc>
        <w:tc>
          <w:tcPr>
            <w:tcW w:type="dxa" w:w="1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△11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05.22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361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275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76.2%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48</w:t>
            </w:r>
          </w:p>
        </w:tc>
        <w:tc>
          <w:tcPr>
            <w:tcW w:type="dxa" w:w="1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△10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05.26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365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266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72.9%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38</w:t>
            </w:r>
          </w:p>
        </w:tc>
        <w:tc>
          <w:tcPr>
            <w:tcW w:type="dxa" w:w="1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△9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05.27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370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184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49.7%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△54</w:t>
            </w:r>
          </w:p>
        </w:tc>
        <w:tc>
          <w:tcPr>
            <w:tcW w:type="dxa" w:w="1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△16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05.28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355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192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54.1%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△47</w:t>
            </w:r>
          </w:p>
        </w:tc>
        <w:tc>
          <w:tcPr>
            <w:tcW w:type="dxa" w:w="1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△26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05.29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360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252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70.0%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22</w:t>
            </w:r>
          </w:p>
        </w:tc>
        <w:tc>
          <w:tcPr>
            <w:tcW w:type="dxa" w:w="1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△14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평균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358.4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251.2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70.30%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21.6</w:t>
            </w:r>
          </w:p>
        </w:tc>
        <w:tc>
          <w:tcPr>
            <w:tcW w:type="dxa" w:w="1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△14.5</w:t>
            </w:r>
          </w:p>
        </w:tc>
      </w:tr>
    </w:tbl>
    <w:p>
      <w:pPr>
        <w:spacing w:after="160" w:before="60"/>
      </w:pPr>
      <w:r>
        <w:rPr>
          <w:rFonts w:ascii="맑은 고딕" w:cs="맑은 고딕" w:eastAsia="맑은 고딕" w:hAnsi="맑은 고딕"/>
          <w:b w:val="false"/>
          <w:bCs w:val="false"/>
          <w:sz w:val="14"/>
          <w:szCs w:val="14"/>
        </w:rPr>
        <w:t xml:space="preserve">* 60% 충족 순콜론+MMDA(이상) = 권고비율(60%) × 만기도래차입금에 상응하는 가용외화여유자금을 확보하기 위해 필요한 순콜론+MMDA 합산의 최저수준 (이 수준 이상 유지 시 외화여유자금비율 60% 충족)</w:t>
      </w:r>
    </w:p>
    <w:p>
      <w:pPr>
        <w:spacing w:after="80" w:before="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끝.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3c61820dd77acff4550bc7c3e9e59fe7f10887a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2026-06-10T04:42:52.501Z</dcterms:created>
  <dcterms:modified xsi:type="dcterms:W3CDTF">2026-06-10T04:42:52.501Z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