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30"/>
                <w:szCs w:val="30"/>
              </w:rPr>
              <w:t xml:space="preserve">외화여유자금비율 현황 및 관리방안</w:t>
            </w:r>
          </w:p>
        </w:tc>
      </w:tr>
      <w:tr>
        <w:tc>
          <w:tcPr>
            <w:tcW w:type="dxa" w:w="10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(2025.03.20) iM뱅크 자금부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/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개요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외화여유자금비율 = 가용외화여유자금 / 3개월 내 만기도래 차입금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나. 가용외화여유자금 = 여유자금 * (1-헤어컷) + 국공채 + 커미티드라인 미사용 잔액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다. 여유자금 = 순콜론 잔액 + 여유자금MMDA예치분* + FX스왑 순운용 잔액</w:t>
      </w:r>
    </w:p>
    <w:p>
      <w:pPr>
        <w:spacing w:after="16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5"/>
          <w:szCs w:val="15"/>
        </w:rPr>
        <w:t xml:space="preserve">        * 외화타점예치금 중 MMDA 外 예치분은 인정되지 않음</w:t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외화여유자금비율 현황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월별 평균 비율</w:t>
      </w:r>
    </w:p>
    <w:tbl>
      <w:tblPr>
        <w:tblW w:type="dxa" w:w="100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300"/>
        <w:gridCol w:w="2200"/>
        <w:gridCol w:w="2200"/>
        <w:gridCol w:w="2080"/>
      </w:tblGrid>
      <w:tr>
        <w:trPr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구분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가용외화여유자금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만기도래차입금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외화여유자금비율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최저 5영업일 평균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25.01월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259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479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54.64%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33.03%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25.02월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223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446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50.16%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35.11%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25.03월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412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71.69%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59.48%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25.04월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325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429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76.69%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55.41%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25.05월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331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419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79.14%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59.21%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25.06월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412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63.65%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48.54%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25.07월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289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366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79.33%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62.93%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25.08월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415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61.17%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49.56%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25.09월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397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68.00%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52.17%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25.10월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307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372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82.87%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73.68%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25.11월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274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77.22%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64.63%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25.12월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287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81.78%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65.96%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26.01월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364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79.45%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61.80%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26.02월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304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348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87.53%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70.50%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26.03월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301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74.67%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65.69%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26.04월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236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377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62.53%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55.76%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26.05월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358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70.30%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57.60%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'25.6월 최저 5영업일 평균 48.54% : ('25.3월~현재) 관리방안 마련 후 최저비율 50%를 초과하도록 관리 중</w:t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 외화여유자금비율(5월)</w:t>
      </w:r>
    </w:p>
    <w:p>
      <w:pPr>
        <w:spacing w:after="6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5월 일별 비율 추이 (영업일 18일, 월 평균 70.30%)</w:t>
      </w:r>
    </w:p>
    <w:p>
      <w:pPr>
        <w:spacing w:after="100" w:before="0"/>
        <w:ind w:left="4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☞ 권고비율(60%) 미만 2회 : 5.27일 49.73%, 5.28일 54.08%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dashed" w:color="C00000" w:sz="6"/>
              <w:left w:val="dashed" w:color="C00000" w:sz="6"/>
              <w:bottom w:val="dashed" w:color="C00000" w:sz="6"/>
              <w:right w:val="dashed" w:color="C00000" w:sz="6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6"/>
                <w:szCs w:val="16"/>
              </w:rPr>
              <w:t xml:space="preserve">[원본 문서의 '5월 일별 비율 추이' 그래프를 여기에 복사해 넣으세요]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/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- 일별 콜머니제외 자금마감금액 현황 (단위 : 백만불)</w:t>
      </w:r>
    </w:p>
    <w:p>
      <w:pPr>
        <w:spacing w:after="60"/>
        <w:jc w:val="center"/>
      </w:pPr>
      <w:r>
        <w:drawing>
          <wp:inline distT="0" distB="0" distL="0" distR="0">
            <wp:extent cx="571500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2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나. 권고비율 미만 발생 사유</w:t>
      </w:r>
    </w:p>
    <w:p>
      <w:pPr>
        <w:spacing w:after="80" w:before="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- (사유) 5.27~5.28일은 당발·타발송금 및 FX 거래 자금 유출입을 감안한 당일 마감잔액에서 콜머니 차입분을 제외한 콜머니제외 마감액이 각각 △42.96백만불·△35.65백만불로 5월 중 최저 수준</w:t>
      </w:r>
    </w:p>
    <w:p>
      <w:pPr>
        <w:spacing w:after="200" w:before="0"/>
        <w:ind w:left="5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· 평균치를 초과하는 예측 불가한 당발송금의 유출 확대 등으로 당일 마감잔액이 부족해지고, 콜머니 차입을 제외하면 실제 운용 가능한 여유자금(콜론, MMDA 운용가능자금)이 마이너스로 전환되어 외화여유자금비율이 권고비율(60%)을 하회</w:t>
      </w:r>
    </w:p>
    <w:p>
      <w:pPr>
        <w:spacing w:after="80" w:before="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[참고] 5월 일별 자금유출입 현황</w:t>
      </w:r>
      <w:r>
        <w:rPr>
          <w:rFonts w:ascii="맑은 고딕" w:cs="맑은 고딕" w:eastAsia="맑은 고딕" w:hAnsi="맑은 고딕"/>
          <w:b w:val="false"/>
          <w:bCs w:val="false"/>
          <w:sz w:val="15"/>
          <w:szCs w:val="15"/>
        </w:rPr>
        <w:t xml:space="preserve">              (단위 : 백만불)</w:t>
      </w:r>
    </w:p>
    <w:tbl>
      <w:tblPr>
        <w:tblW w:type="dxa" w:w="9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280"/>
        <w:gridCol w:w="1230"/>
        <w:gridCol w:w="1230"/>
        <w:gridCol w:w="1300"/>
        <w:gridCol w:w="1050"/>
        <w:gridCol w:w="1260"/>
        <w:gridCol w:w="1500"/>
      </w:tblGrid>
      <w:tr>
        <w:trPr>
          <w:tblHeader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일자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전일자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마감액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당발송금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(-)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타발송금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(+)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FX거래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자금유출입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콜머니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(+)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당일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마감액</w:t>
            </w:r>
          </w:p>
        </w:tc>
        <w:tc>
          <w:tcPr>
            <w:tcW w:type="dxa" w:w="1500"/>
            <w:tcBorders>
              <w:top w:val="single" w:color="000000" w:sz="18"/>
              <w:left w:val="single" w:color="000000" w:sz="18"/>
              <w:bottom w:val="single" w:color="000000" w:sz="4"/>
              <w:right w:val="single" w:color="000000" w:sz="18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콜머니제외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마감액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05.04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60.98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8.21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18.13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-15.04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55.86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55.86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05.06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55.86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24.81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28.15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-1.69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57.51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57.51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05.07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57.51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29.03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27.93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-39.55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26.86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16.86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05.08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26.86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15.10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24.52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11.24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47.52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47.52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05.11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47.52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14.70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16.65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-31.86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17.61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17.61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05.12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17.61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17.59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24.55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-5.52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29.05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19.05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05.13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29.05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10.21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13.90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-15.16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37.58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17.58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05.14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37.58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15.48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51.75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-12.40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61.45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61.45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05.15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61.45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32.65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46.10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-34.18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40.72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40.72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05.18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40.72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27.31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25.13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-2.65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35.89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35.89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05.19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35.89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29.17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16.44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-2.35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20.81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20.81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05.20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20.81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23.14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20.77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-24.82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33.62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-6.38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05.21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33.62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11.84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40.43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-9.06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53.15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53.15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05.22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53.15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29.18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120.41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-107.72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36.66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36.66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05.26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36.66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108.24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37.70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77.59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43.71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43.71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05.27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43.71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119.08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42.60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-10.19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60.00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17.04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-42.96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05.28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17.04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63.70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8.30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2.71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90.00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54.35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-35.65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05.29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54.35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40.66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57.45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18.51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89.65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89.65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합계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730.37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620.10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620.91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-202.14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230.00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759.04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18"/>
              <w:right w:val="single" w:color="000000" w:sz="18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529.04</w:t>
            </w:r>
          </w:p>
        </w:tc>
      </w:tr>
    </w:tbl>
    <w:p>
      <w:pPr>
        <w:spacing w:after="20" w:before="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당발·타발송금은 고객 거래에 따라 예측이 불가능한 금액이며, FX거래 자금유출입은 당일 마감액에서 전일자 마감액·당발·타발송금·콜머니를 가감하여 산출(= 당일 − 전일 + 당발 − 타발 − 콜머니)</w:t>
      </w:r>
    </w:p>
    <w:p>
      <w:pPr>
        <w:spacing w:after="200" w:before="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콜머니제외 마감액 = 당일 마감액 − 콜머니, 트레이딩부서가 지속 모니터링하여 예측(관리) 가능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4780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[참고] 5월 일별 순콜론·여유자금MMDA 운용 현황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 (단위 : 백만불)</w:t>
            </w:r>
          </w:p>
          <w:tbl>
            <w:tblPr>
              <w:tblW w:type="dxa" w:w="50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1650"/>
              <w:gridCol w:w="1500"/>
              <w:gridCol w:w="950"/>
            </w:tblGrid>
            <w:tr>
              <w:trPr>
                <w:tblHeader/>
                <w:trHeight w:val="62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일자</w:t>
                  </w:r>
                </w:p>
              </w:tc>
              <w:tc>
                <w:tcPr>
                  <w:tcW w:type="dxa" w:w="16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순콜론</w:t>
                  </w:r>
                </w:p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(본점+해외)</w:t>
                  </w:r>
                </w:p>
              </w:tc>
              <w:tc>
                <w:tcPr>
                  <w:tcW w:type="dxa" w:w="1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여유자금</w:t>
                  </w:r>
                </w:p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MMDA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합산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05.04</w:t>
                  </w:r>
                </w:p>
              </w:tc>
              <w:tc>
                <w:tcPr>
                  <w:tcW w:type="dxa" w:w="16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△71</w:t>
                  </w:r>
                </w:p>
              </w:tc>
              <w:tc>
                <w:tcPr>
                  <w:tcW w:type="dxa" w:w="1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72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1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05.06</w:t>
                  </w:r>
                </w:p>
              </w:tc>
              <w:tc>
                <w:tcPr>
                  <w:tcW w:type="dxa" w:w="16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△72</w:t>
                  </w:r>
                </w:p>
              </w:tc>
              <w:tc>
                <w:tcPr>
                  <w:tcW w:type="dxa" w:w="1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71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△1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05.07</w:t>
                  </w:r>
                </w:p>
              </w:tc>
              <w:tc>
                <w:tcPr>
                  <w:tcW w:type="dxa" w:w="16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△35</w:t>
                  </w:r>
                </w:p>
              </w:tc>
              <w:tc>
                <w:tcPr>
                  <w:tcW w:type="dxa" w:w="1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29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△6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05.08</w:t>
                  </w:r>
                </w:p>
              </w:tc>
              <w:tc>
                <w:tcPr>
                  <w:tcW w:type="dxa" w:w="16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△12</w:t>
                  </w:r>
                </w:p>
              </w:tc>
              <w:tc>
                <w:tcPr>
                  <w:tcW w:type="dxa" w:w="1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56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44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05.11</w:t>
                  </w:r>
                </w:p>
              </w:tc>
              <w:tc>
                <w:tcPr>
                  <w:tcW w:type="dxa" w:w="16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△1</w:t>
                  </w:r>
                </w:p>
              </w:tc>
              <w:tc>
                <w:tcPr>
                  <w:tcW w:type="dxa" w:w="1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26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25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05.12</w:t>
                  </w:r>
                </w:p>
              </w:tc>
              <w:tc>
                <w:tcPr>
                  <w:tcW w:type="dxa" w:w="16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△11</w:t>
                  </w:r>
                </w:p>
              </w:tc>
              <w:tc>
                <w:tcPr>
                  <w:tcW w:type="dxa" w:w="1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38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27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05.13</w:t>
                  </w:r>
                </w:p>
              </w:tc>
              <w:tc>
                <w:tcPr>
                  <w:tcW w:type="dxa" w:w="16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△21</w:t>
                  </w:r>
                </w:p>
              </w:tc>
              <w:tc>
                <w:tcPr>
                  <w:tcW w:type="dxa" w:w="1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46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25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05.14</w:t>
                  </w:r>
                </w:p>
              </w:tc>
              <w:tc>
                <w:tcPr>
                  <w:tcW w:type="dxa" w:w="16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</w:t>
                  </w:r>
                </w:p>
              </w:tc>
              <w:tc>
                <w:tcPr>
                  <w:tcW w:type="dxa" w:w="1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70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70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05.15</w:t>
                  </w:r>
                </w:p>
              </w:tc>
              <w:tc>
                <w:tcPr>
                  <w:tcW w:type="dxa" w:w="16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</w:t>
                  </w:r>
                </w:p>
              </w:tc>
              <w:tc>
                <w:tcPr>
                  <w:tcW w:type="dxa" w:w="1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49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49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05.18</w:t>
                  </w:r>
                </w:p>
              </w:tc>
              <w:tc>
                <w:tcPr>
                  <w:tcW w:type="dxa" w:w="16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</w:t>
                  </w:r>
                </w:p>
              </w:tc>
              <w:tc>
                <w:tcPr>
                  <w:tcW w:type="dxa" w:w="1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40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44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05.19</w:t>
                  </w:r>
                </w:p>
              </w:tc>
              <w:tc>
                <w:tcPr>
                  <w:tcW w:type="dxa" w:w="16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</w:t>
                  </w:r>
                </w:p>
              </w:tc>
              <w:tc>
                <w:tcPr>
                  <w:tcW w:type="dxa" w:w="1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30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34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05.20</w:t>
                  </w:r>
                </w:p>
              </w:tc>
              <w:tc>
                <w:tcPr>
                  <w:tcW w:type="dxa" w:w="16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△35</w:t>
                  </w:r>
                </w:p>
              </w:tc>
              <w:tc>
                <w:tcPr>
                  <w:tcW w:type="dxa" w:w="1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42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7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05.21</w:t>
                  </w:r>
                </w:p>
              </w:tc>
              <w:tc>
                <w:tcPr>
                  <w:tcW w:type="dxa" w:w="16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1</w:t>
                  </w:r>
                </w:p>
              </w:tc>
              <w:tc>
                <w:tcPr>
                  <w:tcW w:type="dxa" w:w="1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62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63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05.22</w:t>
                  </w:r>
                </w:p>
              </w:tc>
              <w:tc>
                <w:tcPr>
                  <w:tcW w:type="dxa" w:w="16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3</w:t>
                  </w:r>
                </w:p>
              </w:tc>
              <w:tc>
                <w:tcPr>
                  <w:tcW w:type="dxa" w:w="1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45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48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05.26</w:t>
                  </w:r>
                </w:p>
              </w:tc>
              <w:tc>
                <w:tcPr>
                  <w:tcW w:type="dxa" w:w="16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△11</w:t>
                  </w:r>
                </w:p>
              </w:tc>
              <w:tc>
                <w:tcPr>
                  <w:tcW w:type="dxa" w:w="1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49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38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05.27</w:t>
                  </w:r>
                </w:p>
              </w:tc>
              <w:tc>
                <w:tcPr>
                  <w:tcW w:type="dxa" w:w="16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△76</w:t>
                  </w:r>
                </w:p>
              </w:tc>
              <w:tc>
                <w:tcPr>
                  <w:tcW w:type="dxa" w:w="1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22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△54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05.28</w:t>
                  </w:r>
                </w:p>
              </w:tc>
              <w:tc>
                <w:tcPr>
                  <w:tcW w:type="dxa" w:w="16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△106</w:t>
                  </w:r>
                </w:p>
              </w:tc>
              <w:tc>
                <w:tcPr>
                  <w:tcW w:type="dxa" w:w="1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59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△47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05.29</w:t>
                  </w:r>
                </w:p>
              </w:tc>
              <w:tc>
                <w:tcPr>
                  <w:tcW w:type="dxa" w:w="16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△73</w:t>
                  </w:r>
                </w:p>
              </w:tc>
              <w:tc>
                <w:tcPr>
                  <w:tcW w:type="dxa" w:w="15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95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22</w:t>
                  </w:r>
                </w:p>
              </w:tc>
            </w:tr>
          </w:tbl>
          <w:p/>
        </w:tc>
        <w:tc>
          <w:tcPr>
            <w:tcW w:type="dxa" w:w="4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[참고] 5월 일별 해외지점 순콜론 현황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 (단위 : 백만불)</w:t>
            </w:r>
          </w:p>
          <w:tbl>
            <w:tblPr>
              <w:tblW w:type="dxa" w:w="39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950"/>
              <w:gridCol w:w="1000"/>
              <w:gridCol w:w="1050"/>
            </w:tblGrid>
            <w:tr>
              <w:trPr>
                <w:tblHeader/>
                <w:trHeight w:val="62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일자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상해</w:t>
                  </w:r>
                </w:p>
              </w:tc>
              <w:tc>
                <w:tcPr>
                  <w:tcW w:type="dxa" w:w="1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호치민</w:t>
                  </w:r>
                </w:p>
              </w:tc>
              <w:tc>
                <w:tcPr>
                  <w:tcW w:type="dxa" w:w="10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순콜론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05.04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△32</w:t>
                  </w:r>
                </w:p>
              </w:tc>
              <w:tc>
                <w:tcPr>
                  <w:tcW w:type="dxa" w:w="1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△58</w:t>
                  </w:r>
                </w:p>
              </w:tc>
              <w:tc>
                <w:tcPr>
                  <w:tcW w:type="dxa" w:w="10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△90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05.06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△35</w:t>
                  </w:r>
                </w:p>
              </w:tc>
              <w:tc>
                <w:tcPr>
                  <w:tcW w:type="dxa" w:w="1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△56</w:t>
                  </w:r>
                </w:p>
              </w:tc>
              <w:tc>
                <w:tcPr>
                  <w:tcW w:type="dxa" w:w="10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△91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05.07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△35</w:t>
                  </w:r>
                </w:p>
              </w:tc>
              <w:tc>
                <w:tcPr>
                  <w:tcW w:type="dxa" w:w="1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△54</w:t>
                  </w:r>
                </w:p>
              </w:tc>
              <w:tc>
                <w:tcPr>
                  <w:tcW w:type="dxa" w:w="10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△89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05.08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△34</w:t>
                  </w:r>
                </w:p>
              </w:tc>
              <w:tc>
                <w:tcPr>
                  <w:tcW w:type="dxa" w:w="1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△54</w:t>
                  </w:r>
                </w:p>
              </w:tc>
              <w:tc>
                <w:tcPr>
                  <w:tcW w:type="dxa" w:w="10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△88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05.11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△22</w:t>
                  </w:r>
                </w:p>
              </w:tc>
              <w:tc>
                <w:tcPr>
                  <w:tcW w:type="dxa" w:w="1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△54</w:t>
                  </w:r>
                </w:p>
              </w:tc>
              <w:tc>
                <w:tcPr>
                  <w:tcW w:type="dxa" w:w="10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△76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05.12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△22</w:t>
                  </w:r>
                </w:p>
              </w:tc>
              <w:tc>
                <w:tcPr>
                  <w:tcW w:type="dxa" w:w="1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△54</w:t>
                  </w:r>
                </w:p>
              </w:tc>
              <w:tc>
                <w:tcPr>
                  <w:tcW w:type="dxa" w:w="10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△76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05.13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△22</w:t>
                  </w:r>
                </w:p>
              </w:tc>
              <w:tc>
                <w:tcPr>
                  <w:tcW w:type="dxa" w:w="1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△54</w:t>
                  </w:r>
                </w:p>
              </w:tc>
              <w:tc>
                <w:tcPr>
                  <w:tcW w:type="dxa" w:w="10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△76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05.14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△22</w:t>
                  </w:r>
                </w:p>
              </w:tc>
              <w:tc>
                <w:tcPr>
                  <w:tcW w:type="dxa" w:w="1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△54</w:t>
                  </w:r>
                </w:p>
              </w:tc>
              <w:tc>
                <w:tcPr>
                  <w:tcW w:type="dxa" w:w="10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△76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05.15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△22</w:t>
                  </w:r>
                </w:p>
              </w:tc>
              <w:tc>
                <w:tcPr>
                  <w:tcW w:type="dxa" w:w="1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△53</w:t>
                  </w:r>
                </w:p>
              </w:tc>
              <w:tc>
                <w:tcPr>
                  <w:tcW w:type="dxa" w:w="10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△75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05.18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△22</w:t>
                  </w:r>
                </w:p>
              </w:tc>
              <w:tc>
                <w:tcPr>
                  <w:tcW w:type="dxa" w:w="1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△49</w:t>
                  </w:r>
                </w:p>
              </w:tc>
              <w:tc>
                <w:tcPr>
                  <w:tcW w:type="dxa" w:w="10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△71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05.19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△22</w:t>
                  </w:r>
                </w:p>
              </w:tc>
              <w:tc>
                <w:tcPr>
                  <w:tcW w:type="dxa" w:w="1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△49</w:t>
                  </w:r>
                </w:p>
              </w:tc>
              <w:tc>
                <w:tcPr>
                  <w:tcW w:type="dxa" w:w="10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△71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05.20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△21</w:t>
                  </w:r>
                </w:p>
              </w:tc>
              <w:tc>
                <w:tcPr>
                  <w:tcW w:type="dxa" w:w="1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△49</w:t>
                  </w:r>
                </w:p>
              </w:tc>
              <w:tc>
                <w:tcPr>
                  <w:tcW w:type="dxa" w:w="10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△70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05.21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△21</w:t>
                  </w:r>
                </w:p>
              </w:tc>
              <w:tc>
                <w:tcPr>
                  <w:tcW w:type="dxa" w:w="1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△53</w:t>
                  </w:r>
                </w:p>
              </w:tc>
              <w:tc>
                <w:tcPr>
                  <w:tcW w:type="dxa" w:w="10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△74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05.22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△21</w:t>
                  </w:r>
                </w:p>
              </w:tc>
              <w:tc>
                <w:tcPr>
                  <w:tcW w:type="dxa" w:w="1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△51</w:t>
                  </w:r>
                </w:p>
              </w:tc>
              <w:tc>
                <w:tcPr>
                  <w:tcW w:type="dxa" w:w="10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△72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05.26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△29</w:t>
                  </w:r>
                </w:p>
              </w:tc>
              <w:tc>
                <w:tcPr>
                  <w:tcW w:type="dxa" w:w="1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△57</w:t>
                  </w:r>
                </w:p>
              </w:tc>
              <w:tc>
                <w:tcPr>
                  <w:tcW w:type="dxa" w:w="10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△86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05.27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△38</w:t>
                  </w:r>
                </w:p>
              </w:tc>
              <w:tc>
                <w:tcPr>
                  <w:tcW w:type="dxa" w:w="1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△53</w:t>
                  </w:r>
                </w:p>
              </w:tc>
              <w:tc>
                <w:tcPr>
                  <w:tcW w:type="dxa" w:w="10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△91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05.28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△38</w:t>
                  </w:r>
                </w:p>
              </w:tc>
              <w:tc>
                <w:tcPr>
                  <w:tcW w:type="dxa" w:w="1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△53</w:t>
                  </w:r>
                </w:p>
              </w:tc>
              <w:tc>
                <w:tcPr>
                  <w:tcW w:type="dxa" w:w="10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△91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05.29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△38</w:t>
                  </w:r>
                </w:p>
              </w:tc>
              <w:tc>
                <w:tcPr>
                  <w:tcW w:type="dxa" w:w="1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△53</w:t>
                  </w:r>
                </w:p>
              </w:tc>
              <w:tc>
                <w:tcPr>
                  <w:tcW w:type="dxa" w:w="10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△91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평균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△27.6</w:t>
                  </w:r>
                </w:p>
              </w:tc>
              <w:tc>
                <w:tcPr>
                  <w:tcW w:type="dxa" w:w="1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△53.2</w:t>
                  </w:r>
                </w:p>
              </w:tc>
              <w:tc>
                <w:tcPr>
                  <w:tcW w:type="dxa" w:w="10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△80.8</w:t>
                  </w:r>
                </w:p>
              </w:tc>
            </w:tr>
          </w:tbl>
          <w:p/>
        </w:tc>
      </w:tr>
    </w:tbl>
    <w:p>
      <w:pPr>
        <w:spacing w:after="20" w:before="6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권고비율 하회일(5.27~28) 합산이 △54·△47로 월중 최저 → 콜론·MMDA 운용 여유자금 축소가 비율 하락 요인</w:t>
      </w:r>
    </w:p>
    <w:p>
      <w:pPr>
        <w:spacing w:after="200" w:before="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해외지점(상해·호치민) 순콜론은 콜머니 차입 잔액으로, 5월 평균 △80.8백만불 수준 유지</w:t>
      </w:r>
    </w:p>
    <w:p>
      <w:pPr>
        <w:spacing w:after="80" w:before="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[참고] 5월말 기준 만기도래 차입금 현황 (단위 : 백만불)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dashed" w:color="C00000" w:sz="6"/>
              <w:left w:val="dashed" w:color="C00000" w:sz="6"/>
              <w:bottom w:val="dashed" w:color="C00000" w:sz="6"/>
              <w:right w:val="dashed" w:color="C00000" w:sz="6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6"/>
                <w:szCs w:val="16"/>
              </w:rPr>
              <w:t xml:space="preserve">[원본 문서의 '만기도래 차입금 현황' 표를 여기에 복사해 넣으세요]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/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 관리방안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콜머니제외 마감액이 음수가 되지 않도록 관리 가능한 FX 거래 자금을 트레이딩부서에 사전 통지하여 관리</w:t>
      </w:r>
    </w:p>
    <w:p>
      <w:pPr>
        <w:spacing w:after="120" w:before="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- 자금부는 전일자 마감액과 당발·타발송금 전망을 감안한 일일 자금수지를 트레이딩부서에 사전 통지하고, 트레이딩부서는 예측·관리가 가능한 FX 거래 결제액(자금유출입)을 조정하여 당일 콜머니제외 마감액이 0 이상을 유지하도록 관리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나. 콜머니제외 마감액이 음수로 예상되는 경우 동 부족분만큼 커버거래(FX 자금유입) 실시</w:t>
      </w:r>
    </w:p>
    <w:p>
      <w:pPr>
        <w:spacing w:after="60" w:before="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- (효과) 콜머니제외 마감액이 0이 되도록 5.27일 +42.96백만불·5.28일 +35.65백만불 커버거래 시, 가용외화여유자금이 동액 증가하여 외화여유자금비율이 권고비율(60%)을 상회</w:t>
      </w:r>
    </w:p>
    <w:p>
      <w:pPr>
        <w:spacing w:after="40" w:before="0"/>
        <w:ind w:left="5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· 콜머니제외 마감액 : 5.27일 △42.96 → 0백만불, 5.28일 △35.65 → 0백만불</w:t>
      </w:r>
    </w:p>
    <w:p>
      <w:pPr>
        <w:spacing w:after="80" w:before="0"/>
        <w:ind w:left="5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· 외화여유자금비율 : 5.27일 49.73% → 61.3%, 5.28일 54.08% → 64.1%</w:t>
      </w:r>
    </w:p>
    <w:p>
      <w:pPr>
        <w:spacing w:after="60"/>
        <w:jc w:val="center"/>
      </w:pPr>
      <w:r>
        <w:drawing>
          <wp:inline distT="0" distB="0" distL="0" distR="0">
            <wp:extent cx="57150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5"/>
          <w:szCs w:val="15"/>
        </w:rPr>
        <w:t xml:space="preserve">* 비율 효과는 커버금액이 가용외화여유자금에 가산되는 효과를 당일 만기도래차입금(5.27일 약 370·5.28일 약 355백만불)으로 나누어 산출 (커버 10백만불당 약 2.8%p 상승)</w:t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[부록] 기타 외화유동성 지표 현황 ('26.1월 ~ 5월)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외화 LCR : 기간 평균 185.24%로 감독원 기준(80%)을 지속 상회</w:t>
      </w:r>
    </w:p>
    <w:p>
      <w:pPr>
        <w:spacing w:after="16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나. 중장기외화자금 조달비율 : 기간 평균 180.04%로 감독원 기준(100%)을 지속 상회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끝.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90c714dcea717dc897b704886e89cc81d235867.png"/><Relationship Id="rId8" Type="http://schemas.openxmlformats.org/officeDocument/2006/relationships/image" Target="media/b5b2f5b6492390f59a97df971a2ce8b1bc58b86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2026-06-10T00:45:36.515Z</dcterms:created>
  <dcterms:modified xsi:type="dcterms:W3CDTF">2026-06-10T00:45:36.515Z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