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28"/>
        </w:rPr>
        <w:t>Wathiq (وثيق) — Regulatory Alignment Brief</w:t>
      </w:r>
    </w:p>
    <w:p>
      <w:pPr>
        <w:jc w:val="center"/>
      </w:pPr>
      <w:r>
        <w:rPr>
          <w:i/>
          <w:color w:val="555555"/>
          <w:sz w:val="18"/>
        </w:rPr>
        <w:t>UAE PDPL &amp; CBUAE AI Guidance | June 2026 | One-page summary for LFIs &amp; investors</w:t>
      </w:r>
    </w:p>
    <w:p>
      <w:r>
        <w:rPr>
          <w:b/>
          <w:sz w:val="18"/>
        </w:rPr>
        <w:t>Executive summary</w:t>
      </w:r>
    </w:p>
    <w:p>
      <w:pPr>
        <w:spacing w:after="80" w:before="0"/>
      </w:pPr>
      <w:r>
        <w:rPr>
          <w:sz w:val="17"/>
        </w:rPr>
        <w:t>Wathiq is a runtime governance and tamper-evident provenance control plane for AI workflows (UAE/MENA, financial sector first). It helps institutions document, enforce, and independently prove what AI did, when, under which policies — and that records were not altered. Wathiq supports PDPL-aligned technical controls and aligns with CBUAE AI supervisory expectations; it does not certify legal compliance or judge AI truthfulness. The institution’s board owns policy; Wathiq enforces and proves it was applied.</w:t>
      </w:r>
    </w:p>
    <w:p>
      <w:r>
        <w:rPr>
          <w:b/>
          <w:sz w:val="18"/>
        </w:rPr>
        <w:t>Legal context</w:t>
      </w:r>
    </w:p>
    <w:p>
      <w:pPr>
        <w:spacing w:after="80" w:before="0"/>
      </w:pPr>
      <w:r>
        <w:rPr>
          <w:sz w:val="17"/>
        </w:rPr>
        <w:t>UAE has no standalone AI law — AI must comply with existing law (PDPL, sector rules, CBUAE supervision for banks). PDPL (Federal Decree-Law No. 45 of 2021) is binding (full compliance due 1 Jan 2027). CBUAE AI Guidance Note (11 Feb 2026) is non-binding but supervisory — frame as alignment with supervisory dialogue, not statute. DIFC/ADGM have separate regimes.</w:t>
      </w:r>
    </w:p>
    <w:p>
      <w:r>
        <w:rPr>
          <w:b/>
          <w:sz w:val="18"/>
        </w:rPr>
        <w:t>PDPL — how Wathiq supports demonstrable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  <w:sz w:val="15"/>
              </w:rPr>
              <w:t>PDPL theme</w:t>
            </w:r>
          </w:p>
        </w:tc>
        <w:tc>
          <w:tcPr>
            <w:tcW w:type="dxa" w:w="5328"/>
          </w:tcPr>
          <w:p>
            <w:r>
              <w:rPr>
                <w:b/>
                <w:sz w:val="15"/>
              </w:rPr>
              <w:t>Wathiq capability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Minimisation &amp; privacy by design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PII redaction before storage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Security of processing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Encryption, signing, tenant isolation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Right to erasure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Crypto-shred + signed erasure proof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Accountability / audit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Offline verify.py on evidence export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Processing records (ROPA-style)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Traces = auditable AI workflow log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DPIA readiness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Structured evidence bundle for auditors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CBUAE AI Guidance (LFIs) — supervisory themes operationalised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  <w:sz w:val="15"/>
              </w:rPr>
              <w:t>CBUAE theme</w:t>
            </w:r>
          </w:p>
        </w:tc>
        <w:tc>
          <w:tcPr>
            <w:tcW w:type="dxa" w:w="5328"/>
          </w:tcPr>
          <w:p>
            <w:r>
              <w:rPr>
                <w:b/>
                <w:sz w:val="15"/>
              </w:rPr>
              <w:t>Wathiq capability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AI governance framework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Versioned policies + policy_decision events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Activity inventory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Trace log per AI workflow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Board accountability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Named approver; approval_action events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Human oversight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RED/orange → approval queue; fail-closed default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Explainability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Reasons + policy version on every precheck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Risk controls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Tiers: green / yellow / orange / red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60-second proof</w:t>
      </w:r>
    </w:p>
    <w:p>
      <w:pPr>
        <w:spacing w:after="80" w:before="0"/>
      </w:pPr>
      <w:r>
        <w:rPr>
          <w:sz w:val="17"/>
        </w:rPr>
        <w:t>Precheck → tier + reasons → human approve/deny (if orange/red) → signed events → export evidence ZIP → auditor runs verify.py offline → ALL EVENTS VERIFIED. Erasure: destroy content, chain proves erasure occurred.</w:t>
      </w:r>
    </w:p>
    <w:p>
      <w:r>
        <w:rPr>
          <w:b/>
          <w:sz w:val="18"/>
        </w:rPr>
        <w:t>What we are / are not</w:t>
      </w:r>
    </w:p>
    <w:p>
      <w:pPr>
        <w:spacing w:after="80" w:before="0"/>
      </w:pPr>
      <w:r>
        <w:rPr>
          <w:sz w:val="17"/>
        </w:rPr>
        <w:t>ARE: control + evidence layer; enforcer of your policies; tamper-evident trail. ARE NOT: legal advisor; compliance certificate; proof AI is correct. Status: Weeks 1–8 delivered. Ask: one CBUAE LFI design-partner pilot.</w:t>
      </w:r>
    </w:p>
    <w:p>
      <w:r>
        <w:rPr>
          <w:i/>
          <w:sz w:val="14"/>
        </w:rPr>
        <w:t>Disclaimer: Wathiq supports controls aligned with PDPL and CBUAE AI Guidance themes. Compliance is an institutional obligation — align with qualified UAE counsel. CBUAE Guidance is supervisory, not statute. Free zones may be outside mainland PDPL.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