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64" w:lineRule="auto"/>
        <w:jc w:val="center"/>
      </w:pPr>
      <w:r>
        <w:rPr>
          <w:rFonts w:ascii="Calibri" w:hAnsi="Calibri" w:eastAsia="Calibri"/>
          <w:b/>
          <w:i w:val="0"/>
          <w:color w:val="000000"/>
          <w:sz w:val="48"/>
        </w:rPr>
        <w:t>Техническое задание</w:t>
      </w:r>
    </w:p>
    <w:p>
      <w:pPr>
        <w:spacing w:before="0" w:after="320" w:line="264" w:lineRule="auto"/>
        <w:jc w:val="center"/>
      </w:pPr>
      <w:r>
        <w:rPr>
          <w:rFonts w:ascii="Calibri" w:hAnsi="Calibri" w:eastAsia="Calibri"/>
          <w:b w:val="0"/>
          <w:i w:val="0"/>
          <w:color w:val="595959"/>
          <w:sz w:val="30"/>
        </w:rPr>
        <w:t>на создание и развитие автоматизированной информационной системы официального интернет-портала Комитета национальной безопасности Республики Казахстан</w:t>
      </w:r>
    </w:p>
    <w:p>
      <w:pPr>
        <w:spacing w:before="0" w:after="280" w:line="264" w:lineRule="auto"/>
        <w:jc w:val="center"/>
      </w:pPr>
      <w:r>
        <w:rPr>
          <w:rFonts w:ascii="Calibri" w:hAnsi="Calibri" w:eastAsia="Calibri"/>
          <w:b w:val="0"/>
          <w:i w:val="0"/>
          <w:color w:val="595959"/>
          <w:sz w:val="22"/>
        </w:rPr>
        <w:t>Раздел 1 из 12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left"/>
        <w:tblLayout w:type="fixed"/>
        <w:tblCellMar>
          <w:top w:w="80" w:type="dxa"/>
          <w:start w:w="120" w:type="dxa"/>
          <w:bottom w:w="80" w:type="dxa"/>
          <w:end w:w="120" w:type="dxa"/>
        </w:tblCellMar>
        <w:tblW w:w="9360" w:type="dxa"/>
        <w:tblInd w:w="120" w:type="dxa"/>
      </w:tblPr>
      <w:tblGrid>
        <w:gridCol w:w="2300"/>
        <w:gridCol w:w="7060"/>
      </w:tblGrid>
      <w:tr>
        <w:tc>
          <w:tcPr>
            <w:tcW w:type="dxa" w:w="4"/>
            <w:shd w:fill="EEF3F8"/>
            <w:vAlign w:val="center"/>
            <w:tcW w:w="2300" w:type="dxa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Полное наименование</w:t>
            </w:r>
          </w:p>
        </w:tc>
        <w:tc>
          <w:tcPr>
            <w:tcW w:type="dxa" w:w="11"/>
            <w:vAlign w:val="center"/>
            <w:tcW w:w="7060" w:type="dxa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Автоматизированная информационная система «Официальный интернет-портал Комитета национальной безопасности Республики Казахстан».</w:t>
            </w:r>
          </w:p>
        </w:tc>
      </w:tr>
      <w:tr>
        <w:tc>
          <w:tcPr>
            <w:tcW w:type="dxa" w:w="4"/>
            <w:shd w:fill="EEF3F8"/>
            <w:vAlign w:val="center"/>
            <w:tcW w:w="2300" w:type="dxa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Краткое наименование</w:t>
            </w:r>
          </w:p>
        </w:tc>
        <w:tc>
          <w:tcPr>
            <w:tcW w:type="dxa" w:w="11"/>
            <w:vAlign w:val="center"/>
            <w:tcW w:w="7060" w:type="dxa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Портал КНБ РК.</w:t>
            </w:r>
          </w:p>
        </w:tc>
      </w:tr>
      <w:tr>
        <w:tc>
          <w:tcPr>
            <w:tcW w:type="dxa" w:w="4"/>
            <w:shd w:fill="EEF3F8"/>
            <w:vAlign w:val="center"/>
            <w:tcW w:w="2300" w:type="dxa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Заказчик</w:t>
            </w:r>
          </w:p>
        </w:tc>
        <w:tc>
          <w:tcPr>
            <w:tcW w:type="dxa" w:w="11"/>
            <w:vAlign w:val="center"/>
            <w:tcW w:w="7060" w:type="dxa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Комитет национальной безопасности Республики Казахстан.</w:t>
            </w:r>
          </w:p>
        </w:tc>
      </w:tr>
      <w:tr>
        <w:tc>
          <w:tcPr>
            <w:tcW w:type="dxa" w:w="4"/>
            <w:shd w:fill="EEF3F8"/>
            <w:vAlign w:val="center"/>
            <w:tcW w:w="2300" w:type="dxa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Разработчик</w:t>
            </w:r>
          </w:p>
        </w:tc>
        <w:tc>
          <w:tcPr>
            <w:tcW w:type="dxa" w:w="11"/>
            <w:vAlign w:val="center"/>
            <w:tcW w:w="7060" w:type="dxa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Проектная команда разработки портала КНБ РК, выполняющая frontend, backend, database, DevOps, testing и document delivery.</w:t>
            </w:r>
          </w:p>
        </w:tc>
      </w:tr>
      <w:tr>
        <w:tc>
          <w:tcPr>
            <w:tcW w:type="dxa" w:w="4"/>
            <w:shd w:fill="EEF3F8"/>
            <w:vAlign w:val="center"/>
            <w:tcW w:w="2300" w:type="dxa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Основание версии</w:t>
            </w:r>
          </w:p>
        </w:tc>
        <w:tc>
          <w:tcPr>
            <w:tcW w:type="dxa" w:w="11"/>
            <w:vAlign w:val="center"/>
            <w:tcW w:w="7060" w:type="dxa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Полная редакция ТЗ от 13.07.2026, подготовленная для закрытия функциональных, технических, организационных и приемочных вопросов без незаполненных разделов.</w:t>
            </w:r>
          </w:p>
        </w:tc>
      </w:tr>
      <w:tr>
        <w:tc>
          <w:tcPr>
            <w:tcW w:type="dxa" w:w="4"/>
            <w:shd w:fill="EEF3F8"/>
            <w:vAlign w:val="center"/>
            <w:tcW w:w="2300" w:type="dxa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Статус</w:t>
            </w:r>
          </w:p>
        </w:tc>
        <w:tc>
          <w:tcPr>
            <w:tcW w:type="dxa" w:w="11"/>
            <w:vAlign w:val="center"/>
            <w:tcW w:w="7060" w:type="dxa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Окончательная проектная редакция для разработки, внедрения, проверки и приемки системы.</w:t>
            </w:r>
          </w:p>
        </w:tc>
      </w:tr>
    </w:tbl>
    <w:p>
      <w:pPr>
        <w:spacing w:before="0" w:after="40" w:line="264" w:lineRule="auto"/>
      </w:pPr>
    </w:p>
    <w:p>
      <w:pPr>
        <w:pStyle w:val="Heading1"/>
        <w:keepNext/>
        <w:spacing w:before="320" w:after="160"/>
      </w:pPr>
      <w:r>
        <w:rPr>
          <w:rFonts w:ascii="Calibri" w:hAnsi="Calibri" w:eastAsia="Calibri"/>
          <w:b/>
          <w:i w:val="0"/>
          <w:color w:val="1F4E79"/>
          <w:sz w:val="32"/>
        </w:rPr>
        <w:t>Аннотация</w:t>
      </w:r>
    </w:p>
    <w:p>
      <w:pPr>
        <w:spacing w:before="0" w:after="12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Настоящее техническое задание фиксирует полный состав требований к порталу КНБ РК как к продуктивному государственному интернет-ресурсу. Документ объединяет позицию заказчика, автора ТЗ и разработчика: решения, сроки, состав функций, роли, данные, безопасность, эксплуатация и приемка сформулированы как конкретные обязательства проекта.</w:t>
      </w:r>
    </w:p>
    <w:p>
      <w:pPr>
        <w:spacing w:before="0" w:after="12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Основная общественная функция портала - официальное доведение до населения сведений о деятельности Комитета, направлениях его работы, пресс-материалах, контактной информации, порядке обращения, правилах поступления на службу и обучение, а также предоставление гражданам понятных цифровых каналов первичного взаимодействия с Комитетом.</w:t>
      </w:r>
    </w:p>
    <w:p>
      <w:pPr>
        <w:spacing w:before="0" w:after="120" w:line="264" w:lineRule="auto"/>
      </w:pPr>
      <w:r>
        <w:rPr>
          <w:rFonts w:ascii="Calibri" w:hAnsi="Calibri" w:eastAsia="Calibri"/>
          <w:b/>
          <w:i w:val="0"/>
          <w:color w:val="000000"/>
          <w:sz w:val="22"/>
        </w:rPr>
        <w:t>ТЗ построено на текущем проектном репозитории, открытом официальном ресурсе КНБ РК на GOV.KZ и типовой структуре государственных интернет-ресурсов Республики Казахстан. Внешние сервисы eGov, e-Otinish и eLicense используются только как справочные внешние ссылки в публичном контенте; техническая интеграция с ними в данной версии не выполняется.</w:t>
      </w:r>
    </w:p>
    <w:p>
      <w:r>
        <w:br w:type="page"/>
      </w:r>
    </w:p>
    <w:p>
      <w:pPr>
        <w:spacing w:before="0" w:after="20" w:line="264" w:lineRule="auto"/>
      </w:pPr>
      <w:r>
        <w:rPr>
          <w:rFonts w:ascii="Calibri" w:hAnsi="Calibri" w:eastAsia="Calibri"/>
          <w:b w:val="0"/>
          <w:i w:val="0"/>
          <w:color w:val="595959"/>
          <w:sz w:val="20"/>
        </w:rPr>
        <w:t>Раздел 2 из 12</w:t>
      </w:r>
    </w:p>
    <w:p>
      <w:pPr>
        <w:pStyle w:val="Heading1"/>
        <w:keepNext/>
        <w:spacing w:before="320" w:after="160"/>
      </w:pPr>
      <w:r>
        <w:rPr>
          <w:rFonts w:ascii="Calibri" w:hAnsi="Calibri" w:eastAsia="Calibri"/>
          <w:b/>
          <w:i w:val="0"/>
          <w:color w:val="1F4E79"/>
          <w:sz w:val="32"/>
        </w:rPr>
        <w:t>Назначение и цели создания системы</w:t>
      </w:r>
    </w:p>
    <w:p>
      <w:pPr>
        <w:pStyle w:val="Heading2"/>
        <w:keepNext/>
        <w:spacing w:before="220" w:after="100"/>
      </w:pPr>
      <w:r>
        <w:rPr>
          <w:rFonts w:ascii="Calibri" w:hAnsi="Calibri" w:eastAsia="Calibri"/>
          <w:b/>
          <w:i w:val="0"/>
          <w:color w:val="1F4E79"/>
          <w:sz w:val="26"/>
        </w:rPr>
        <w:t>2.1. Шифр темы или номер договора</w:t>
      </w:r>
    </w:p>
    <w:p>
      <w:pPr>
        <w:spacing w:before="0" w:after="12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Шифр проекта: KNB-PORTAL-2026. Номер внутреннего проектного дела: KNB-PORTAL-2026-TZ-01. Дата начала проектной реализации: 15.07.2026. Дата готовности первой продуктивной версии: 30.09.2026. Дата завершения гарантийного периода первой версии: 31.12.2026.</w:t>
      </w:r>
    </w:p>
    <w:p>
      <w:pPr>
        <w:pStyle w:val="Heading2"/>
        <w:keepNext/>
        <w:spacing w:before="220" w:after="100"/>
      </w:pPr>
      <w:r>
        <w:rPr>
          <w:rFonts w:ascii="Calibri" w:hAnsi="Calibri" w:eastAsia="Calibri"/>
          <w:b/>
          <w:i w:val="0"/>
          <w:color w:val="1F4E79"/>
          <w:sz w:val="26"/>
        </w:rPr>
        <w:t>2.2. Заказчик, разработчик и пользователи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left"/>
        <w:tblLayout w:type="fixed"/>
        <w:tblCellMar>
          <w:top w:w="80" w:type="dxa"/>
          <w:start w:w="120" w:type="dxa"/>
          <w:bottom w:w="80" w:type="dxa"/>
          <w:end w:w="120" w:type="dxa"/>
        </w:tblCellMar>
        <w:tblW w:w="9360" w:type="dxa"/>
        <w:tblInd w:w="120" w:type="dxa"/>
      </w:tblPr>
      <w:tblGrid>
        <w:gridCol w:w="2300"/>
        <w:gridCol w:w="7060"/>
      </w:tblGrid>
      <w:tr>
        <w:tc>
          <w:tcPr>
            <w:tcW w:type="dxa" w:w="4"/>
            <w:shd w:fill="EEF3F8"/>
            <w:vAlign w:val="center"/>
            <w:tcW w:w="2300" w:type="dxa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Заказчик</w:t>
            </w:r>
          </w:p>
        </w:tc>
        <w:tc>
          <w:tcPr>
            <w:tcW w:type="dxa" w:w="11"/>
            <w:vAlign w:val="center"/>
            <w:tcW w:w="7060" w:type="dxa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Комитет национальной безопасности Республики Казахстан, 010000, Республика Казахстан, г. Астана, ул. Сыганак, 66.</w:t>
            </w:r>
          </w:p>
        </w:tc>
      </w:tr>
      <w:tr>
        <w:tc>
          <w:tcPr>
            <w:tcW w:type="dxa" w:w="4"/>
            <w:shd w:fill="EEF3F8"/>
            <w:vAlign w:val="center"/>
            <w:tcW w:w="2300" w:type="dxa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Разработчик</w:t>
            </w:r>
          </w:p>
        </w:tc>
        <w:tc>
          <w:tcPr>
            <w:tcW w:type="dxa" w:w="11"/>
            <w:vAlign w:val="center"/>
            <w:tcW w:w="7060" w:type="dxa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Проектная команда портала КНБ РК: frontend-разработчик, backend-разработчик, инженер БД, инженер безопасности, DevOps-инженер, тестировщик и технический писатель.</w:t>
            </w:r>
          </w:p>
        </w:tc>
      </w:tr>
      <w:tr>
        <w:tc>
          <w:tcPr>
            <w:tcW w:type="dxa" w:w="4"/>
            <w:shd w:fill="EEF3F8"/>
            <w:vAlign w:val="center"/>
            <w:tcW w:w="2300" w:type="dxa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Публичные пользователи</w:t>
            </w:r>
          </w:p>
        </w:tc>
        <w:tc>
          <w:tcPr>
            <w:tcW w:type="dxa" w:w="11"/>
            <w:vAlign w:val="center"/>
            <w:tcW w:w="7060" w:type="dxa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Граждане, кандидаты на службу или обучение, представители СМИ, посетители, получающие сведения о деятельности Комитета.</w:t>
            </w:r>
          </w:p>
        </w:tc>
      </w:tr>
      <w:tr>
        <w:tc>
          <w:tcPr>
            <w:tcW w:type="dxa" w:w="4"/>
            <w:shd w:fill="EEF3F8"/>
            <w:vAlign w:val="center"/>
            <w:tcW w:w="2300" w:type="dxa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Служебные пользователи</w:t>
            </w:r>
          </w:p>
        </w:tc>
        <w:tc>
          <w:tcPr>
            <w:tcW w:type="dxa" w:w="11"/>
            <w:vAlign w:val="center"/>
            <w:tcW w:w="7060" w:type="dxa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Администратор, модератор, ответственный сотрудник кадрового направления и технический оператор.</w:t>
            </w:r>
          </w:p>
        </w:tc>
      </w:tr>
    </w:tbl>
    <w:p>
      <w:pPr>
        <w:spacing w:before="0" w:after="40" w:line="264" w:lineRule="auto"/>
      </w:pPr>
    </w:p>
    <w:p>
      <w:pPr>
        <w:pStyle w:val="Heading2"/>
        <w:keepNext/>
        <w:spacing w:before="220" w:after="100"/>
      </w:pPr>
      <w:r>
        <w:rPr>
          <w:rFonts w:ascii="Calibri" w:hAnsi="Calibri" w:eastAsia="Calibri"/>
          <w:b/>
          <w:i w:val="0"/>
          <w:color w:val="1F4E79"/>
          <w:sz w:val="26"/>
        </w:rPr>
        <w:t>2.3. Документы и источники основания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Закон Республики Казахстан «Об органах национальной безопасности Республики Казахстан».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Законодательство Республики Казахстан об информатизации, персональных данных, государственных секретах, обращениях физических и юридических лиц и официальных интернет-ресурсах.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Официальный интернет-ресурс КНБ РК на GOV.KZ, включая разделы о Комитете, пресс-центр, направления деятельности, контакты, документы, прием на службу и работу с населением.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ГОСТ 34.601 и структура исходного шаблона технического задания.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Репозиторий проекта: apps/web, apps/api, docs/ARCHITECTURE.md, SECURITY_ROADMAP.md, docker-compose.yml и миграции Alembic.</w:t>
      </w:r>
    </w:p>
    <w:p>
      <w:pPr>
        <w:pStyle w:val="Heading2"/>
        <w:keepNext/>
        <w:spacing w:before="220" w:after="100"/>
      </w:pPr>
      <w:r>
        <w:rPr>
          <w:rFonts w:ascii="Calibri" w:hAnsi="Calibri" w:eastAsia="Calibri"/>
          <w:b/>
          <w:i w:val="0"/>
          <w:color w:val="1F4E79"/>
          <w:sz w:val="26"/>
        </w:rPr>
        <w:t>2.4. Плановые сроки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left"/>
        <w:tblLayout w:type="fixed"/>
        <w:tblCellMar>
          <w:top w:w="80" w:type="dxa"/>
          <w:start w:w="120" w:type="dxa"/>
          <w:bottom w:w="80" w:type="dxa"/>
          <w:end w:w="120" w:type="dxa"/>
        </w:tblCellMar>
        <w:tblW w:w="9360" w:type="dxa"/>
        <w:tblInd w:w="120" w:type="dxa"/>
      </w:tblPr>
      <w:tblGrid>
        <w:gridCol w:w="800"/>
        <w:gridCol w:w="2200"/>
        <w:gridCol w:w="6360"/>
      </w:tblGrid>
      <w:tr>
        <w:tc>
          <w:tcPr>
            <w:tcW w:type="dxa" w:w="1"/>
            <w:shd w:fill="EEF3F8"/>
            <w:tcW w:w="800" w:type="dxa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9"/>
              </w:rPr>
              <w:t>Этап</w:t>
            </w:r>
          </w:p>
        </w:tc>
        <w:tc>
          <w:tcPr>
            <w:tcW w:type="dxa" w:w="3"/>
            <w:shd w:fill="EEF3F8"/>
            <w:tcW w:w="2200" w:type="dxa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9"/>
              </w:rPr>
              <w:t>Срок</w:t>
            </w:r>
          </w:p>
        </w:tc>
        <w:tc>
          <w:tcPr>
            <w:tcW w:type="dxa" w:w="10"/>
            <w:shd w:fill="EEF3F8"/>
            <w:tcW w:w="6360" w:type="dxa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9"/>
              </w:rPr>
              <w:t>Результат</w:t>
            </w:r>
          </w:p>
        </w:tc>
      </w:tr>
      <w:tr>
        <w:tc>
          <w:tcPr>
            <w:tcW w:type="dxa" w:w="1"/>
            <w:vAlign w:val="center"/>
            <w:tcW w:w="800" w:type="dxa"/>
          </w:tcPr>
          <w:p>
            <w:pPr>
              <w:spacing w:after="4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3"/>
            <w:vAlign w:val="center"/>
            <w:tcW w:w="2200" w:type="dxa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15.07.2026-22.07.2026</w:t>
            </w:r>
          </w:p>
        </w:tc>
        <w:tc>
          <w:tcPr>
            <w:tcW w:type="dxa" w:w="10"/>
            <w:vAlign w:val="center"/>
            <w:tcW w:w="6360" w:type="dxa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Финализация ТЗ, модели данных, API-контрактов и матрицы ролей.</w:t>
            </w:r>
          </w:p>
        </w:tc>
      </w:tr>
      <w:tr>
        <w:tc>
          <w:tcPr>
            <w:tcW w:type="dxa" w:w="1"/>
            <w:vAlign w:val="center"/>
            <w:tcW w:w="800" w:type="dxa"/>
          </w:tcPr>
          <w:p>
            <w:pPr>
              <w:spacing w:after="4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3"/>
            <w:vAlign w:val="center"/>
            <w:tcW w:w="2200" w:type="dxa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23.07.2026-09.08.2026</w:t>
            </w:r>
          </w:p>
        </w:tc>
        <w:tc>
          <w:tcPr>
            <w:tcW w:type="dxa" w:w="10"/>
            <w:vAlign w:val="center"/>
            <w:tcW w:w="6360" w:type="dxa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Завершение backend: content CRUD, аудит, ограничения запросов, тесты.</w:t>
            </w:r>
          </w:p>
        </w:tc>
      </w:tr>
      <w:tr>
        <w:tc>
          <w:tcPr>
            <w:tcW w:type="dxa" w:w="1"/>
            <w:vAlign w:val="center"/>
            <w:tcW w:w="800" w:type="dxa"/>
          </w:tcPr>
          <w:p>
            <w:pPr>
              <w:spacing w:after="4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3"/>
            <w:vAlign w:val="center"/>
            <w:tcW w:w="2200" w:type="dxa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10.08.2026-24.08.2026</w:t>
            </w:r>
          </w:p>
        </w:tc>
        <w:tc>
          <w:tcPr>
            <w:tcW w:type="dxa" w:w="10"/>
            <w:vAlign w:val="center"/>
            <w:tcW w:w="6360" w:type="dxa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Завершение frontend: публичные ru/kk страницы, кабинет, admin UI, состояния ошибок и пустых данных.</w:t>
            </w:r>
          </w:p>
        </w:tc>
      </w:tr>
      <w:tr>
        <w:tc>
          <w:tcPr>
            <w:tcW w:type="dxa" w:w="1"/>
            <w:vAlign w:val="center"/>
            <w:tcW w:w="800" w:type="dxa"/>
          </w:tcPr>
          <w:p>
            <w:pPr>
              <w:spacing w:after="4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3"/>
            <w:vAlign w:val="center"/>
            <w:tcW w:w="2200" w:type="dxa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25.08.2026-07.09.2026</w:t>
            </w:r>
          </w:p>
        </w:tc>
        <w:tc>
          <w:tcPr>
            <w:tcW w:type="dxa" w:w="10"/>
            <w:vAlign w:val="center"/>
            <w:tcW w:w="6360" w:type="dxa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Интеграционные испытания, миграции, исправление дефектов.</w:t>
            </w:r>
          </w:p>
        </w:tc>
      </w:tr>
      <w:tr>
        <w:tc>
          <w:tcPr>
            <w:tcW w:type="dxa" w:w="1"/>
            <w:vAlign w:val="center"/>
            <w:tcW w:w="800" w:type="dxa"/>
          </w:tcPr>
          <w:p>
            <w:pPr>
              <w:spacing w:after="4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3"/>
            <w:vAlign w:val="center"/>
            <w:tcW w:w="2200" w:type="dxa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08.09.2026-20.09.2026</w:t>
            </w:r>
          </w:p>
        </w:tc>
        <w:tc>
          <w:tcPr>
            <w:tcW w:type="dxa" w:w="10"/>
            <w:vAlign w:val="center"/>
            <w:tcW w:w="6360" w:type="dxa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Security hardening, Docker/infra readiness, документация, backup/restore dry run.</w:t>
            </w:r>
          </w:p>
        </w:tc>
      </w:tr>
      <w:tr>
        <w:tc>
          <w:tcPr>
            <w:tcW w:type="dxa" w:w="1"/>
            <w:vAlign w:val="center"/>
            <w:tcW w:w="800" w:type="dxa"/>
          </w:tcPr>
          <w:p>
            <w:pPr>
              <w:spacing w:after="4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3"/>
            <w:vAlign w:val="center"/>
            <w:tcW w:w="2200" w:type="dxa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21.09.2026-30.09.2026</w:t>
            </w:r>
          </w:p>
        </w:tc>
        <w:tc>
          <w:tcPr>
            <w:tcW w:type="dxa" w:w="10"/>
            <w:vAlign w:val="center"/>
            <w:tcW w:w="6360" w:type="dxa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Приемка, release candidate, передача продуктивной версии.</w:t>
            </w:r>
          </w:p>
        </w:tc>
      </w:tr>
    </w:tbl>
    <w:p>
      <w:pPr>
        <w:spacing w:before="0" w:after="40" w:line="264" w:lineRule="auto"/>
      </w:pPr>
    </w:p>
    <w:p>
      <w:pPr>
        <w:pStyle w:val="Heading2"/>
        <w:keepNext/>
        <w:spacing w:before="220" w:after="100"/>
      </w:pPr>
      <w:r>
        <w:rPr>
          <w:rFonts w:ascii="Calibri" w:hAnsi="Calibri" w:eastAsia="Calibri"/>
          <w:b/>
          <w:i w:val="0"/>
          <w:color w:val="1F4E79"/>
          <w:sz w:val="26"/>
        </w:rPr>
        <w:t>2.5. Финансирование</w:t>
      </w:r>
    </w:p>
    <w:p>
      <w:pPr>
        <w:spacing w:before="0" w:after="12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Финансирование работ выполняется из утвержденного бюджета проекта цифрового развития интернет-ресурса КНБ РК. Расчетная структура оплаты: 20% после утверждения ТЗ, 35% после готовности backend и миграций, 25% после готовности frontend и admin UI, 20% после приемки release candidate и передачи эксплуатационной документации.</w:t>
      </w:r>
    </w:p>
    <w:p>
      <w:pPr>
        <w:pStyle w:val="Heading2"/>
        <w:keepNext/>
        <w:spacing w:before="220" w:after="100"/>
      </w:pPr>
      <w:r>
        <w:rPr>
          <w:rFonts w:ascii="Calibri" w:hAnsi="Calibri" w:eastAsia="Calibri"/>
          <w:b/>
          <w:i w:val="0"/>
          <w:color w:val="1F4E79"/>
          <w:sz w:val="26"/>
        </w:rPr>
        <w:t>2.6. Сокращения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left"/>
        <w:tblLayout w:type="fixed"/>
        <w:tblCellMar>
          <w:top w:w="80" w:type="dxa"/>
          <w:start w:w="120" w:type="dxa"/>
          <w:bottom w:w="80" w:type="dxa"/>
          <w:end w:w="120" w:type="dxa"/>
        </w:tblCellMar>
        <w:tblW w:w="9360" w:type="dxa"/>
        <w:tblInd w:w="120" w:type="dxa"/>
      </w:tblPr>
      <w:tblGrid>
        <w:gridCol w:w="1900"/>
        <w:gridCol w:w="7460"/>
      </w:tblGrid>
      <w:tr>
        <w:tc>
          <w:tcPr>
            <w:tcW w:type="dxa" w:w="3"/>
            <w:shd w:fill="EEF3F8"/>
            <w:tcW w:w="1900" w:type="dxa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9"/>
              </w:rPr>
              <w:t>Сокращение</w:t>
            </w:r>
          </w:p>
        </w:tc>
        <w:tc>
          <w:tcPr>
            <w:tcW w:type="dxa" w:w="12"/>
            <w:shd w:fill="EEF3F8"/>
            <w:tcW w:w="7460" w:type="dxa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9"/>
              </w:rPr>
              <w:t>Значение</w:t>
            </w:r>
          </w:p>
        </w:tc>
      </w:tr>
      <w:tr>
        <w:tc>
          <w:tcPr>
            <w:tcW w:type="dxa" w:w="3"/>
            <w:vAlign w:val="center"/>
            <w:tcW w:w="1900" w:type="dxa"/>
          </w:tcPr>
          <w:p>
            <w:pPr>
              <w:spacing w:after="4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АС</w:t>
            </w:r>
          </w:p>
        </w:tc>
        <w:tc>
          <w:tcPr>
            <w:tcW w:type="dxa" w:w="12"/>
            <w:vAlign w:val="center"/>
            <w:tcW w:w="7460" w:type="dxa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Автоматизированная система.</w:t>
            </w:r>
          </w:p>
        </w:tc>
      </w:tr>
      <w:tr>
        <w:tc>
          <w:tcPr>
            <w:tcW w:type="dxa" w:w="3"/>
            <w:vAlign w:val="center"/>
            <w:tcW w:w="1900" w:type="dxa"/>
          </w:tcPr>
          <w:p>
            <w:pPr>
              <w:spacing w:after="4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API</w:t>
            </w:r>
          </w:p>
        </w:tc>
        <w:tc>
          <w:tcPr>
            <w:tcW w:type="dxa" w:w="12"/>
            <w:vAlign w:val="center"/>
            <w:tcW w:w="7460" w:type="dxa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Программный интерфейс системы.</w:t>
            </w:r>
          </w:p>
        </w:tc>
      </w:tr>
      <w:tr>
        <w:tc>
          <w:tcPr>
            <w:tcW w:type="dxa" w:w="3"/>
            <w:vAlign w:val="center"/>
            <w:tcW w:w="1900" w:type="dxa"/>
          </w:tcPr>
          <w:p>
            <w:pPr>
              <w:spacing w:after="4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БД</w:t>
            </w:r>
          </w:p>
        </w:tc>
        <w:tc>
          <w:tcPr>
            <w:tcW w:type="dxa" w:w="12"/>
            <w:vAlign w:val="center"/>
            <w:tcW w:w="7460" w:type="dxa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База данных.</w:t>
            </w:r>
          </w:p>
        </w:tc>
      </w:tr>
      <w:tr>
        <w:tc>
          <w:tcPr>
            <w:tcW w:type="dxa" w:w="3"/>
            <w:vAlign w:val="center"/>
            <w:tcW w:w="1900" w:type="dxa"/>
          </w:tcPr>
          <w:p>
            <w:pPr>
              <w:spacing w:after="4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КНБ РК</w:t>
            </w:r>
          </w:p>
        </w:tc>
        <w:tc>
          <w:tcPr>
            <w:tcW w:type="dxa" w:w="12"/>
            <w:vAlign w:val="center"/>
            <w:tcW w:w="7460" w:type="dxa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Комитет национальной безопасности Республики Казахстан.</w:t>
            </w:r>
          </w:p>
        </w:tc>
      </w:tr>
      <w:tr>
        <w:tc>
          <w:tcPr>
            <w:tcW w:type="dxa" w:w="3"/>
            <w:vAlign w:val="center"/>
            <w:tcW w:w="1900" w:type="dxa"/>
          </w:tcPr>
          <w:p>
            <w:pPr>
              <w:spacing w:after="4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ПДн</w:t>
            </w:r>
          </w:p>
        </w:tc>
        <w:tc>
          <w:tcPr>
            <w:tcW w:type="dxa" w:w="12"/>
            <w:vAlign w:val="center"/>
            <w:tcW w:w="7460" w:type="dxa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Персональные данные.</w:t>
            </w:r>
          </w:p>
        </w:tc>
      </w:tr>
      <w:tr>
        <w:tc>
          <w:tcPr>
            <w:tcW w:type="dxa" w:w="3"/>
            <w:vAlign w:val="center"/>
            <w:tcW w:w="1900" w:type="dxa"/>
          </w:tcPr>
          <w:p>
            <w:pPr>
              <w:spacing w:after="4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RBAC</w:t>
            </w:r>
          </w:p>
        </w:tc>
        <w:tc>
          <w:tcPr>
            <w:tcW w:type="dxa" w:w="12"/>
            <w:vAlign w:val="center"/>
            <w:tcW w:w="7460" w:type="dxa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Ролевая модель управления доступом.</w:t>
            </w:r>
          </w:p>
        </w:tc>
      </w:tr>
      <w:tr>
        <w:tc>
          <w:tcPr>
            <w:tcW w:type="dxa" w:w="3"/>
            <w:vAlign w:val="center"/>
            <w:tcW w:w="1900" w:type="dxa"/>
          </w:tcPr>
          <w:p>
            <w:pPr>
              <w:spacing w:after="4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JWT</w:t>
            </w:r>
          </w:p>
        </w:tc>
        <w:tc>
          <w:tcPr>
            <w:tcW w:type="dxa" w:w="12"/>
            <w:vAlign w:val="center"/>
            <w:tcW w:w="7460" w:type="dxa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Токен доступа JSON Web Token.</w:t>
            </w:r>
          </w:p>
        </w:tc>
      </w:tr>
      <w:tr>
        <w:tc>
          <w:tcPr>
            <w:tcW w:type="dxa" w:w="3"/>
            <w:vAlign w:val="center"/>
            <w:tcW w:w="1900" w:type="dxa"/>
          </w:tcPr>
          <w:p>
            <w:pPr>
              <w:spacing w:after="4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ТЗ</w:t>
            </w:r>
          </w:p>
        </w:tc>
        <w:tc>
          <w:tcPr>
            <w:tcW w:type="dxa" w:w="12"/>
            <w:vAlign w:val="center"/>
            <w:tcW w:w="7460" w:type="dxa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Техническое задание.</w:t>
            </w:r>
          </w:p>
        </w:tc>
      </w:tr>
      <w:tr>
        <w:tc>
          <w:tcPr>
            <w:tcW w:type="dxa" w:w="3"/>
            <w:vAlign w:val="center"/>
            <w:tcW w:w="1900" w:type="dxa"/>
          </w:tcPr>
          <w:p>
            <w:pPr>
              <w:spacing w:after="4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CRUD</w:t>
            </w:r>
          </w:p>
        </w:tc>
        <w:tc>
          <w:tcPr>
            <w:tcW w:type="dxa" w:w="12"/>
            <w:vAlign w:val="center"/>
            <w:tcW w:w="7460" w:type="dxa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Создание, чтение, изменение и удаление записей.</w:t>
            </w:r>
          </w:p>
        </w:tc>
      </w:tr>
    </w:tbl>
    <w:p>
      <w:pPr>
        <w:spacing w:before="0" w:after="40" w:line="264" w:lineRule="auto"/>
      </w:pPr>
    </w:p>
    <w:p>
      <w:r>
        <w:br w:type="page"/>
      </w:r>
    </w:p>
    <w:p>
      <w:pPr>
        <w:spacing w:before="0" w:after="20" w:line="264" w:lineRule="auto"/>
      </w:pPr>
      <w:r>
        <w:rPr>
          <w:rFonts w:ascii="Calibri" w:hAnsi="Calibri" w:eastAsia="Calibri"/>
          <w:b w:val="0"/>
          <w:i w:val="0"/>
          <w:color w:val="595959"/>
          <w:sz w:val="20"/>
        </w:rPr>
        <w:t>Раздел 3 из 12</w:t>
      </w:r>
    </w:p>
    <w:p>
      <w:pPr>
        <w:pStyle w:val="Heading1"/>
        <w:keepNext/>
        <w:spacing w:before="320" w:after="160"/>
      </w:pPr>
      <w:r>
        <w:rPr>
          <w:rFonts w:ascii="Calibri" w:hAnsi="Calibri" w:eastAsia="Calibri"/>
          <w:b/>
          <w:i w:val="0"/>
          <w:color w:val="1F4E79"/>
          <w:sz w:val="32"/>
        </w:rPr>
        <w:t>Характеристика объектов автоматизации</w:t>
      </w:r>
    </w:p>
    <w:p>
      <w:pPr>
        <w:pStyle w:val="Heading2"/>
        <w:keepNext/>
        <w:spacing w:before="220" w:after="100"/>
      </w:pPr>
      <w:r>
        <w:rPr>
          <w:rFonts w:ascii="Calibri" w:hAnsi="Calibri" w:eastAsia="Calibri"/>
          <w:b/>
          <w:i w:val="0"/>
          <w:color w:val="1F4E79"/>
          <w:sz w:val="26"/>
        </w:rPr>
        <w:t>3.1. Описание автоматизируемого процесса</w:t>
      </w:r>
    </w:p>
    <w:p>
      <w:pPr>
        <w:spacing w:before="0" w:after="12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Автоматизируется официальный публичный контур взаимодействия Комитета с населением: публикация проверенных сведений о деятельности Комитета, пресс-сообщений, направлений работы, контактов и нормативных материалов; прием первичных заявок по вопросам работы и обучения; регистрация кандидатов; прохождение первичного психологического тестирования; служебная обработка обращений, кандидатских заявок, результатов тестов и материалов сайта.</w:t>
      </w:r>
    </w:p>
    <w:p>
      <w:pPr>
        <w:pStyle w:val="Heading2"/>
        <w:keepNext/>
        <w:spacing w:before="220" w:after="100"/>
      </w:pPr>
      <w:r>
        <w:rPr>
          <w:rFonts w:ascii="Calibri" w:hAnsi="Calibri" w:eastAsia="Calibri"/>
          <w:b/>
          <w:i w:val="0"/>
          <w:color w:val="1F4E79"/>
          <w:sz w:val="26"/>
        </w:rPr>
        <w:t>3.2. Функции практики управления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Двуязычное официальное освещение деятельности Комитета на русском и казахском языках.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Публикация разделов: о Комитете, деятельность, пресс-центр, документы, контакты, прием на службу, работа с населением, социальное обеспечение, противодействие терроризму, киберщит, защита государственных секретов, защита и охрана Государственной границы.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Предоставление контактных данных: адрес центрального аппарата, канцелярия, прием граждан, телефоны доверия, пресс-служба, региональные контакты.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Подача первичного обращения по вопросам работы или обучения с выдачей кода отслеживания.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Создание учетной записи кандидата через Telegram с подтверждением телефона или через email/password.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Административная обработка обращений, кандидатских заявок, результатов тестов и материалов портала.</w:t>
      </w:r>
    </w:p>
    <w:p>
      <w:pPr>
        <w:pStyle w:val="Heading2"/>
        <w:keepNext/>
        <w:spacing w:before="220" w:after="100"/>
      </w:pPr>
      <w:r>
        <w:rPr>
          <w:rFonts w:ascii="Calibri" w:hAnsi="Calibri" w:eastAsia="Calibri"/>
          <w:b/>
          <w:i w:val="0"/>
          <w:color w:val="1F4E79"/>
          <w:sz w:val="26"/>
        </w:rPr>
        <w:t>3.3. Объект как техническая система</w:t>
      </w:r>
    </w:p>
    <w:p>
      <w:pPr>
        <w:spacing w:before="0" w:after="12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Портал строится как web/API/DB-система. Frontend реализуется на Next.js App Router, React, TypeScript и Tailwind CSS. Backend реализуется на FastAPI, SQLAlchemy 2, Pydantic и Alembic. Основная БД - PostgreSQL 16. SQLite используется только локально разработчиками. Продуктивный запуск выполняется контейнерно: web, api, postgres, reverse proxy/ingress, мониторинг, логирование и резервное копирование.</w:t>
      </w:r>
    </w:p>
    <w:p>
      <w:pPr>
        <w:pStyle w:val="Heading2"/>
        <w:keepNext/>
        <w:spacing w:before="220" w:after="100"/>
      </w:pPr>
      <w:r>
        <w:rPr>
          <w:rFonts w:ascii="Calibri" w:hAnsi="Calibri" w:eastAsia="Calibri"/>
          <w:b/>
          <w:i w:val="0"/>
          <w:color w:val="1F4E79"/>
          <w:sz w:val="26"/>
        </w:rPr>
        <w:t>3.4. Существующая практика контроля</w:t>
      </w:r>
    </w:p>
    <w:p>
      <w:pPr>
        <w:spacing w:before="0" w:after="12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Исходное состояние проекта включает подключенные backend-сценарии авторизации, обращений, кабинета кандидата, admin panel и психологических тестов. Итоговая версия закрывает оставшиеся пробелы: content CRUD, полный аудит административных действий, системные тесты, production checks, security headers, request size limits, backup/restore, healthchecks и документацию.</w:t>
      </w:r>
    </w:p>
    <w:p>
      <w:pPr>
        <w:pStyle w:val="Heading2"/>
        <w:keepNext/>
        <w:spacing w:before="220" w:after="100"/>
      </w:pPr>
      <w:r>
        <w:rPr>
          <w:rFonts w:ascii="Calibri" w:hAnsi="Calibri" w:eastAsia="Calibri"/>
          <w:b/>
          <w:i w:val="0"/>
          <w:color w:val="1F4E79"/>
          <w:sz w:val="26"/>
        </w:rPr>
        <w:t>3.5. Используемые средства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left"/>
        <w:tblLayout w:type="fixed"/>
        <w:tblCellMar>
          <w:top w:w="80" w:type="dxa"/>
          <w:start w:w="120" w:type="dxa"/>
          <w:bottom w:w="80" w:type="dxa"/>
          <w:end w:w="120" w:type="dxa"/>
        </w:tblCellMar>
        <w:tblW w:w="9360" w:type="dxa"/>
        <w:tblInd w:w="120" w:type="dxa"/>
      </w:tblPr>
      <w:tblGrid>
        <w:gridCol w:w="2300"/>
        <w:gridCol w:w="7060"/>
      </w:tblGrid>
      <w:tr>
        <w:tc>
          <w:tcPr>
            <w:tcW w:type="dxa" w:w="4"/>
            <w:shd w:fill="EEF3F8"/>
            <w:vAlign w:val="center"/>
            <w:tcW w:w="2300" w:type="dxa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Frontend</w:t>
            </w:r>
          </w:p>
        </w:tc>
        <w:tc>
          <w:tcPr>
            <w:tcW w:type="dxa" w:w="11"/>
            <w:vAlign w:val="center"/>
            <w:tcW w:w="7060" w:type="dxa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Next.js App Router, React, TypeScript, Tailwind CSS, lucide-react, Leaflet/react-leaflet.</w:t>
            </w:r>
          </w:p>
        </w:tc>
      </w:tr>
      <w:tr>
        <w:tc>
          <w:tcPr>
            <w:tcW w:type="dxa" w:w="4"/>
            <w:shd w:fill="EEF3F8"/>
            <w:vAlign w:val="center"/>
            <w:tcW w:w="2300" w:type="dxa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Backend</w:t>
            </w:r>
          </w:p>
        </w:tc>
        <w:tc>
          <w:tcPr>
            <w:tcW w:type="dxa" w:w="11"/>
            <w:vAlign w:val="center"/>
            <w:tcW w:w="7060" w:type="dxa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FastAPI, SQLAlchemy 2, Pydantic, Alembic, JWT, HttpOnly refresh cookie.</w:t>
            </w:r>
          </w:p>
        </w:tc>
      </w:tr>
      <w:tr>
        <w:tc>
          <w:tcPr>
            <w:tcW w:type="dxa" w:w="4"/>
            <w:shd w:fill="EEF3F8"/>
            <w:vAlign w:val="center"/>
            <w:tcW w:w="2300" w:type="dxa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Database</w:t>
            </w:r>
          </w:p>
        </w:tc>
        <w:tc>
          <w:tcPr>
            <w:tcW w:type="dxa" w:w="11"/>
            <w:vAlign w:val="center"/>
            <w:tcW w:w="7060" w:type="dxa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PostgreSQL 16 в Docker/production; SQLite только в локальной разработке через apps/api/.env.</w:t>
            </w:r>
          </w:p>
        </w:tc>
      </w:tr>
      <w:tr>
        <w:tc>
          <w:tcPr>
            <w:tcW w:type="dxa" w:w="4"/>
            <w:shd w:fill="EEF3F8"/>
            <w:vAlign w:val="center"/>
            <w:tcW w:w="2300" w:type="dxa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Authentication</w:t>
            </w:r>
          </w:p>
        </w:tc>
        <w:tc>
          <w:tcPr>
            <w:tcW w:type="dxa" w:w="11"/>
            <w:vAlign w:val="center"/>
            <w:tcW w:w="7060" w:type="dxa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Telegram login с подтверждением телефона через контакт бота; email/password как вторичный способ.</w:t>
            </w:r>
          </w:p>
        </w:tc>
      </w:tr>
      <w:tr>
        <w:tc>
          <w:tcPr>
            <w:tcW w:type="dxa" w:w="4"/>
            <w:shd w:fill="EEF3F8"/>
            <w:vAlign w:val="center"/>
            <w:tcW w:w="2300" w:type="dxa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Admin access</w:t>
            </w:r>
          </w:p>
        </w:tc>
        <w:tc>
          <w:tcPr>
            <w:tcW w:type="dxa" w:w="11"/>
            <w:vAlign w:val="center"/>
            <w:tcW w:w="7060" w:type="dxa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Двухступенчатый доступ: обычная portal session разрешенного пользователя и отдельный admin_session JWT.</w:t>
            </w:r>
          </w:p>
        </w:tc>
      </w:tr>
    </w:tbl>
    <w:p>
      <w:pPr>
        <w:spacing w:before="0" w:after="40" w:line="264" w:lineRule="auto"/>
      </w:pPr>
    </w:p>
    <w:p>
      <w:pPr>
        <w:pStyle w:val="Heading2"/>
        <w:keepNext/>
        <w:spacing w:before="220" w:after="100"/>
      </w:pPr>
      <w:r>
        <w:rPr>
          <w:rFonts w:ascii="Calibri" w:hAnsi="Calibri" w:eastAsia="Calibri"/>
          <w:b/>
          <w:i w:val="0"/>
          <w:color w:val="1F4E79"/>
          <w:sz w:val="26"/>
        </w:rPr>
        <w:t>3.6. Проблемы текущего состояния и закрывающие решения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left"/>
        <w:tblLayout w:type="fixed"/>
        <w:tblCellMar>
          <w:top w:w="80" w:type="dxa"/>
          <w:start w:w="120" w:type="dxa"/>
          <w:bottom w:w="80" w:type="dxa"/>
          <w:end w:w="120" w:type="dxa"/>
        </w:tblCellMar>
        <w:tblW w:w="9360" w:type="dxa"/>
        <w:tblInd w:w="120" w:type="dxa"/>
      </w:tblPr>
      <w:tblGrid>
        <w:gridCol w:w="3200"/>
        <w:gridCol w:w="6160"/>
      </w:tblGrid>
      <w:tr>
        <w:tc>
          <w:tcPr>
            <w:tcW w:type="dxa" w:w="5"/>
            <w:shd w:fill="EEF3F8"/>
            <w:tcW w:w="3200" w:type="dxa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9"/>
              </w:rPr>
              <w:t>Проблема</w:t>
            </w:r>
          </w:p>
        </w:tc>
        <w:tc>
          <w:tcPr>
            <w:tcW w:type="dxa" w:w="10"/>
            <w:shd w:fill="EEF3F8"/>
            <w:tcW w:w="6160" w:type="dxa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9"/>
              </w:rPr>
              <w:t>Решение в настоящем ТЗ</w:t>
            </w:r>
          </w:p>
        </w:tc>
      </w:tr>
      <w:tr>
        <w:tc>
          <w:tcPr>
            <w:tcW w:type="dxa" w:w="5"/>
            <w:vAlign w:val="center"/>
            <w:tcW w:w="3200" w:type="dxa"/>
          </w:tcPr>
          <w:p>
            <w:pPr>
              <w:spacing w:after="4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Статические данные в frontend</w:t>
            </w:r>
          </w:p>
        </w:tc>
        <w:tc>
          <w:tcPr>
            <w:tcW w:type="dxa" w:w="10"/>
            <w:vAlign w:val="center"/>
            <w:tcW w:w="6160" w:type="dxa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Перенести активные разделы в backend-backed content CRUD с локалями ru/kk.</w:t>
            </w:r>
          </w:p>
        </w:tc>
      </w:tr>
      <w:tr>
        <w:tc>
          <w:tcPr>
            <w:tcW w:type="dxa" w:w="5"/>
            <w:vAlign w:val="center"/>
            <w:tcW w:w="3200" w:type="dxa"/>
          </w:tcPr>
          <w:p>
            <w:pPr>
              <w:spacing w:after="4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Неполный аудит</w:t>
            </w:r>
          </w:p>
        </w:tc>
        <w:tc>
          <w:tcPr>
            <w:tcW w:type="dxa" w:w="10"/>
            <w:vAlign w:val="center"/>
            <w:tcW w:w="6160" w:type="dxa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Логировать все create/update/delete/status/login-security действия.</w:t>
            </w:r>
          </w:p>
        </w:tc>
      </w:tr>
      <w:tr>
        <w:tc>
          <w:tcPr>
            <w:tcW w:type="dxa" w:w="5"/>
            <w:vAlign w:val="center"/>
            <w:tcW w:w="3200" w:type="dxa"/>
          </w:tcPr>
          <w:p>
            <w:pPr>
              <w:spacing w:after="4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Неполная security readiness</w:t>
            </w:r>
          </w:p>
        </w:tc>
        <w:tc>
          <w:tcPr>
            <w:tcW w:type="dxa" w:w="10"/>
            <w:vAlign w:val="center"/>
            <w:tcW w:w="6160" w:type="dxa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Включить CORS allowlist, trusted hosts, CSRF для cookie flows, body limits, headers, startup secret checks.</w:t>
            </w:r>
          </w:p>
        </w:tc>
      </w:tr>
      <w:tr>
        <w:tc>
          <w:tcPr>
            <w:tcW w:type="dxa" w:w="5"/>
            <w:vAlign w:val="center"/>
            <w:tcW w:w="3200" w:type="dxa"/>
          </w:tcPr>
          <w:p>
            <w:pPr>
              <w:spacing w:after="4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Неполное тестирование</w:t>
            </w:r>
          </w:p>
        </w:tc>
        <w:tc>
          <w:tcPr>
            <w:tcW w:type="dxa" w:w="10"/>
            <w:vAlign w:val="center"/>
            <w:tcW w:w="6160" w:type="dxa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Добавить backend tests и frontend typecheck/build/smoke для ru/kk flows.</w:t>
            </w:r>
          </w:p>
        </w:tc>
      </w:tr>
      <w:tr>
        <w:tc>
          <w:tcPr>
            <w:tcW w:type="dxa" w:w="5"/>
            <w:vAlign w:val="center"/>
            <w:tcW w:w="3200" w:type="dxa"/>
          </w:tcPr>
          <w:p>
            <w:pPr>
              <w:spacing w:after="4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Неполная эксплуатация</w:t>
            </w:r>
          </w:p>
        </w:tc>
        <w:tc>
          <w:tcPr>
            <w:tcW w:type="dxa" w:w="10"/>
            <w:vAlign w:val="center"/>
            <w:tcW w:w="6160" w:type="dxa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Добавить healthchecks, non-root containers, env docs, backup/restore, logging и monitoring checklist.</w:t>
            </w:r>
          </w:p>
        </w:tc>
      </w:tr>
    </w:tbl>
    <w:p>
      <w:pPr>
        <w:spacing w:before="0" w:after="40" w:line="264" w:lineRule="auto"/>
      </w:pPr>
    </w:p>
    <w:p>
      <w:pPr>
        <w:pStyle w:val="Heading2"/>
        <w:keepNext/>
        <w:spacing w:before="220" w:after="100"/>
      </w:pPr>
      <w:r>
        <w:rPr>
          <w:rFonts w:ascii="Calibri" w:hAnsi="Calibri" w:eastAsia="Calibri"/>
          <w:b/>
          <w:i w:val="0"/>
          <w:color w:val="1F4E79"/>
          <w:sz w:val="26"/>
        </w:rPr>
        <w:t>3.7. Условия эксплуатации</w:t>
      </w:r>
    </w:p>
    <w:p>
      <w:pPr>
        <w:spacing w:before="0" w:after="12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Продуктивная среда размещается в инфраструктуре с TLS 1.2+, WAF/rate limiting на периметре, закрытой сетью БД, отдельными staging и production окружениями, централизованным сбором логов, мониторингом доступности, ежедневными резервными копиями PostgreSQL и запретом публичного доступа к порту БД.</w:t>
      </w:r>
    </w:p>
    <w:p>
      <w:pPr>
        <w:pStyle w:val="Heading2"/>
        <w:keepNext/>
        <w:spacing w:before="220" w:after="100"/>
      </w:pPr>
      <w:r>
        <w:rPr>
          <w:rFonts w:ascii="Calibri" w:hAnsi="Calibri" w:eastAsia="Calibri"/>
          <w:b/>
          <w:i w:val="0"/>
          <w:color w:val="1F4E79"/>
          <w:sz w:val="26"/>
        </w:rPr>
        <w:t>3.8. Предлагаемая структура обеспечения</w:t>
      </w:r>
    </w:p>
    <w:p>
      <w:pPr>
        <w:spacing w:before="0" w:after="12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Структура обеспечения включает исходный код, миграции Alembic, CI checks, контейнеры web/api/db, инструкции запуска, инструкции эксплуатации, матрицу ролей, документацию API, журнал аудита, журнал попыток входа и эксплуатационный регламент.</w:t>
      </w:r>
    </w:p>
    <w:p>
      <w:r>
        <w:br w:type="page"/>
      </w:r>
    </w:p>
    <w:p>
      <w:pPr>
        <w:spacing w:before="0" w:after="20" w:line="264" w:lineRule="auto"/>
      </w:pPr>
      <w:r>
        <w:rPr>
          <w:rFonts w:ascii="Calibri" w:hAnsi="Calibri" w:eastAsia="Calibri"/>
          <w:b w:val="0"/>
          <w:i w:val="0"/>
          <w:color w:val="595959"/>
          <w:sz w:val="20"/>
        </w:rPr>
        <w:t>Раздел 4 из 12</w:t>
      </w:r>
    </w:p>
    <w:p>
      <w:pPr>
        <w:pStyle w:val="Heading1"/>
        <w:keepNext/>
        <w:spacing w:before="320" w:after="160"/>
      </w:pPr>
      <w:r>
        <w:rPr>
          <w:rFonts w:ascii="Calibri" w:hAnsi="Calibri" w:eastAsia="Calibri"/>
          <w:b/>
          <w:i w:val="0"/>
          <w:color w:val="1F4E79"/>
          <w:sz w:val="32"/>
        </w:rPr>
        <w:t>Требования к системе в целом</w:t>
      </w:r>
    </w:p>
    <w:p>
      <w:pPr>
        <w:spacing w:before="0" w:after="12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Портал является официальным государственным интернет-ресурсом с двумя локалями: /ru и /kk. Все публичные материалы, формы, статусы и ошибки выводятся на языке выбранной локали. Английская локаль, отдельный /mobile сайт, поиск, загрузка файлов, eGov/ЭЦП/SMS/external identity integrations и managed document storage исключены из первой продуктивной версии.</w:t>
      </w:r>
    </w:p>
    <w:p>
      <w:pPr>
        <w:pStyle w:val="Heading2"/>
        <w:keepNext/>
        <w:spacing w:before="220" w:after="100"/>
      </w:pPr>
      <w:r>
        <w:rPr>
          <w:rFonts w:ascii="Calibri" w:hAnsi="Calibri" w:eastAsia="Calibri"/>
          <w:b/>
          <w:i w:val="0"/>
          <w:color w:val="1F4E79"/>
          <w:sz w:val="26"/>
        </w:rPr>
        <w:t>4.1. Архитектурные требования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Frontend и API являются stateless-компонентами и масштабируются горизонтально.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Access token хранится в browser session storage; refresh token хранится только в HttpOnly cookie.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Refresh sessions хранятся в таблице RefreshSession, поддерживают rotation, revocation, срок жизни 30 дней и привязку к user_agent/ip для журнала.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Все изменения схемы БД выполняются только через Alembic migrations; Base.metadata.create_all() в runtime запрещен.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Все публичные и административные payload проходят Pydantic validation.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Все запросы к БД выполняются через ORM/query parameterization без ручной сборки SQL из пользовательского ввода.</w:t>
      </w:r>
    </w:p>
    <w:p>
      <w:pPr>
        <w:pStyle w:val="Heading2"/>
        <w:keepNext/>
        <w:spacing w:before="220" w:after="100"/>
      </w:pPr>
      <w:r>
        <w:rPr>
          <w:rFonts w:ascii="Calibri" w:hAnsi="Calibri" w:eastAsia="Calibri"/>
          <w:b/>
          <w:i w:val="0"/>
          <w:color w:val="1F4E79"/>
          <w:sz w:val="26"/>
        </w:rPr>
        <w:t>4.2. Функциональный состав первой версии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left"/>
        <w:tblLayout w:type="fixed"/>
        <w:tblCellMar>
          <w:top w:w="80" w:type="dxa"/>
          <w:start w:w="120" w:type="dxa"/>
          <w:bottom w:w="80" w:type="dxa"/>
          <w:end w:w="120" w:type="dxa"/>
        </w:tblCellMar>
        <w:tblW w:w="9360" w:type="dxa"/>
        <w:tblInd w:w="120" w:type="dxa"/>
      </w:tblPr>
      <w:tblGrid>
        <w:gridCol w:w="1800"/>
        <w:gridCol w:w="7560"/>
      </w:tblGrid>
      <w:tr>
        <w:tc>
          <w:tcPr>
            <w:tcW w:type="dxa" w:w="3"/>
            <w:shd w:fill="EEF3F8"/>
            <w:tcW w:w="1800" w:type="dxa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9"/>
              </w:rPr>
              <w:t>Модуль</w:t>
            </w:r>
          </w:p>
        </w:tc>
        <w:tc>
          <w:tcPr>
            <w:tcW w:type="dxa" w:w="12"/>
            <w:shd w:fill="EEF3F8"/>
            <w:tcW w:w="7560" w:type="dxa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9"/>
              </w:rPr>
              <w:t>Состав</w:t>
            </w:r>
          </w:p>
        </w:tc>
      </w:tr>
      <w:tr>
        <w:tc>
          <w:tcPr>
            <w:tcW w:type="dxa" w:w="3"/>
            <w:vAlign w:val="center"/>
            <w:tcW w:w="1800" w:type="dxa"/>
          </w:tcPr>
          <w:p>
            <w:pPr>
              <w:spacing w:after="4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Public Portal</w:t>
            </w:r>
          </w:p>
        </w:tc>
        <w:tc>
          <w:tcPr>
            <w:tcW w:type="dxa" w:w="12"/>
            <w:vAlign w:val="center"/>
            <w:tcW w:w="7560" w:type="dxa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Главная, о Комитете, направления, пресс-центр, документы, контакты, прием на службу, работа с населением, нормативная база.</w:t>
            </w:r>
          </w:p>
        </w:tc>
      </w:tr>
      <w:tr>
        <w:tc>
          <w:tcPr>
            <w:tcW w:type="dxa" w:w="3"/>
            <w:vAlign w:val="center"/>
            <w:tcW w:w="1800" w:type="dxa"/>
          </w:tcPr>
          <w:p>
            <w:pPr>
              <w:spacing w:after="4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Appeals</w:t>
            </w:r>
          </w:p>
        </w:tc>
        <w:tc>
          <w:tcPr>
            <w:tcW w:type="dxa" w:w="12"/>
            <w:vAlign w:val="center"/>
            <w:tcW w:w="7560" w:type="dxa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Подача первичного обращения, tracking code, проверка статуса.</w:t>
            </w:r>
          </w:p>
        </w:tc>
      </w:tr>
      <w:tr>
        <w:tc>
          <w:tcPr>
            <w:tcW w:type="dxa" w:w="3"/>
            <w:vAlign w:val="center"/>
            <w:tcW w:w="1800" w:type="dxa"/>
          </w:tcPr>
          <w:p>
            <w:pPr>
              <w:spacing w:after="4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Candidate Account</w:t>
            </w:r>
          </w:p>
        </w:tc>
        <w:tc>
          <w:tcPr>
            <w:tcW w:type="dxa" w:w="12"/>
            <w:vAlign w:val="center"/>
            <w:tcW w:w="7560" w:type="dxa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Регистрация, login, logout, refresh, профиль, заявка, статус, результаты тестов.</w:t>
            </w:r>
          </w:p>
        </w:tc>
      </w:tr>
      <w:tr>
        <w:tc>
          <w:tcPr>
            <w:tcW w:type="dxa" w:w="3"/>
            <w:vAlign w:val="center"/>
            <w:tcW w:w="1800" w:type="dxa"/>
          </w:tcPr>
          <w:p>
            <w:pPr>
              <w:spacing w:after="4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Psychological Testing</w:t>
            </w:r>
          </w:p>
        </w:tc>
        <w:tc>
          <w:tcPr>
            <w:tcW w:type="dxa" w:w="12"/>
            <w:vAlign w:val="center"/>
            <w:tcW w:w="7560" w:type="dxa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Intro page, authenticated full-screen runner, timer, sections, answer persistence, results list.</w:t>
            </w:r>
          </w:p>
        </w:tc>
      </w:tr>
      <w:tr>
        <w:tc>
          <w:tcPr>
            <w:tcW w:type="dxa" w:w="3"/>
            <w:vAlign w:val="center"/>
            <w:tcW w:w="1800" w:type="dxa"/>
          </w:tcPr>
          <w:p>
            <w:pPr>
              <w:spacing w:after="4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Admin Panel</w:t>
            </w:r>
          </w:p>
        </w:tc>
        <w:tc>
          <w:tcPr>
            <w:tcW w:type="dxa" w:w="12"/>
            <w:vAlign w:val="center"/>
            <w:tcW w:w="7560" w:type="dxa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Dashboard, appeals, candidate applications, psychological results, content CRUD, audit log.</w:t>
            </w:r>
          </w:p>
        </w:tc>
      </w:tr>
      <w:tr>
        <w:tc>
          <w:tcPr>
            <w:tcW w:type="dxa" w:w="3"/>
            <w:vAlign w:val="center"/>
            <w:tcW w:w="1800" w:type="dxa"/>
          </w:tcPr>
          <w:p>
            <w:pPr>
              <w:spacing w:after="4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Security</w:t>
            </w:r>
          </w:p>
        </w:tc>
        <w:tc>
          <w:tcPr>
            <w:tcW w:type="dxa" w:w="12"/>
            <w:vAlign w:val="center"/>
            <w:tcW w:w="7560" w:type="dxa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RBAC, admin_session, throttling, CORS, trusted hosts, security headers, CSRF, request limits.</w:t>
            </w:r>
          </w:p>
        </w:tc>
      </w:tr>
    </w:tbl>
    <w:p>
      <w:pPr>
        <w:spacing w:before="0" w:after="40" w:line="264" w:lineRule="auto"/>
      </w:pPr>
    </w:p>
    <w:p>
      <w:pPr>
        <w:pStyle w:val="Heading2"/>
        <w:keepNext/>
        <w:spacing w:before="220" w:after="100"/>
      </w:pPr>
      <w:r>
        <w:rPr>
          <w:rFonts w:ascii="Calibri" w:hAnsi="Calibri" w:eastAsia="Calibri"/>
          <w:b/>
          <w:i w:val="0"/>
          <w:color w:val="1F4E79"/>
          <w:sz w:val="26"/>
        </w:rPr>
        <w:t>4.3. Нефункциональные параметры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left"/>
        <w:tblLayout w:type="fixed"/>
        <w:tblCellMar>
          <w:top w:w="80" w:type="dxa"/>
          <w:start w:w="120" w:type="dxa"/>
          <w:bottom w:w="80" w:type="dxa"/>
          <w:end w:w="120" w:type="dxa"/>
        </w:tblCellMar>
        <w:tblW w:w="9360" w:type="dxa"/>
        <w:tblInd w:w="120" w:type="dxa"/>
      </w:tblPr>
      <w:tblGrid>
        <w:gridCol w:w="2300"/>
        <w:gridCol w:w="7060"/>
      </w:tblGrid>
      <w:tr>
        <w:tc>
          <w:tcPr>
            <w:tcW w:type="dxa" w:w="4"/>
            <w:shd w:fill="EEF3F8"/>
            <w:tcW w:w="2300" w:type="dxa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9"/>
              </w:rPr>
              <w:t>Параметр</w:t>
            </w:r>
          </w:p>
        </w:tc>
        <w:tc>
          <w:tcPr>
            <w:tcW w:type="dxa" w:w="11"/>
            <w:shd w:fill="EEF3F8"/>
            <w:tcW w:w="7060" w:type="dxa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9"/>
              </w:rPr>
              <w:t>Требование</w:t>
            </w:r>
          </w:p>
        </w:tc>
      </w:tr>
      <w:tr>
        <w:tc>
          <w:tcPr>
            <w:tcW w:type="dxa" w:w="4"/>
            <w:vAlign w:val="center"/>
            <w:tcW w:w="2300" w:type="dxa"/>
          </w:tcPr>
          <w:p>
            <w:pPr>
              <w:spacing w:after="4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Availability</w:t>
            </w:r>
          </w:p>
        </w:tc>
        <w:tc>
          <w:tcPr>
            <w:tcW w:type="dxa" w:w="11"/>
            <w:vAlign w:val="center"/>
            <w:tcW w:w="7060" w:type="dxa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99,5% календарного месяца для web/API при исправной инфраструктуре.</w:t>
            </w:r>
          </w:p>
        </w:tc>
      </w:tr>
      <w:tr>
        <w:tc>
          <w:tcPr>
            <w:tcW w:type="dxa" w:w="4"/>
            <w:vAlign w:val="center"/>
            <w:tcW w:w="2300" w:type="dxa"/>
          </w:tcPr>
          <w:p>
            <w:pPr>
              <w:spacing w:after="4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API latency</w:t>
            </w:r>
          </w:p>
        </w:tc>
        <w:tc>
          <w:tcPr>
            <w:tcW w:type="dxa" w:w="11"/>
            <w:vAlign w:val="center"/>
            <w:tcW w:w="7060" w:type="dxa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p95 до 1000 мс для чтения и до 2000 мс для записи при штатной нагрузке до 100 одновременных пользователей.</w:t>
            </w:r>
          </w:p>
        </w:tc>
      </w:tr>
      <w:tr>
        <w:tc>
          <w:tcPr>
            <w:tcW w:type="dxa" w:w="4"/>
            <w:vAlign w:val="center"/>
            <w:tcW w:w="2300" w:type="dxa"/>
          </w:tcPr>
          <w:p>
            <w:pPr>
              <w:spacing w:after="4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Backup</w:t>
            </w:r>
          </w:p>
        </w:tc>
        <w:tc>
          <w:tcPr>
            <w:tcW w:type="dxa" w:w="11"/>
            <w:vAlign w:val="center"/>
            <w:tcW w:w="7060" w:type="dxa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Ежедневно в 02:00 Asia/Almaty; хранение ежедневных копий 14 дней, еженедельных 8 недель, ежемесячных 12 месяцев.</w:t>
            </w:r>
          </w:p>
        </w:tc>
      </w:tr>
      <w:tr>
        <w:tc>
          <w:tcPr>
            <w:tcW w:type="dxa" w:w="4"/>
            <w:vAlign w:val="center"/>
            <w:tcW w:w="2300" w:type="dxa"/>
          </w:tcPr>
          <w:p>
            <w:pPr>
              <w:spacing w:after="4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Recovery</w:t>
            </w:r>
          </w:p>
        </w:tc>
        <w:tc>
          <w:tcPr>
            <w:tcW w:type="dxa" w:w="11"/>
            <w:vAlign w:val="center"/>
            <w:tcW w:w="7060" w:type="dxa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RPO 24 часа, RTO 4 часа.</w:t>
            </w:r>
          </w:p>
        </w:tc>
      </w:tr>
      <w:tr>
        <w:tc>
          <w:tcPr>
            <w:tcW w:type="dxa" w:w="4"/>
            <w:vAlign w:val="center"/>
            <w:tcW w:w="2300" w:type="dxa"/>
          </w:tcPr>
          <w:p>
            <w:pPr>
              <w:spacing w:after="4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Logging</w:t>
            </w:r>
          </w:p>
        </w:tc>
        <w:tc>
          <w:tcPr>
            <w:tcW w:type="dxa" w:w="11"/>
            <w:vAlign w:val="center"/>
            <w:tcW w:w="7060" w:type="dxa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Application logs и audit logs хранятся 12 месяцев; security events - 24 месяца.</w:t>
            </w:r>
          </w:p>
        </w:tc>
      </w:tr>
      <w:tr>
        <w:tc>
          <w:tcPr>
            <w:tcW w:type="dxa" w:w="4"/>
            <w:vAlign w:val="center"/>
            <w:tcW w:w="2300" w:type="dxa"/>
          </w:tcPr>
          <w:p>
            <w:pPr>
              <w:spacing w:after="4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Accessibility</w:t>
            </w:r>
          </w:p>
        </w:tc>
        <w:tc>
          <w:tcPr>
            <w:tcW w:type="dxa" w:w="11"/>
            <w:vAlign w:val="center"/>
            <w:tcW w:w="7060" w:type="dxa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Контрастность, keyboard navigation, readable focus states, semantic headings, формы с labels.</w:t>
            </w:r>
          </w:p>
        </w:tc>
      </w:tr>
    </w:tbl>
    <w:p>
      <w:pPr>
        <w:spacing w:before="0" w:after="40" w:line="264" w:lineRule="auto"/>
      </w:pPr>
    </w:p>
    <w:p>
      <w:r>
        <w:br w:type="page"/>
      </w:r>
    </w:p>
    <w:p>
      <w:pPr>
        <w:spacing w:before="0" w:after="20" w:line="264" w:lineRule="auto"/>
      </w:pPr>
      <w:r>
        <w:rPr>
          <w:rFonts w:ascii="Calibri" w:hAnsi="Calibri" w:eastAsia="Calibri"/>
          <w:b w:val="0"/>
          <w:i w:val="0"/>
          <w:color w:val="595959"/>
          <w:sz w:val="20"/>
        </w:rPr>
        <w:t>Раздел 5 из 12</w:t>
      </w:r>
    </w:p>
    <w:p>
      <w:pPr>
        <w:pStyle w:val="Heading1"/>
        <w:keepNext/>
        <w:spacing w:before="320" w:after="160"/>
      </w:pPr>
      <w:r>
        <w:rPr>
          <w:rFonts w:ascii="Calibri" w:hAnsi="Calibri" w:eastAsia="Calibri"/>
          <w:b/>
          <w:i w:val="0"/>
          <w:color w:val="1F4E79"/>
          <w:sz w:val="32"/>
        </w:rPr>
        <w:t>Требования к структуре и функционированию системы</w:t>
      </w:r>
    </w:p>
    <w:p>
      <w:pPr>
        <w:pStyle w:val="Heading2"/>
        <w:keepNext/>
        <w:spacing w:before="220" w:after="100"/>
      </w:pPr>
      <w:r>
        <w:rPr>
          <w:rFonts w:ascii="Calibri" w:hAnsi="Calibri" w:eastAsia="Calibri"/>
          <w:b/>
          <w:i w:val="0"/>
          <w:color w:val="1F4E79"/>
          <w:sz w:val="26"/>
        </w:rPr>
        <w:t>5.1. Подсистемы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left"/>
        <w:tblLayout w:type="fixed"/>
        <w:tblCellMar>
          <w:top w:w="80" w:type="dxa"/>
          <w:start w:w="120" w:type="dxa"/>
          <w:bottom w:w="80" w:type="dxa"/>
          <w:end w:w="120" w:type="dxa"/>
        </w:tblCellMar>
        <w:tblW w:w="9360" w:type="dxa"/>
        <w:tblInd w:w="120" w:type="dxa"/>
      </w:tblPr>
      <w:tblGrid>
        <w:gridCol w:w="1500"/>
        <w:gridCol w:w="3600"/>
        <w:gridCol w:w="4260"/>
      </w:tblGrid>
      <w:tr>
        <w:tc>
          <w:tcPr>
            <w:tcW w:type="dxa" w:w="2"/>
            <w:shd w:fill="EEF3F8"/>
            <w:tcW w:w="1500" w:type="dxa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9"/>
              </w:rPr>
              <w:t>Подсистема</w:t>
            </w:r>
          </w:p>
        </w:tc>
        <w:tc>
          <w:tcPr>
            <w:tcW w:type="dxa" w:w="6"/>
            <w:shd w:fill="EEF3F8"/>
            <w:tcW w:w="3600" w:type="dxa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9"/>
              </w:rPr>
              <w:t>Функции</w:t>
            </w:r>
          </w:p>
        </w:tc>
        <w:tc>
          <w:tcPr>
            <w:tcW w:type="dxa" w:w="7"/>
            <w:shd w:fill="EEF3F8"/>
            <w:tcW w:w="4260" w:type="dxa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9"/>
              </w:rPr>
              <w:t>Данные</w:t>
            </w:r>
          </w:p>
        </w:tc>
      </w:tr>
      <w:tr>
        <w:tc>
          <w:tcPr>
            <w:tcW w:type="dxa" w:w="2"/>
            <w:vAlign w:val="center"/>
            <w:tcW w:w="1500" w:type="dxa"/>
          </w:tcPr>
          <w:p>
            <w:pPr>
              <w:spacing w:after="4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Публичный сайт</w:t>
            </w:r>
          </w:p>
        </w:tc>
        <w:tc>
          <w:tcPr>
            <w:tcW w:type="dxa" w:w="6"/>
            <w:vAlign w:val="center"/>
            <w:tcW w:w="3600" w:type="dxa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Освещение деятельности Комитета, новости, направления, контакты, документы.</w:t>
            </w:r>
          </w:p>
        </w:tc>
        <w:tc>
          <w:tcPr>
            <w:tcW w:type="dxa" w:w="7"/>
            <w:vAlign w:val="center"/>
            <w:tcW w:w="4260" w:type="dxa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Page, News, RegionOffice, static legal links.</w:t>
            </w:r>
          </w:p>
        </w:tc>
      </w:tr>
      <w:tr>
        <w:tc>
          <w:tcPr>
            <w:tcW w:type="dxa" w:w="2"/>
            <w:vAlign w:val="center"/>
            <w:tcW w:w="1500" w:type="dxa"/>
          </w:tcPr>
          <w:p>
            <w:pPr>
              <w:spacing w:after="4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Авторизация</w:t>
            </w:r>
          </w:p>
        </w:tc>
        <w:tc>
          <w:tcPr>
            <w:tcW w:type="dxa" w:w="6"/>
            <w:vAlign w:val="center"/>
            <w:tcW w:w="3600" w:type="dxa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Telegram start/webhook/complete, email/password register/login, refresh, logout, /auth/me.</w:t>
            </w:r>
          </w:p>
        </w:tc>
        <w:tc>
          <w:tcPr>
            <w:tcW w:type="dxa" w:w="7"/>
            <w:vAlign w:val="center"/>
            <w:tcW w:w="4260" w:type="dxa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User, TelegramLoginChallenge, RefreshSession, LoginAttempt.</w:t>
            </w:r>
          </w:p>
        </w:tc>
      </w:tr>
      <w:tr>
        <w:tc>
          <w:tcPr>
            <w:tcW w:type="dxa" w:w="2"/>
            <w:vAlign w:val="center"/>
            <w:tcW w:w="1500" w:type="dxa"/>
          </w:tcPr>
          <w:p>
            <w:pPr>
              <w:spacing w:after="4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Кандидат</w:t>
            </w:r>
          </w:p>
        </w:tc>
        <w:tc>
          <w:tcPr>
            <w:tcW w:type="dxa" w:w="6"/>
            <w:vAlign w:val="center"/>
            <w:tcW w:w="3600" w:type="dxa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Кабинет, кандидатская заявка, статус, психологические результаты.</w:t>
            </w:r>
          </w:p>
        </w:tc>
        <w:tc>
          <w:tcPr>
            <w:tcW w:type="dxa" w:w="7"/>
            <w:vAlign w:val="center"/>
            <w:tcW w:w="4260" w:type="dxa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CandidateApplication, PsychologicalTestResult.</w:t>
            </w:r>
          </w:p>
        </w:tc>
      </w:tr>
      <w:tr>
        <w:tc>
          <w:tcPr>
            <w:tcW w:type="dxa" w:w="2"/>
            <w:vAlign w:val="center"/>
            <w:tcW w:w="1500" w:type="dxa"/>
          </w:tcPr>
          <w:p>
            <w:pPr>
              <w:spacing w:after="4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Обращения</w:t>
            </w:r>
          </w:p>
        </w:tc>
        <w:tc>
          <w:tcPr>
            <w:tcW w:type="dxa" w:w="6"/>
            <w:vAlign w:val="center"/>
            <w:tcW w:w="3600" w:type="dxa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Подача, tracking, статусы, модерация.</w:t>
            </w:r>
          </w:p>
        </w:tc>
        <w:tc>
          <w:tcPr>
            <w:tcW w:type="dxa" w:w="7"/>
            <w:vAlign w:val="center"/>
            <w:tcW w:w="4260" w:type="dxa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Appeal, AuditLog.</w:t>
            </w:r>
          </w:p>
        </w:tc>
      </w:tr>
      <w:tr>
        <w:tc>
          <w:tcPr>
            <w:tcW w:type="dxa" w:w="2"/>
            <w:vAlign w:val="center"/>
            <w:tcW w:w="1500" w:type="dxa"/>
          </w:tcPr>
          <w:p>
            <w:pPr>
              <w:spacing w:after="4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Администрирование</w:t>
            </w:r>
          </w:p>
        </w:tc>
        <w:tc>
          <w:tcPr>
            <w:tcW w:type="dxa" w:w="6"/>
            <w:vAlign w:val="center"/>
            <w:tcW w:w="3600" w:type="dxa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Dashboard, модерация, content CRUD, аудит.</w:t>
            </w:r>
          </w:p>
        </w:tc>
        <w:tc>
          <w:tcPr>
            <w:tcW w:type="dxa" w:w="7"/>
            <w:vAlign w:val="center"/>
            <w:tcW w:w="4260" w:type="dxa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User, AuditLog, Page, News, RegionOffice.</w:t>
            </w:r>
          </w:p>
        </w:tc>
      </w:tr>
      <w:tr>
        <w:tc>
          <w:tcPr>
            <w:tcW w:type="dxa" w:w="2"/>
            <w:vAlign w:val="center"/>
            <w:tcW w:w="1500" w:type="dxa"/>
          </w:tcPr>
          <w:p>
            <w:pPr>
              <w:spacing w:after="4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Эксплуатация</w:t>
            </w:r>
          </w:p>
        </w:tc>
        <w:tc>
          <w:tcPr>
            <w:tcW w:type="dxa" w:w="6"/>
            <w:vAlign w:val="center"/>
            <w:tcW w:w="3600" w:type="dxa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Health, migrations, logs, backup, monitoring.</w:t>
            </w:r>
          </w:p>
        </w:tc>
        <w:tc>
          <w:tcPr>
            <w:tcW w:type="dxa" w:w="7"/>
            <w:vAlign w:val="center"/>
            <w:tcW w:w="4260" w:type="dxa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PostgreSQL backups, application logs, metrics.</w:t>
            </w:r>
          </w:p>
        </w:tc>
      </w:tr>
    </w:tbl>
    <w:p>
      <w:pPr>
        <w:spacing w:before="0" w:after="40" w:line="264" w:lineRule="auto"/>
      </w:pPr>
    </w:p>
    <w:p>
      <w:pPr>
        <w:pStyle w:val="Heading2"/>
        <w:keepNext/>
        <w:spacing w:before="220" w:after="100"/>
      </w:pPr>
      <w:r>
        <w:rPr>
          <w:rFonts w:ascii="Calibri" w:hAnsi="Calibri" w:eastAsia="Calibri"/>
          <w:b/>
          <w:i w:val="0"/>
          <w:color w:val="1F4E79"/>
          <w:sz w:val="26"/>
        </w:rPr>
        <w:t>5.2. Режимы функционирования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Штатный режим: web/API/DB доступны, пользователи проходят публичные и кабинетные сценарии.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Режим обслуживания: публичный сайт показывает страницу технических работ; admin/API доступны только техническому оператору.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Аварийный режим: запись новых обращений временно блокируется, чтение публичного контента сохраняется из кеша/reverse proxy, инцидент фиксируется в журнале.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Staging режим: тестовая среда с отдельной БД и отдельными секретами; production данные не копируются без обезличивания.</w:t>
      </w:r>
    </w:p>
    <w:p>
      <w:pPr>
        <w:pStyle w:val="Heading2"/>
        <w:keepNext/>
        <w:spacing w:before="220" w:after="100"/>
      </w:pPr>
      <w:r>
        <w:rPr>
          <w:rFonts w:ascii="Calibri" w:hAnsi="Calibri" w:eastAsia="Calibri"/>
          <w:b/>
          <w:i w:val="0"/>
          <w:color w:val="1F4E79"/>
          <w:sz w:val="26"/>
        </w:rPr>
        <w:t>5.3. Надежность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Все write-операции обращений, заявок, результатов тестов и admin actions выполняются транзакционно.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Tracking code обращения и кандидатской заявки уникален и индексируется.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Refresh-token rotation не допускает повторное использование старого refresh token.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При недоступности API frontend показывает локализованную ошибку и кнопку повторной попытки.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Миграции проверяются на пустой БД и на копии staging БД перед production deployment.</w:t>
      </w:r>
    </w:p>
    <w:p>
      <w:pPr>
        <w:pStyle w:val="Heading2"/>
        <w:keepNext/>
        <w:spacing w:before="220" w:after="100"/>
      </w:pPr>
      <w:r>
        <w:rPr>
          <w:rFonts w:ascii="Calibri" w:hAnsi="Calibri" w:eastAsia="Calibri"/>
          <w:b/>
          <w:i w:val="0"/>
          <w:color w:val="1F4E79"/>
          <w:sz w:val="26"/>
        </w:rPr>
        <w:t>5.4. Безопасность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Пароли хэшируются стойким алгоритмом; plaintext password не логируется и не сохраняется.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Telegram phone confirmation считается действительной только при contact.user_id == message.from.id.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Webhook Telegram принимает запросы только с валидным secret token в production.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Admin API требует admin_session claim; обычной роли пользователя недостаточно.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CORS_ORIGINS и ALLOWED_HOSTS задаются allowlist; wildcard в production запрещен.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Cookie refresh устанавливается с HttpOnly, Secure и SameSite=Lax в production.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CSRF token применяется к cookie-backed state-changing flows.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Request body limit: 256 KB для публичных форм, 1 MB для admin content API.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Security headers: Content-Security-Policy, X-Frame-Options/Frame-Ancestors, X-Content-Type-Options, Referrer-Policy, Permissions-Policy, HSTS на TLS ingress.</w:t>
      </w:r>
    </w:p>
    <w:p>
      <w:pPr>
        <w:pStyle w:val="Heading2"/>
        <w:keepNext/>
        <w:spacing w:before="220" w:after="100"/>
      </w:pPr>
      <w:r>
        <w:rPr>
          <w:rFonts w:ascii="Calibri" w:hAnsi="Calibri" w:eastAsia="Calibri"/>
          <w:b/>
          <w:i w:val="0"/>
          <w:color w:val="1F4E79"/>
          <w:sz w:val="26"/>
        </w:rPr>
        <w:t>5.5. Персонал и режим работы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left"/>
        <w:tblLayout w:type="fixed"/>
        <w:tblCellMar>
          <w:top w:w="80" w:type="dxa"/>
          <w:start w:w="120" w:type="dxa"/>
          <w:bottom w:w="80" w:type="dxa"/>
          <w:end w:w="120" w:type="dxa"/>
        </w:tblCellMar>
        <w:tblW w:w="9360" w:type="dxa"/>
        <w:tblInd w:w="120" w:type="dxa"/>
      </w:tblPr>
      <w:tblGrid>
        <w:gridCol w:w="1600"/>
        <w:gridCol w:w="5400"/>
        <w:gridCol w:w="2360"/>
      </w:tblGrid>
      <w:tr>
        <w:tc>
          <w:tcPr>
            <w:tcW w:type="dxa" w:w="3"/>
            <w:shd w:fill="EEF3F8"/>
            <w:tcW w:w="1600" w:type="dxa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9"/>
              </w:rPr>
              <w:t>Роль</w:t>
            </w:r>
          </w:p>
        </w:tc>
        <w:tc>
          <w:tcPr>
            <w:tcW w:type="dxa" w:w="9"/>
            <w:shd w:fill="EEF3F8"/>
            <w:tcW w:w="5400" w:type="dxa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9"/>
              </w:rPr>
              <w:t>Права</w:t>
            </w:r>
          </w:p>
        </w:tc>
        <w:tc>
          <w:tcPr>
            <w:tcW w:type="dxa" w:w="4"/>
            <w:shd w:fill="EEF3F8"/>
            <w:tcW w:w="2360" w:type="dxa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9"/>
              </w:rPr>
              <w:t>Режим</w:t>
            </w:r>
          </w:p>
        </w:tc>
      </w:tr>
      <w:tr>
        <w:tc>
          <w:tcPr>
            <w:tcW w:type="dxa" w:w="3"/>
            <w:vAlign w:val="center"/>
            <w:tcW w:w="1600" w:type="dxa"/>
          </w:tcPr>
          <w:p>
            <w:pPr>
              <w:spacing w:after="4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Admin</w:t>
            </w:r>
          </w:p>
        </w:tc>
        <w:tc>
          <w:tcPr>
            <w:tcW w:type="dxa" w:w="9"/>
            <w:vAlign w:val="center"/>
            <w:tcW w:w="5400" w:type="dxa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Полный доступ к admin panel, content CRUD, users status, audit view, moderation.</w:t>
            </w:r>
          </w:p>
        </w:tc>
        <w:tc>
          <w:tcPr>
            <w:tcW w:type="dxa" w:w="4"/>
            <w:vAlign w:val="center"/>
            <w:tcW w:w="2360" w:type="dxa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08:00-20:00 рабочие дни; emergency доступ 24/7.</w:t>
            </w:r>
          </w:p>
        </w:tc>
      </w:tr>
      <w:tr>
        <w:tc>
          <w:tcPr>
            <w:tcW w:type="dxa" w:w="3"/>
            <w:vAlign w:val="center"/>
            <w:tcW w:w="1600" w:type="dxa"/>
          </w:tcPr>
          <w:p>
            <w:pPr>
              <w:spacing w:after="4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Moderator</w:t>
            </w:r>
          </w:p>
        </w:tc>
        <w:tc>
          <w:tcPr>
            <w:tcW w:type="dxa" w:w="9"/>
            <w:vAlign w:val="center"/>
            <w:tcW w:w="5400" w:type="dxa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Обработка обращений, кандидатских заявок, просмотр результатов тестов без удаления данных.</w:t>
            </w:r>
          </w:p>
        </w:tc>
        <w:tc>
          <w:tcPr>
            <w:tcW w:type="dxa" w:w="4"/>
            <w:vAlign w:val="center"/>
            <w:tcW w:w="2360" w:type="dxa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08:00-20:00 рабочие дни.</w:t>
            </w:r>
          </w:p>
        </w:tc>
      </w:tr>
      <w:tr>
        <w:tc>
          <w:tcPr>
            <w:tcW w:type="dxa" w:w="3"/>
            <w:vAlign w:val="center"/>
            <w:tcW w:w="1600" w:type="dxa"/>
          </w:tcPr>
          <w:p>
            <w:pPr>
              <w:spacing w:after="4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Candidate</w:t>
            </w:r>
          </w:p>
        </w:tc>
        <w:tc>
          <w:tcPr>
            <w:tcW w:type="dxa" w:w="9"/>
            <w:vAlign w:val="center"/>
            <w:tcW w:w="5400" w:type="dxa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Собственный кабинет, собственные результаты, подача/просмотр собственных данных.</w:t>
            </w:r>
          </w:p>
        </w:tc>
        <w:tc>
          <w:tcPr>
            <w:tcW w:type="dxa" w:w="4"/>
            <w:vAlign w:val="center"/>
            <w:tcW w:w="2360" w:type="dxa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24/7.</w:t>
            </w:r>
          </w:p>
        </w:tc>
      </w:tr>
      <w:tr>
        <w:tc>
          <w:tcPr>
            <w:tcW w:type="dxa" w:w="3"/>
            <w:vAlign w:val="center"/>
            <w:tcW w:w="1600" w:type="dxa"/>
          </w:tcPr>
          <w:p>
            <w:pPr>
              <w:spacing w:after="4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Technical operator</w:t>
            </w:r>
          </w:p>
        </w:tc>
        <w:tc>
          <w:tcPr>
            <w:tcW w:type="dxa" w:w="9"/>
            <w:vAlign w:val="center"/>
            <w:tcW w:w="5400" w:type="dxa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Deployment, logs, backup/restore, monitoring; без редактирования смыслового контента.</w:t>
            </w:r>
          </w:p>
        </w:tc>
        <w:tc>
          <w:tcPr>
            <w:tcW w:type="dxa" w:w="4"/>
            <w:vAlign w:val="center"/>
            <w:tcW w:w="2360" w:type="dxa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24/7 для инцидентов.</w:t>
            </w:r>
          </w:p>
        </w:tc>
      </w:tr>
    </w:tbl>
    <w:p>
      <w:pPr>
        <w:spacing w:before="0" w:after="40" w:line="264" w:lineRule="auto"/>
      </w:pPr>
    </w:p>
    <w:p>
      <w:pPr>
        <w:pStyle w:val="Heading2"/>
        <w:keepNext/>
        <w:spacing w:before="220" w:after="100"/>
      </w:pPr>
      <w:r>
        <w:rPr>
          <w:rFonts w:ascii="Calibri" w:hAnsi="Calibri" w:eastAsia="Calibri"/>
          <w:b/>
          <w:i w:val="0"/>
          <w:color w:val="1F4E79"/>
          <w:sz w:val="26"/>
        </w:rPr>
        <w:t>5.6. Эргономика</w:t>
      </w:r>
    </w:p>
    <w:p>
      <w:pPr>
        <w:spacing w:before="0" w:after="12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Интерфейс использует сдержанную государственную визуальную систему, читаемую типографику, ясные labels, видимые focus states, понятные статусы, адаптивную компоновку для mobile и desktop без отдельных мобильных маршрутов. Формы имеют inline validation, summary ошибок и подтверждение успешной отправки.</w:t>
      </w:r>
    </w:p>
    <w:p>
      <w:pPr>
        <w:pStyle w:val="Heading2"/>
        <w:keepNext/>
        <w:spacing w:before="220" w:after="100"/>
      </w:pPr>
      <w:r>
        <w:rPr>
          <w:rFonts w:ascii="Calibri" w:hAnsi="Calibri" w:eastAsia="Calibri"/>
          <w:b/>
          <w:i w:val="0"/>
          <w:color w:val="1F4E79"/>
          <w:sz w:val="26"/>
        </w:rPr>
        <w:t>5.7. Эксплуатация</w:t>
      </w:r>
    </w:p>
    <w:p>
      <w:pPr>
        <w:spacing w:before="0" w:after="12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Контейнеры web и api запускаются non-root пользователями. Healthchecks: /health для API и HTTP 200 для web. PostgreSQL не публикуется наружу в production. Все секреты поступают из environment/secret manager. Docker images собираются воспроизводимо и маркируются commit SHA.</w:t>
      </w:r>
    </w:p>
    <w:p>
      <w:pPr>
        <w:pStyle w:val="Heading2"/>
        <w:keepNext/>
        <w:spacing w:before="220" w:after="100"/>
      </w:pPr>
      <w:r>
        <w:rPr>
          <w:rFonts w:ascii="Calibri" w:hAnsi="Calibri" w:eastAsia="Calibri"/>
          <w:b/>
          <w:i w:val="0"/>
          <w:color w:val="1F4E79"/>
          <w:sz w:val="26"/>
        </w:rPr>
        <w:t>5.8. Сохранность информации</w:t>
      </w:r>
    </w:p>
    <w:p>
      <w:pPr>
        <w:spacing w:before="0" w:after="12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Потеря подтвержденной записи обращения, заявки, результата теста, refresh session или audit log является критическим дефектом. Резервное копирование PostgreSQL выполняется ежедневно; восстановление проверяется ежемесячно на isolated restore environment.</w:t>
      </w:r>
    </w:p>
    <w:p>
      <w:pPr>
        <w:pStyle w:val="Heading2"/>
        <w:keepNext/>
        <w:spacing w:before="220" w:after="100"/>
      </w:pPr>
      <w:r>
        <w:rPr>
          <w:rFonts w:ascii="Calibri" w:hAnsi="Calibri" w:eastAsia="Calibri"/>
          <w:b/>
          <w:i w:val="0"/>
          <w:color w:val="1F4E79"/>
          <w:sz w:val="26"/>
        </w:rPr>
        <w:t>5.9. Патентная чистота и лицензии</w:t>
      </w:r>
    </w:p>
    <w:p>
      <w:pPr>
        <w:spacing w:before="0" w:after="12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Разрешены зависимости с лицензиями MIT, Apache-2.0, BSD, ISC и совместимыми permissive лицензиями. GPL/AGPL зависимости в runtime запрещены без отдельного письменного разрешения. Список зависимостей фиксируется в package-lock/requirements и проверяется перед релизом.</w:t>
      </w:r>
    </w:p>
    <w:p>
      <w:r>
        <w:br w:type="page"/>
      </w:r>
    </w:p>
    <w:p>
      <w:pPr>
        <w:spacing w:before="0" w:after="20" w:line="264" w:lineRule="auto"/>
      </w:pPr>
      <w:r>
        <w:rPr>
          <w:rFonts w:ascii="Calibri" w:hAnsi="Calibri" w:eastAsia="Calibri"/>
          <w:b w:val="0"/>
          <w:i w:val="0"/>
          <w:color w:val="595959"/>
          <w:sz w:val="20"/>
        </w:rPr>
        <w:t>Раздел 6 из 12</w:t>
      </w:r>
    </w:p>
    <w:p>
      <w:pPr>
        <w:pStyle w:val="Heading1"/>
        <w:keepNext/>
        <w:spacing w:before="320" w:after="160"/>
      </w:pPr>
      <w:r>
        <w:rPr>
          <w:rFonts w:ascii="Calibri" w:hAnsi="Calibri" w:eastAsia="Calibri"/>
          <w:b/>
          <w:i w:val="0"/>
          <w:color w:val="1F4E79"/>
          <w:sz w:val="32"/>
        </w:rPr>
        <w:t>Требования к функциям (задачам)</w:t>
      </w:r>
    </w:p>
    <w:p>
      <w:pPr>
        <w:pStyle w:val="Heading2"/>
        <w:keepNext/>
        <w:spacing w:before="220" w:after="100"/>
      </w:pPr>
      <w:r>
        <w:rPr>
          <w:rFonts w:ascii="Calibri" w:hAnsi="Calibri" w:eastAsia="Calibri"/>
          <w:b/>
          <w:i w:val="0"/>
          <w:color w:val="1F4E79"/>
          <w:sz w:val="26"/>
        </w:rPr>
        <w:t>6.1. Публичные функции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Главная страница выводит краткое назначение Комитета, пресс-материалы, направления деятельности, быстрые ссылки на контакты, прием на службу и обращения.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Раздел «О Комитете» описывает руководство единой системой органов национальной безопасности, разведывательную, контрразведывательную, оперативно-розыскную деятельность, охрану Государственной границы, правительственную связь, специальное назначение и защиту государственных секретов.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Раздел «Пресс-центр» содержит новости и официальные сообщения с датой публикации, локалями ru/kk, статусом draft/published/archived и slug.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Раздел «Контакты» содержит адрес, телефоны канцелярии, приема граждан, доверия, пресс-службы, карту и региональные офисы.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Раздел «Документы/Нормативная база» содержит статические ссылки и справочную информацию без загрузки файлов.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Раздел «Прием на службу» содержит условия, этапы, список первичных сведений и переход к регистрации кандидата.</w:t>
      </w:r>
    </w:p>
    <w:p>
      <w:pPr>
        <w:pStyle w:val="Heading2"/>
        <w:keepNext/>
        <w:spacing w:before="220" w:after="100"/>
      </w:pPr>
      <w:r>
        <w:rPr>
          <w:rFonts w:ascii="Calibri" w:hAnsi="Calibri" w:eastAsia="Calibri"/>
          <w:b/>
          <w:i w:val="0"/>
          <w:color w:val="1F4E79"/>
          <w:sz w:val="26"/>
        </w:rPr>
        <w:t>6.2. Авторизация и кабинет</w:t>
      </w:r>
    </w:p>
    <w:p>
      <w:pPr>
        <w:pStyle w:val="ListNumber"/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Пользователь выбирает вход через Telegram или email/password.</w:t>
      </w:r>
    </w:p>
    <w:p>
      <w:pPr>
        <w:pStyle w:val="ListNumber"/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Telegram flow создает challenge, открывает bot deep link, принимает webhook, проверяет phone contact ownership, завершает вход и создает User(role=candidate).</w:t>
      </w:r>
    </w:p>
    <w:p>
      <w:pPr>
        <w:pStyle w:val="ListNumber"/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Email/password registration собирает first name, last name, birth date, phone, email, password и создает User(role=candidate) + CandidateApplication(status=submitted).</w:t>
      </w:r>
    </w:p>
    <w:p>
      <w:pPr>
        <w:pStyle w:val="ListNumber"/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После входа frontend получает access token, сохраняет его в session storage и восстанавливает сессию через /auth/refresh при истечении access token.</w:t>
      </w:r>
    </w:p>
    <w:p>
      <w:pPr>
        <w:pStyle w:val="ListNumber"/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Logout отзывает refresh session, очищает cookie и очищает session storage.</w:t>
      </w:r>
    </w:p>
    <w:p>
      <w:pPr>
        <w:pStyle w:val="Heading2"/>
        <w:keepNext/>
        <w:spacing w:before="220" w:after="100"/>
      </w:pPr>
      <w:r>
        <w:rPr>
          <w:rFonts w:ascii="Calibri" w:hAnsi="Calibri" w:eastAsia="Calibri"/>
          <w:b/>
          <w:i w:val="0"/>
          <w:color w:val="1F4E79"/>
          <w:sz w:val="26"/>
        </w:rPr>
        <w:t>6.3. Обращения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Публичная форма принимает ФИО, email, телефон, тему, сообщение и необязательный ИИН.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После отправки система создает Appeal(status=received), генерирует tracking code и показывает инструкцию: документы направляются на hr@knb.gov.kz.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Статусы обращения: received, in_review, answered, rejected.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Статус lookup доступен по tracking code без раскрытия персональных данных сверх минимума.</w:t>
      </w:r>
    </w:p>
    <w:p>
      <w:pPr>
        <w:pStyle w:val="Heading2"/>
        <w:keepNext/>
        <w:spacing w:before="220" w:after="100"/>
      </w:pPr>
      <w:r>
        <w:rPr>
          <w:rFonts w:ascii="Calibri" w:hAnsi="Calibri" w:eastAsia="Calibri"/>
          <w:b/>
          <w:i w:val="0"/>
          <w:color w:val="1F4E79"/>
          <w:sz w:val="26"/>
        </w:rPr>
        <w:t>6.4. Психологическое тестирование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Intro route: /[locale]/psychological-testing.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Runner route: /[locale]/psychological-testing/primary-selection.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Доступ только после успешного /auth/me.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Тест запускается в full-screen mode без обычного header/footer портала.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Таймер: 60 минут активного времени, пауза на экранах инструкций.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Пагинация: 10 вопросов на страницу.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Сохраняются answers, sections, answered_questions, duration_seconds, remaining_seconds, submitted_at.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Автоматический scoring не выполняется до включения утвержденных ключей в отдельной версии.</w:t>
      </w:r>
    </w:p>
    <w:p>
      <w:pPr>
        <w:pStyle w:val="Heading2"/>
        <w:keepNext/>
        <w:spacing w:before="220" w:after="100"/>
      </w:pPr>
      <w:r>
        <w:rPr>
          <w:rFonts w:ascii="Calibri" w:hAnsi="Calibri" w:eastAsia="Calibri"/>
          <w:b/>
          <w:i w:val="0"/>
          <w:color w:val="1F4E79"/>
          <w:sz w:val="26"/>
        </w:rPr>
        <w:t>6.5. Администрирование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Root /admin сначала требует обычную авторизацию пользователя с email из ADMIN_PORTAL_ALLOWED_USER_EMAIL.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Второй шаг требует ADMIN_PANEL_EMAIL и ADMIN_PANEL_PASSWORD_HASH и выдает admin_session JWT.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Dashboard показывает счетчики обращений, кандидатских заявок, результатов тестов, опубликованных страниц и последних действий.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Appeals view поддерживает список, фильтр по статусу, просмотр деталей, назначение статуса и moderator comment.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Candidate applications view поддерживает список, фильтр по статусу, просмотр карточки, смену статуса и комментарий.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Testing tab показывает результаты PsychologicalTestResult с кандидатом, датой, длительностью и секционными summary.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Content CRUD управляет Page, News и RegionOffice с draft/published/archived состояниями.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Audit tab показывает actor, action, entity, entity_id, ip_address и created_at.</w:t>
      </w:r>
    </w:p>
    <w:p>
      <w:pPr>
        <w:pStyle w:val="Heading2"/>
        <w:keepNext/>
        <w:spacing w:before="220" w:after="100"/>
      </w:pPr>
      <w:r>
        <w:rPr>
          <w:rFonts w:ascii="Calibri" w:hAnsi="Calibri" w:eastAsia="Calibri"/>
          <w:b/>
          <w:i w:val="0"/>
          <w:color w:val="1F4E79"/>
          <w:sz w:val="26"/>
        </w:rPr>
        <w:t>6.6. Критерии отказов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left"/>
        <w:tblLayout w:type="fixed"/>
        <w:tblCellMar>
          <w:top w:w="80" w:type="dxa"/>
          <w:start w:w="120" w:type="dxa"/>
          <w:bottom w:w="80" w:type="dxa"/>
          <w:end w:w="120" w:type="dxa"/>
        </w:tblCellMar>
        <w:tblW w:w="9360" w:type="dxa"/>
        <w:tblInd w:w="120" w:type="dxa"/>
      </w:tblPr>
      <w:tblGrid>
        <w:gridCol w:w="1400"/>
        <w:gridCol w:w="4400"/>
        <w:gridCol w:w="3560"/>
      </w:tblGrid>
      <w:tr>
        <w:tc>
          <w:tcPr>
            <w:tcW w:type="dxa" w:w="2"/>
            <w:shd w:fill="EEF3F8"/>
            <w:tcW w:w="1400" w:type="dxa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9"/>
              </w:rPr>
              <w:t>Функция</w:t>
            </w:r>
          </w:p>
        </w:tc>
        <w:tc>
          <w:tcPr>
            <w:tcW w:type="dxa" w:w="7"/>
            <w:shd w:fill="EEF3F8"/>
            <w:tcW w:w="4400" w:type="dxa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9"/>
              </w:rPr>
              <w:t>Отказ</w:t>
            </w:r>
          </w:p>
        </w:tc>
        <w:tc>
          <w:tcPr>
            <w:tcW w:type="dxa" w:w="6"/>
            <w:shd w:fill="EEF3F8"/>
            <w:tcW w:w="3560" w:type="dxa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9"/>
              </w:rPr>
              <w:t>Блокировка приемки</w:t>
            </w:r>
          </w:p>
        </w:tc>
      </w:tr>
      <w:tr>
        <w:tc>
          <w:tcPr>
            <w:tcW w:type="dxa" w:w="2"/>
            <w:vAlign w:val="center"/>
            <w:tcW w:w="1400" w:type="dxa"/>
          </w:tcPr>
          <w:p>
            <w:pPr>
              <w:spacing w:after="4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Auth</w:t>
            </w:r>
          </w:p>
        </w:tc>
        <w:tc>
          <w:tcPr>
            <w:tcW w:type="dxa" w:w="7"/>
            <w:vAlign w:val="center"/>
            <w:tcW w:w="4400" w:type="dxa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Вход без подтвержденной сессии или обход admin_session.</w:t>
            </w:r>
          </w:p>
        </w:tc>
        <w:tc>
          <w:tcPr>
            <w:tcW w:type="dxa" w:w="6"/>
            <w:vAlign w:val="center"/>
            <w:tcW w:w="3560" w:type="dxa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Да.</w:t>
            </w:r>
          </w:p>
        </w:tc>
      </w:tr>
      <w:tr>
        <w:tc>
          <w:tcPr>
            <w:tcW w:type="dxa" w:w="2"/>
            <w:vAlign w:val="center"/>
            <w:tcW w:w="1400" w:type="dxa"/>
          </w:tcPr>
          <w:p>
            <w:pPr>
              <w:spacing w:after="4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Appeal</w:t>
            </w:r>
          </w:p>
        </w:tc>
        <w:tc>
          <w:tcPr>
            <w:tcW w:type="dxa" w:w="7"/>
            <w:vAlign w:val="center"/>
            <w:tcW w:w="4400" w:type="dxa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Нет tracking code после успешной отправки.</w:t>
            </w:r>
          </w:p>
        </w:tc>
        <w:tc>
          <w:tcPr>
            <w:tcW w:type="dxa" w:w="6"/>
            <w:vAlign w:val="center"/>
            <w:tcW w:w="3560" w:type="dxa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Да.</w:t>
            </w:r>
          </w:p>
        </w:tc>
      </w:tr>
      <w:tr>
        <w:tc>
          <w:tcPr>
            <w:tcW w:type="dxa" w:w="2"/>
            <w:vAlign w:val="center"/>
            <w:tcW w:w="1400" w:type="dxa"/>
          </w:tcPr>
          <w:p>
            <w:pPr>
              <w:spacing w:after="4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Candidate</w:t>
            </w:r>
          </w:p>
        </w:tc>
        <w:tc>
          <w:tcPr>
            <w:tcW w:type="dxa" w:w="7"/>
            <w:vAlign w:val="center"/>
            <w:tcW w:w="4400" w:type="dxa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Кандидат видит чужие данные.</w:t>
            </w:r>
          </w:p>
        </w:tc>
        <w:tc>
          <w:tcPr>
            <w:tcW w:type="dxa" w:w="6"/>
            <w:vAlign w:val="center"/>
            <w:tcW w:w="3560" w:type="dxa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Да.</w:t>
            </w:r>
          </w:p>
        </w:tc>
      </w:tr>
      <w:tr>
        <w:tc>
          <w:tcPr>
            <w:tcW w:type="dxa" w:w="2"/>
            <w:vAlign w:val="center"/>
            <w:tcW w:w="1400" w:type="dxa"/>
          </w:tcPr>
          <w:p>
            <w:pPr>
              <w:spacing w:after="4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Test</w:t>
            </w:r>
          </w:p>
        </w:tc>
        <w:tc>
          <w:tcPr>
            <w:tcW w:type="dxa" w:w="7"/>
            <w:vAlign w:val="center"/>
            <w:tcW w:w="4400" w:type="dxa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Результат завершенного теста не сохраняется.</w:t>
            </w:r>
          </w:p>
        </w:tc>
        <w:tc>
          <w:tcPr>
            <w:tcW w:type="dxa" w:w="6"/>
            <w:vAlign w:val="center"/>
            <w:tcW w:w="3560" w:type="dxa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Да.</w:t>
            </w:r>
          </w:p>
        </w:tc>
      </w:tr>
      <w:tr>
        <w:tc>
          <w:tcPr>
            <w:tcW w:type="dxa" w:w="2"/>
            <w:vAlign w:val="center"/>
            <w:tcW w:w="1400" w:type="dxa"/>
          </w:tcPr>
          <w:p>
            <w:pPr>
              <w:spacing w:after="4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Content</w:t>
            </w:r>
          </w:p>
        </w:tc>
        <w:tc>
          <w:tcPr>
            <w:tcW w:type="dxa" w:w="7"/>
            <w:vAlign w:val="center"/>
            <w:tcW w:w="4400" w:type="dxa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Опубликованный ru/kk контент отображается не в той локали.</w:t>
            </w:r>
          </w:p>
        </w:tc>
        <w:tc>
          <w:tcPr>
            <w:tcW w:type="dxa" w:w="6"/>
            <w:vAlign w:val="center"/>
            <w:tcW w:w="3560" w:type="dxa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Да.</w:t>
            </w:r>
          </w:p>
        </w:tc>
      </w:tr>
      <w:tr>
        <w:tc>
          <w:tcPr>
            <w:tcW w:type="dxa" w:w="2"/>
            <w:vAlign w:val="center"/>
            <w:tcW w:w="1400" w:type="dxa"/>
          </w:tcPr>
          <w:p>
            <w:pPr>
              <w:spacing w:after="4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Audit</w:t>
            </w:r>
          </w:p>
        </w:tc>
        <w:tc>
          <w:tcPr>
            <w:tcW w:type="dxa" w:w="7"/>
            <w:vAlign w:val="center"/>
            <w:tcW w:w="4400" w:type="dxa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Admin status/content action не попал в AuditLog.</w:t>
            </w:r>
          </w:p>
        </w:tc>
        <w:tc>
          <w:tcPr>
            <w:tcW w:type="dxa" w:w="6"/>
            <w:vAlign w:val="center"/>
            <w:tcW w:w="3560" w:type="dxa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Да.</w:t>
            </w:r>
          </w:p>
        </w:tc>
      </w:tr>
    </w:tbl>
    <w:p>
      <w:pPr>
        <w:spacing w:before="0" w:after="40" w:line="264" w:lineRule="auto"/>
      </w:pPr>
    </w:p>
    <w:p>
      <w:r>
        <w:br w:type="page"/>
      </w:r>
    </w:p>
    <w:p>
      <w:pPr>
        <w:spacing w:before="0" w:after="20" w:line="264" w:lineRule="auto"/>
      </w:pPr>
      <w:r>
        <w:rPr>
          <w:rFonts w:ascii="Calibri" w:hAnsi="Calibri" w:eastAsia="Calibri"/>
          <w:b w:val="0"/>
          <w:i w:val="0"/>
          <w:color w:val="595959"/>
          <w:sz w:val="20"/>
        </w:rPr>
        <w:t>Раздел 7 из 12</w:t>
      </w:r>
    </w:p>
    <w:p>
      <w:pPr>
        <w:pStyle w:val="Heading1"/>
        <w:keepNext/>
        <w:spacing w:before="320" w:after="160"/>
      </w:pPr>
      <w:r>
        <w:rPr>
          <w:rFonts w:ascii="Calibri" w:hAnsi="Calibri" w:eastAsia="Calibri"/>
          <w:b/>
          <w:i w:val="0"/>
          <w:color w:val="1F4E79"/>
          <w:sz w:val="32"/>
        </w:rPr>
        <w:t>Требования к видам обеспечения</w:t>
      </w:r>
    </w:p>
    <w:p>
      <w:pPr>
        <w:pStyle w:val="Heading2"/>
        <w:keepNext/>
        <w:spacing w:before="220" w:after="100"/>
      </w:pPr>
      <w:r>
        <w:rPr>
          <w:rFonts w:ascii="Calibri" w:hAnsi="Calibri" w:eastAsia="Calibri"/>
          <w:b/>
          <w:i w:val="0"/>
          <w:color w:val="1F4E79"/>
          <w:sz w:val="26"/>
        </w:rPr>
        <w:t>7.1. Математическое обеспечение</w:t>
      </w:r>
    </w:p>
    <w:p>
      <w:pPr>
        <w:spacing w:before="0" w:after="12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Математическое обеспечение первой версии ограничивается расчетом таймера, количества отвеченных вопросов, длительности прохождения, агрегированных секционных summary и счетчиков dashboard. Психологическая интерпретация не рассчитывается: система сохраняет первичные ответы и метаданные для последующей экспертной оценки.</w:t>
      </w:r>
    </w:p>
    <w:p>
      <w:pPr>
        <w:pStyle w:val="Heading2"/>
        <w:keepNext/>
        <w:spacing w:before="220" w:after="100"/>
      </w:pPr>
      <w:r>
        <w:rPr>
          <w:rFonts w:ascii="Calibri" w:hAnsi="Calibri" w:eastAsia="Calibri"/>
          <w:b/>
          <w:i w:val="0"/>
          <w:color w:val="1F4E79"/>
          <w:sz w:val="26"/>
        </w:rPr>
        <w:t>7.2. Информационное обеспечение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left"/>
        <w:tblLayout w:type="fixed"/>
        <w:tblCellMar>
          <w:top w:w="80" w:type="dxa"/>
          <w:start w:w="120" w:type="dxa"/>
          <w:bottom w:w="80" w:type="dxa"/>
          <w:end w:w="120" w:type="dxa"/>
        </w:tblCellMar>
        <w:tblW w:w="9360" w:type="dxa"/>
        <w:tblInd w:w="120" w:type="dxa"/>
      </w:tblPr>
      <w:tblGrid>
        <w:gridCol w:w="1900"/>
        <w:gridCol w:w="2700"/>
        <w:gridCol w:w="4760"/>
      </w:tblGrid>
      <w:tr>
        <w:tc>
          <w:tcPr>
            <w:tcW w:type="dxa" w:w="3"/>
            <w:shd w:fill="EEF3F8"/>
            <w:tcW w:w="1900" w:type="dxa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9"/>
              </w:rPr>
              <w:t>Сущность</w:t>
            </w:r>
          </w:p>
        </w:tc>
        <w:tc>
          <w:tcPr>
            <w:tcW w:type="dxa" w:w="4"/>
            <w:shd w:fill="EEF3F8"/>
            <w:tcW w:w="2700" w:type="dxa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9"/>
              </w:rPr>
              <w:t>Назначение</w:t>
            </w:r>
          </w:p>
        </w:tc>
        <w:tc>
          <w:tcPr>
            <w:tcW w:type="dxa" w:w="7"/>
            <w:shd w:fill="EEF3F8"/>
            <w:tcW w:w="4760" w:type="dxa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9"/>
              </w:rPr>
              <w:t>Ключевые поля</w:t>
            </w:r>
          </w:p>
        </w:tc>
      </w:tr>
      <w:tr>
        <w:tc>
          <w:tcPr>
            <w:tcW w:type="dxa" w:w="3"/>
            <w:vAlign w:val="center"/>
            <w:tcW w:w="1900" w:type="dxa"/>
          </w:tcPr>
          <w:p>
            <w:pPr>
              <w:spacing w:after="4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User</w:t>
            </w:r>
          </w:p>
        </w:tc>
        <w:tc>
          <w:tcPr>
            <w:tcW w:type="dxa" w:w="4"/>
            <w:vAlign w:val="center"/>
            <w:tcW w:w="2700" w:type="dxa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Учетная запись.</w:t>
            </w:r>
          </w:p>
        </w:tc>
        <w:tc>
          <w:tcPr>
            <w:tcW w:type="dxa" w:w="7"/>
            <w:vAlign w:val="center"/>
            <w:tcW w:w="4760" w:type="dxa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email, full_name, telegram_id, phone, role, is_active, is_blocked.</w:t>
            </w:r>
          </w:p>
        </w:tc>
      </w:tr>
      <w:tr>
        <w:tc>
          <w:tcPr>
            <w:tcW w:type="dxa" w:w="3"/>
            <w:vAlign w:val="center"/>
            <w:tcW w:w="1900" w:type="dxa"/>
          </w:tcPr>
          <w:p>
            <w:pPr>
              <w:spacing w:after="4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CandidateApplication</w:t>
            </w:r>
          </w:p>
        </w:tc>
        <w:tc>
          <w:tcPr>
            <w:tcW w:type="dxa" w:w="4"/>
            <w:vAlign w:val="center"/>
            <w:tcW w:w="2700" w:type="dxa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Кандидатская заявка.</w:t>
            </w:r>
          </w:p>
        </w:tc>
        <w:tc>
          <w:tcPr>
            <w:tcW w:type="dxa" w:w="7"/>
            <w:vAlign w:val="center"/>
            <w:tcW w:w="4760" w:type="dxa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tracking_code, ФИО, birth_date, phone, region, education_level, desired_direction, status.</w:t>
            </w:r>
          </w:p>
        </w:tc>
      </w:tr>
      <w:tr>
        <w:tc>
          <w:tcPr>
            <w:tcW w:type="dxa" w:w="3"/>
            <w:vAlign w:val="center"/>
            <w:tcW w:w="1900" w:type="dxa"/>
          </w:tcPr>
          <w:p>
            <w:pPr>
              <w:spacing w:after="4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Appeal</w:t>
            </w:r>
          </w:p>
        </w:tc>
        <w:tc>
          <w:tcPr>
            <w:tcW w:type="dxa" w:w="4"/>
            <w:vAlign w:val="center"/>
            <w:tcW w:w="2700" w:type="dxa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Первичное обращение.</w:t>
            </w:r>
          </w:p>
        </w:tc>
        <w:tc>
          <w:tcPr>
            <w:tcW w:type="dxa" w:w="7"/>
            <w:vAlign w:val="center"/>
            <w:tcW w:w="4760" w:type="dxa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tracking_code, full_name, email, phone, subject, message, status.</w:t>
            </w:r>
          </w:p>
        </w:tc>
      </w:tr>
      <w:tr>
        <w:tc>
          <w:tcPr>
            <w:tcW w:type="dxa" w:w="3"/>
            <w:vAlign w:val="center"/>
            <w:tcW w:w="1900" w:type="dxa"/>
          </w:tcPr>
          <w:p>
            <w:pPr>
              <w:spacing w:after="4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Page/News</w:t>
            </w:r>
          </w:p>
        </w:tc>
        <w:tc>
          <w:tcPr>
            <w:tcW w:type="dxa" w:w="4"/>
            <w:vAlign w:val="center"/>
            <w:tcW w:w="2700" w:type="dxa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Управляемый контент.</w:t>
            </w:r>
          </w:p>
        </w:tc>
        <w:tc>
          <w:tcPr>
            <w:tcW w:type="dxa" w:w="7"/>
            <w:vAlign w:val="center"/>
            <w:tcW w:w="4760" w:type="dxa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locale fields, slug, title, body, status, published_at.</w:t>
            </w:r>
          </w:p>
        </w:tc>
      </w:tr>
      <w:tr>
        <w:tc>
          <w:tcPr>
            <w:tcW w:type="dxa" w:w="3"/>
            <w:vAlign w:val="center"/>
            <w:tcW w:w="1900" w:type="dxa"/>
          </w:tcPr>
          <w:p>
            <w:pPr>
              <w:spacing w:after="4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RegionOffice</w:t>
            </w:r>
          </w:p>
        </w:tc>
        <w:tc>
          <w:tcPr>
            <w:tcW w:type="dxa" w:w="4"/>
            <w:vAlign w:val="center"/>
            <w:tcW w:w="2700" w:type="dxa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Контакты регионов.</w:t>
            </w:r>
          </w:p>
        </w:tc>
        <w:tc>
          <w:tcPr>
            <w:tcW w:type="dxa" w:w="7"/>
            <w:vAlign w:val="center"/>
            <w:tcW w:w="4760" w:type="dxa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service, name_ru/kk, region_ru/kk, phones, latitude, longitude.</w:t>
            </w:r>
          </w:p>
        </w:tc>
      </w:tr>
      <w:tr>
        <w:tc>
          <w:tcPr>
            <w:tcW w:type="dxa" w:w="3"/>
            <w:vAlign w:val="center"/>
            <w:tcW w:w="1900" w:type="dxa"/>
          </w:tcPr>
          <w:p>
            <w:pPr>
              <w:spacing w:after="4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AuditLog</w:t>
            </w:r>
          </w:p>
        </w:tc>
        <w:tc>
          <w:tcPr>
            <w:tcW w:type="dxa" w:w="4"/>
            <w:vAlign w:val="center"/>
            <w:tcW w:w="2700" w:type="dxa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Административный журнал.</w:t>
            </w:r>
          </w:p>
        </w:tc>
        <w:tc>
          <w:tcPr>
            <w:tcW w:type="dxa" w:w="7"/>
            <w:vAlign w:val="center"/>
            <w:tcW w:w="4760" w:type="dxa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actor_id, action, entity, entity_id, ip_address, created_at.</w:t>
            </w:r>
          </w:p>
        </w:tc>
      </w:tr>
    </w:tbl>
    <w:p>
      <w:pPr>
        <w:spacing w:before="0" w:after="40" w:line="264" w:lineRule="auto"/>
      </w:pPr>
    </w:p>
    <w:p>
      <w:pPr>
        <w:pStyle w:val="Heading2"/>
        <w:keepNext/>
        <w:spacing w:before="220" w:after="100"/>
      </w:pPr>
      <w:r>
        <w:rPr>
          <w:rFonts w:ascii="Calibri" w:hAnsi="Calibri" w:eastAsia="Calibri"/>
          <w:b/>
          <w:i w:val="0"/>
          <w:color w:val="1F4E79"/>
          <w:sz w:val="26"/>
        </w:rPr>
        <w:t>7.3. Лингвистическое обеспечение</w:t>
      </w:r>
    </w:p>
    <w:p>
      <w:pPr>
        <w:spacing w:before="0" w:after="12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Поддерживаются только русский и казахский языки. Все public routes имеют префикс /ru или /kk. Переключение языка сохраняет эквивалентный маршрут. Контентные сущности хранят русскую и казахскую версии; публикация разрешена только при заполнении обеих версий.</w:t>
      </w:r>
    </w:p>
    <w:p>
      <w:pPr>
        <w:pStyle w:val="Heading2"/>
        <w:keepNext/>
        <w:spacing w:before="220" w:after="100"/>
      </w:pPr>
      <w:r>
        <w:rPr>
          <w:rFonts w:ascii="Calibri" w:hAnsi="Calibri" w:eastAsia="Calibri"/>
          <w:b/>
          <w:i w:val="0"/>
          <w:color w:val="1F4E79"/>
          <w:sz w:val="26"/>
        </w:rPr>
        <w:t>7.4. Программное обеспечение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Node.js 20+ для frontend build/runtime.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Python 3.12+ для backend.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PostgreSQL 16 для production.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FastAPI app.main:app через uvicorn/gunicorn или эквивалентный ASGI runtime.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Next.js build/start для web.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Alembic upgrade head перед запуском новой версии API.</w:t>
      </w:r>
    </w:p>
    <w:p>
      <w:pPr>
        <w:pStyle w:val="Heading2"/>
        <w:keepNext/>
        <w:spacing w:before="220" w:after="100"/>
      </w:pPr>
      <w:r>
        <w:rPr>
          <w:rFonts w:ascii="Calibri" w:hAnsi="Calibri" w:eastAsia="Calibri"/>
          <w:b/>
          <w:i w:val="0"/>
          <w:color w:val="1F4E79"/>
          <w:sz w:val="26"/>
        </w:rPr>
        <w:t>7.5. Техническое обеспечение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2 vCPU / 4 GB RAM для web на стартовой нагрузке.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2 vCPU / 4 GB RAM для API на стартовой нагрузке.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2 vCPU / 8 GB RAM / SSD для PostgreSQL.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Отдельный persistent volume для PostgreSQL.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Отдельное хранилище резервных копий вне основного DB volume.</w:t>
      </w:r>
    </w:p>
    <w:p>
      <w:pPr>
        <w:pStyle w:val="Heading2"/>
        <w:keepNext/>
        <w:spacing w:before="220" w:after="100"/>
      </w:pPr>
      <w:r>
        <w:rPr>
          <w:rFonts w:ascii="Calibri" w:hAnsi="Calibri" w:eastAsia="Calibri"/>
          <w:b/>
          <w:i w:val="0"/>
          <w:color w:val="1F4E79"/>
          <w:sz w:val="26"/>
        </w:rPr>
        <w:t>7.6. Метрологическое обеспечение</w:t>
      </w:r>
    </w:p>
    <w:p>
      <w:pPr>
        <w:spacing w:before="0" w:after="12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Метрологические средства не используются. Контролируемые показатели: uptime, API p95 latency, error rate, DB disk usage, backup success, restore duration, failed login count, blocked requests, audit event count.</w:t>
      </w:r>
    </w:p>
    <w:p>
      <w:pPr>
        <w:pStyle w:val="Heading2"/>
        <w:keepNext/>
        <w:spacing w:before="220" w:after="100"/>
      </w:pPr>
      <w:r>
        <w:rPr>
          <w:rFonts w:ascii="Calibri" w:hAnsi="Calibri" w:eastAsia="Calibri"/>
          <w:b/>
          <w:i w:val="0"/>
          <w:color w:val="1F4E79"/>
          <w:sz w:val="26"/>
        </w:rPr>
        <w:t>7.7. Организационное и методическое обеспечение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Регламент публикации официальных материалов.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Регламент обработки первичных обращений и кандидатских заявок.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Регламент работы с персональными данными.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Регламент реагирования на инциденты.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Инструкция администратора, модератора и технического оператора.</w:t>
      </w:r>
    </w:p>
    <w:p>
      <w:r>
        <w:br w:type="page"/>
      </w:r>
    </w:p>
    <w:p>
      <w:pPr>
        <w:spacing w:before="0" w:after="20" w:line="264" w:lineRule="auto"/>
      </w:pPr>
      <w:r>
        <w:rPr>
          <w:rFonts w:ascii="Calibri" w:hAnsi="Calibri" w:eastAsia="Calibri"/>
          <w:b w:val="0"/>
          <w:i w:val="0"/>
          <w:color w:val="595959"/>
          <w:sz w:val="20"/>
        </w:rPr>
        <w:t>Раздел 8 из 12</w:t>
      </w:r>
    </w:p>
    <w:p>
      <w:pPr>
        <w:pStyle w:val="Heading1"/>
        <w:keepNext/>
        <w:spacing w:before="320" w:after="160"/>
      </w:pPr>
      <w:r>
        <w:rPr>
          <w:rFonts w:ascii="Calibri" w:hAnsi="Calibri" w:eastAsia="Calibri"/>
          <w:b/>
          <w:i w:val="0"/>
          <w:color w:val="1F4E79"/>
          <w:sz w:val="32"/>
        </w:rPr>
        <w:t>Состав и содержание работ по созданию системы</w:t>
      </w:r>
    </w:p>
    <w:p>
      <w:pPr>
        <w:pStyle w:val="Heading2"/>
        <w:keepNext/>
        <w:spacing w:before="220" w:after="100"/>
      </w:pPr>
      <w:r>
        <w:rPr>
          <w:rFonts w:ascii="Calibri" w:hAnsi="Calibri" w:eastAsia="Calibri"/>
          <w:b/>
          <w:i w:val="0"/>
          <w:color w:val="1F4E79"/>
          <w:sz w:val="26"/>
        </w:rPr>
        <w:t>8.1. Стадии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left"/>
        <w:tblLayout w:type="fixed"/>
        <w:tblCellMar>
          <w:top w:w="80" w:type="dxa"/>
          <w:start w:w="120" w:type="dxa"/>
          <w:bottom w:w="80" w:type="dxa"/>
          <w:end w:w="120" w:type="dxa"/>
        </w:tblCellMar>
        <w:tblW w:w="9360" w:type="dxa"/>
        <w:tblInd w:w="120" w:type="dxa"/>
      </w:tblPr>
      <w:tblGrid>
        <w:gridCol w:w="1400"/>
        <w:gridCol w:w="4700"/>
        <w:gridCol w:w="3260"/>
      </w:tblGrid>
      <w:tr>
        <w:tc>
          <w:tcPr>
            <w:tcW w:type="dxa" w:w="2"/>
            <w:shd w:fill="EEF3F8"/>
            <w:tcW w:w="1400" w:type="dxa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9"/>
              </w:rPr>
              <w:t>Стадия</w:t>
            </w:r>
          </w:p>
        </w:tc>
        <w:tc>
          <w:tcPr>
            <w:tcW w:type="dxa" w:w="7"/>
            <w:shd w:fill="EEF3F8"/>
            <w:tcW w:w="4700" w:type="dxa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9"/>
              </w:rPr>
              <w:t>Работы</w:t>
            </w:r>
          </w:p>
        </w:tc>
        <w:tc>
          <w:tcPr>
            <w:tcW w:type="dxa" w:w="5"/>
            <w:shd w:fill="EEF3F8"/>
            <w:tcW w:w="3260" w:type="dxa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9"/>
              </w:rPr>
              <w:t>Артефакты</w:t>
            </w:r>
          </w:p>
        </w:tc>
      </w:tr>
      <w:tr>
        <w:tc>
          <w:tcPr>
            <w:tcW w:type="dxa" w:w="2"/>
            <w:vAlign w:val="center"/>
            <w:tcW w:w="1400" w:type="dxa"/>
          </w:tcPr>
          <w:p>
            <w:pPr>
              <w:spacing w:after="4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ТЗ</w:t>
            </w:r>
          </w:p>
        </w:tc>
        <w:tc>
          <w:tcPr>
            <w:tcW w:type="dxa" w:w="7"/>
            <w:vAlign w:val="center"/>
            <w:tcW w:w="4700" w:type="dxa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Финализация требований, источников, scope и приемки.</w:t>
            </w:r>
          </w:p>
        </w:tc>
        <w:tc>
          <w:tcPr>
            <w:tcW w:type="dxa" w:w="5"/>
            <w:vAlign w:val="center"/>
            <w:tcW w:w="3260" w:type="dxa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ТЗ v2.0, матрица функций, список источников.</w:t>
            </w:r>
          </w:p>
        </w:tc>
      </w:tr>
      <w:tr>
        <w:tc>
          <w:tcPr>
            <w:tcW w:type="dxa" w:w="2"/>
            <w:vAlign w:val="center"/>
            <w:tcW w:w="1400" w:type="dxa"/>
          </w:tcPr>
          <w:p>
            <w:pPr>
              <w:spacing w:after="4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Проектирование</w:t>
            </w:r>
          </w:p>
        </w:tc>
        <w:tc>
          <w:tcPr>
            <w:tcW w:type="dxa" w:w="7"/>
            <w:vAlign w:val="center"/>
            <w:tcW w:w="4700" w:type="dxa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Data model, API, RBAC, UX flows, deployment plan.</w:t>
            </w:r>
          </w:p>
        </w:tc>
        <w:tc>
          <w:tcPr>
            <w:tcW w:type="dxa" w:w="5"/>
            <w:vAlign w:val="center"/>
            <w:tcW w:w="3260" w:type="dxa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ERD, API contract, route map, security checklist.</w:t>
            </w:r>
          </w:p>
        </w:tc>
      </w:tr>
      <w:tr>
        <w:tc>
          <w:tcPr>
            <w:tcW w:type="dxa" w:w="2"/>
            <w:vAlign w:val="center"/>
            <w:tcW w:w="1400" w:type="dxa"/>
          </w:tcPr>
          <w:p>
            <w:pPr>
              <w:spacing w:after="4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Разработка backend</w:t>
            </w:r>
          </w:p>
        </w:tc>
        <w:tc>
          <w:tcPr>
            <w:tcW w:type="dxa" w:w="7"/>
            <w:vAlign w:val="center"/>
            <w:tcW w:w="4700" w:type="dxa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Модели, миграции, endpoints, validation, audit, tests.</w:t>
            </w:r>
          </w:p>
        </w:tc>
        <w:tc>
          <w:tcPr>
            <w:tcW w:type="dxa" w:w="5"/>
            <w:vAlign w:val="center"/>
            <w:tcW w:w="3260" w:type="dxa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FastAPI code, Alembic migrations, pytest suite.</w:t>
            </w:r>
          </w:p>
        </w:tc>
      </w:tr>
      <w:tr>
        <w:tc>
          <w:tcPr>
            <w:tcW w:type="dxa" w:w="2"/>
            <w:vAlign w:val="center"/>
            <w:tcW w:w="1400" w:type="dxa"/>
          </w:tcPr>
          <w:p>
            <w:pPr>
              <w:spacing w:after="4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Разработка frontend</w:t>
            </w:r>
          </w:p>
        </w:tc>
        <w:tc>
          <w:tcPr>
            <w:tcW w:type="dxa" w:w="7"/>
            <w:vAlign w:val="center"/>
            <w:tcW w:w="4700" w:type="dxa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ru/kk pages, forms, cabinet, admin panel, states.</w:t>
            </w:r>
          </w:p>
        </w:tc>
        <w:tc>
          <w:tcPr>
            <w:tcW w:type="dxa" w:w="5"/>
            <w:vAlign w:val="center"/>
            <w:tcW w:w="3260" w:type="dxa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Next.js app, typed helpers, components.</w:t>
            </w:r>
          </w:p>
        </w:tc>
      </w:tr>
      <w:tr>
        <w:tc>
          <w:tcPr>
            <w:tcW w:type="dxa" w:w="2"/>
            <w:vAlign w:val="center"/>
            <w:tcW w:w="1400" w:type="dxa"/>
          </w:tcPr>
          <w:p>
            <w:pPr>
              <w:spacing w:after="4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Security hardening</w:t>
            </w:r>
          </w:p>
        </w:tc>
        <w:tc>
          <w:tcPr>
            <w:tcW w:type="dxa" w:w="7"/>
            <w:vAlign w:val="center"/>
            <w:tcW w:w="4700" w:type="dxa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Headers, CORS, CSRF, rate limits, body limits, startup checks.</w:t>
            </w:r>
          </w:p>
        </w:tc>
        <w:tc>
          <w:tcPr>
            <w:tcW w:type="dxa" w:w="5"/>
            <w:vAlign w:val="center"/>
            <w:tcW w:w="3260" w:type="dxa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Config, tests, hardening notes.</w:t>
            </w:r>
          </w:p>
        </w:tc>
      </w:tr>
      <w:tr>
        <w:tc>
          <w:tcPr>
            <w:tcW w:type="dxa" w:w="2"/>
            <w:vAlign w:val="center"/>
            <w:tcW w:w="1400" w:type="dxa"/>
          </w:tcPr>
          <w:p>
            <w:pPr>
              <w:spacing w:after="4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Эксплуатация</w:t>
            </w:r>
          </w:p>
        </w:tc>
        <w:tc>
          <w:tcPr>
            <w:tcW w:type="dxa" w:w="7"/>
            <w:vAlign w:val="center"/>
            <w:tcW w:w="4700" w:type="dxa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Docker, healthchecks, logs, backup/restore, env docs.</w:t>
            </w:r>
          </w:p>
        </w:tc>
        <w:tc>
          <w:tcPr>
            <w:tcW w:type="dxa" w:w="5"/>
            <w:vAlign w:val="center"/>
            <w:tcW w:w="3260" w:type="dxa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Compose/manifests, runbook, .env.example.</w:t>
            </w:r>
          </w:p>
        </w:tc>
      </w:tr>
      <w:tr>
        <w:tc>
          <w:tcPr>
            <w:tcW w:type="dxa" w:w="2"/>
            <w:vAlign w:val="center"/>
            <w:tcW w:w="1400" w:type="dxa"/>
          </w:tcPr>
          <w:p>
            <w:pPr>
              <w:spacing w:after="4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Приемка</w:t>
            </w:r>
          </w:p>
        </w:tc>
        <w:tc>
          <w:tcPr>
            <w:tcW w:type="dxa" w:w="7"/>
            <w:vAlign w:val="center"/>
            <w:tcW w:w="4700" w:type="dxa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Functional tests, smoke tests, defect closure, release.</w:t>
            </w:r>
          </w:p>
        </w:tc>
        <w:tc>
          <w:tcPr>
            <w:tcW w:type="dxa" w:w="5"/>
            <w:vAlign w:val="center"/>
            <w:tcW w:w="3260" w:type="dxa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Test report, release notes, acceptance act.</w:t>
            </w:r>
          </w:p>
        </w:tc>
      </w:tr>
    </w:tbl>
    <w:p>
      <w:pPr>
        <w:spacing w:before="0" w:after="40" w:line="264" w:lineRule="auto"/>
      </w:pPr>
    </w:p>
    <w:p>
      <w:pPr>
        <w:pStyle w:val="Heading2"/>
        <w:keepNext/>
        <w:spacing w:before="220" w:after="100"/>
      </w:pPr>
      <w:r>
        <w:rPr>
          <w:rFonts w:ascii="Calibri" w:hAnsi="Calibri" w:eastAsia="Calibri"/>
          <w:b/>
          <w:i w:val="0"/>
          <w:color w:val="1F4E79"/>
          <w:sz w:val="26"/>
        </w:rPr>
        <w:t>8.2. Документы на выходе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Техническое задание v2.0.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Архитектурное описание.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Описание API.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Описание БД и миграций.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Инструкция администратора.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Инструкция модератора.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Руководство развертывания.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Руководство backup/restore.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Программа и методика испытаний.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Протокол испытаний.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Release notes.</w:t>
      </w:r>
    </w:p>
    <w:p>
      <w:pPr>
        <w:pStyle w:val="Heading2"/>
        <w:keepNext/>
        <w:spacing w:before="220" w:after="100"/>
      </w:pPr>
      <w:r>
        <w:rPr>
          <w:rFonts w:ascii="Calibri" w:hAnsi="Calibri" w:eastAsia="Calibri"/>
          <w:b/>
          <w:i w:val="0"/>
          <w:color w:val="1F4E79"/>
          <w:sz w:val="26"/>
        </w:rPr>
        <w:t>8.3. Экспертиза документации</w:t>
      </w:r>
    </w:p>
    <w:p>
      <w:pPr>
        <w:spacing w:before="0" w:after="12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Экспертиза выполняется проектной комиссией из представителя заказчика, разработчика, технического оператора и специалиста информационной безопасности. Комиссия проверяет полноту функций, соответствие scope, защищенность, качество документации, воспроизводимость deployment и отсутствие незакрытых критических дефектов.</w:t>
      </w:r>
    </w:p>
    <w:p>
      <w:pPr>
        <w:pStyle w:val="Heading2"/>
        <w:keepNext/>
        <w:spacing w:before="220" w:after="100"/>
      </w:pPr>
      <w:r>
        <w:rPr>
          <w:rFonts w:ascii="Calibri" w:hAnsi="Calibri" w:eastAsia="Calibri"/>
          <w:b/>
          <w:i w:val="0"/>
          <w:color w:val="1F4E79"/>
          <w:sz w:val="26"/>
        </w:rPr>
        <w:t>8.4. Работы по надежности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Unit tests backend для auth, sessions, RBAC, appeals, candidates, admin actions.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Integration tests API на PostgreSQL.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Frontend typecheck и production build.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Smoke tests ru/kk main flows.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Monthly restore drill.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Dependency audit перед релизом.</w:t>
      </w:r>
    </w:p>
    <w:p>
      <w:pPr>
        <w:pStyle w:val="Heading2"/>
        <w:keepNext/>
        <w:spacing w:before="220" w:after="100"/>
      </w:pPr>
      <w:r>
        <w:rPr>
          <w:rFonts w:ascii="Calibri" w:hAnsi="Calibri" w:eastAsia="Calibri"/>
          <w:b/>
          <w:i w:val="0"/>
          <w:color w:val="1F4E79"/>
          <w:sz w:val="26"/>
        </w:rPr>
        <w:t>8.5. Работы по метрологическому обеспечению</w:t>
      </w:r>
    </w:p>
    <w:p>
      <w:pPr>
        <w:spacing w:before="0" w:after="12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Вместо метрологических работ выполняется настройка измеримых эксплуатационных метрик и алертов: uptime, latency, error rate, disk usage, backup success, failed login spikes, rate-limit triggers.</w:t>
      </w:r>
    </w:p>
    <w:p>
      <w:r>
        <w:br w:type="page"/>
      </w:r>
    </w:p>
    <w:p>
      <w:pPr>
        <w:spacing w:before="0" w:after="20" w:line="264" w:lineRule="auto"/>
      </w:pPr>
      <w:r>
        <w:rPr>
          <w:rFonts w:ascii="Calibri" w:hAnsi="Calibri" w:eastAsia="Calibri"/>
          <w:b w:val="0"/>
          <w:i w:val="0"/>
          <w:color w:val="595959"/>
          <w:sz w:val="20"/>
        </w:rPr>
        <w:t>Раздел 9 из 12</w:t>
      </w:r>
    </w:p>
    <w:p>
      <w:pPr>
        <w:pStyle w:val="Heading1"/>
        <w:keepNext/>
        <w:spacing w:before="320" w:after="160"/>
      </w:pPr>
      <w:r>
        <w:rPr>
          <w:rFonts w:ascii="Calibri" w:hAnsi="Calibri" w:eastAsia="Calibri"/>
          <w:b/>
          <w:i w:val="0"/>
          <w:color w:val="1F4E79"/>
          <w:sz w:val="32"/>
        </w:rPr>
        <w:t>Порядок контроля и приемки системы</w:t>
      </w:r>
    </w:p>
    <w:p>
      <w:pPr>
        <w:pStyle w:val="Heading2"/>
        <w:keepNext/>
        <w:spacing w:before="220" w:after="100"/>
      </w:pPr>
      <w:r>
        <w:rPr>
          <w:rFonts w:ascii="Calibri" w:hAnsi="Calibri" w:eastAsia="Calibri"/>
          <w:b/>
          <w:i w:val="0"/>
          <w:color w:val="1F4E79"/>
          <w:sz w:val="26"/>
        </w:rPr>
        <w:t>9.1. Верификация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Все 12 разделов ТЗ закрыты конкретными требованиями.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Нет out-of-scope интеграций: eGov, ЭЦП, SMS, внешние identity providers, file upload, search, English locale, /mobile.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Все public ru/kk маршруты открываются и показывают локализованный контент.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Auth, refresh, logout и /auth/me работают end-to-end.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Appeal create/status lookup работает end-to-end.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Candidate dashboard показывает собственные данные и результаты.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Admin panel требует отдельный admin_session.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Все admin status/content changes попадают в AuditLog.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Alembic upgrade head выполняется на чистой БД.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Frontend typecheck и build завершаются успешно.</w:t>
      </w:r>
    </w:p>
    <w:p>
      <w:pPr>
        <w:pStyle w:val="Heading2"/>
        <w:keepNext/>
        <w:spacing w:before="220" w:after="100"/>
      </w:pPr>
      <w:r>
        <w:rPr>
          <w:rFonts w:ascii="Calibri" w:hAnsi="Calibri" w:eastAsia="Calibri"/>
          <w:b/>
          <w:i w:val="0"/>
          <w:color w:val="1F4E79"/>
          <w:sz w:val="26"/>
        </w:rPr>
        <w:t>9.2. Аттестация</w:t>
      </w:r>
    </w:p>
    <w:p>
      <w:pPr>
        <w:spacing w:before="0" w:after="12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Система считается аттестованной для опытно-промышленной эксплуатации после успешного прохождения приемочного сценария, закрытия всех критических и высоких дефектов, готовности backup/restore и подтверждения security baseline.</w:t>
      </w:r>
    </w:p>
    <w:p>
      <w:pPr>
        <w:pStyle w:val="Heading2"/>
        <w:keepNext/>
        <w:spacing w:before="220" w:after="100"/>
      </w:pPr>
      <w:r>
        <w:rPr>
          <w:rFonts w:ascii="Calibri" w:hAnsi="Calibri" w:eastAsia="Calibri"/>
          <w:b/>
          <w:i w:val="0"/>
          <w:color w:val="1F4E79"/>
          <w:sz w:val="26"/>
        </w:rPr>
        <w:t>9.3. Совместная проверка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left"/>
        <w:tblLayout w:type="fixed"/>
        <w:tblCellMar>
          <w:top w:w="80" w:type="dxa"/>
          <w:start w:w="120" w:type="dxa"/>
          <w:bottom w:w="80" w:type="dxa"/>
          <w:end w:w="120" w:type="dxa"/>
        </w:tblCellMar>
        <w:tblW w:w="9360" w:type="dxa"/>
        <w:tblInd w:w="120" w:type="dxa"/>
      </w:tblPr>
      <w:tblGrid>
        <w:gridCol w:w="2300"/>
        <w:gridCol w:w="7060"/>
      </w:tblGrid>
      <w:tr>
        <w:tc>
          <w:tcPr>
            <w:tcW w:type="dxa" w:w="4"/>
            <w:shd w:fill="EEF3F8"/>
            <w:tcW w:w="2300" w:type="dxa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9"/>
              </w:rPr>
              <w:t>Проверка</w:t>
            </w:r>
          </w:p>
        </w:tc>
        <w:tc>
          <w:tcPr>
            <w:tcW w:type="dxa" w:w="11"/>
            <w:shd w:fill="EEF3F8"/>
            <w:tcW w:w="7060" w:type="dxa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9"/>
              </w:rPr>
              <w:t>Критерий успеха</w:t>
            </w:r>
          </w:p>
        </w:tc>
      </w:tr>
      <w:tr>
        <w:tc>
          <w:tcPr>
            <w:tcW w:type="dxa" w:w="4"/>
            <w:vAlign w:val="center"/>
            <w:tcW w:w="2300" w:type="dxa"/>
          </w:tcPr>
          <w:p>
            <w:pPr>
              <w:spacing w:after="4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Публичный портал</w:t>
            </w:r>
          </w:p>
        </w:tc>
        <w:tc>
          <w:tcPr>
            <w:tcW w:type="dxa" w:w="11"/>
            <w:vAlign w:val="center"/>
            <w:tcW w:w="7060" w:type="dxa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Главная, пресс-центр, документы, контакты и прием на службу доступны на /ru и /kk.</w:t>
            </w:r>
          </w:p>
        </w:tc>
      </w:tr>
      <w:tr>
        <w:tc>
          <w:tcPr>
            <w:tcW w:type="dxa" w:w="4"/>
            <w:vAlign w:val="center"/>
            <w:tcW w:w="2300" w:type="dxa"/>
          </w:tcPr>
          <w:p>
            <w:pPr>
              <w:spacing w:after="4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Обращение</w:t>
            </w:r>
          </w:p>
        </w:tc>
        <w:tc>
          <w:tcPr>
            <w:tcW w:type="dxa" w:w="11"/>
            <w:vAlign w:val="center"/>
            <w:tcW w:w="7060" w:type="dxa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Создается Appeal, отображается tracking code, lookup возвращает статус.</w:t>
            </w:r>
          </w:p>
        </w:tc>
      </w:tr>
      <w:tr>
        <w:tc>
          <w:tcPr>
            <w:tcW w:type="dxa" w:w="4"/>
            <w:vAlign w:val="center"/>
            <w:tcW w:w="2300" w:type="dxa"/>
          </w:tcPr>
          <w:p>
            <w:pPr>
              <w:spacing w:after="4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Кандидат</w:t>
            </w:r>
          </w:p>
        </w:tc>
        <w:tc>
          <w:tcPr>
            <w:tcW w:type="dxa" w:w="11"/>
            <w:vAlign w:val="center"/>
            <w:tcW w:w="7060" w:type="dxa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Регистрация создает User и CandidateApplication, кабинет доступен после входа.</w:t>
            </w:r>
          </w:p>
        </w:tc>
      </w:tr>
      <w:tr>
        <w:tc>
          <w:tcPr>
            <w:tcW w:type="dxa" w:w="4"/>
            <w:vAlign w:val="center"/>
            <w:tcW w:w="2300" w:type="dxa"/>
          </w:tcPr>
          <w:p>
            <w:pPr>
              <w:spacing w:after="4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Тест</w:t>
            </w:r>
          </w:p>
        </w:tc>
        <w:tc>
          <w:tcPr>
            <w:tcW w:type="dxa" w:w="11"/>
            <w:vAlign w:val="center"/>
            <w:tcW w:w="7060" w:type="dxa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Runner сохраняет PsychologicalTestResult и показывает его в кабинете/admin.</w:t>
            </w:r>
          </w:p>
        </w:tc>
      </w:tr>
      <w:tr>
        <w:tc>
          <w:tcPr>
            <w:tcW w:type="dxa" w:w="4"/>
            <w:vAlign w:val="center"/>
            <w:tcW w:w="2300" w:type="dxa"/>
          </w:tcPr>
          <w:p>
            <w:pPr>
              <w:spacing w:after="4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Админ</w:t>
            </w:r>
          </w:p>
        </w:tc>
        <w:tc>
          <w:tcPr>
            <w:tcW w:type="dxa" w:w="11"/>
            <w:vAlign w:val="center"/>
            <w:tcW w:w="7060" w:type="dxa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Admin/moderator может менять статусы в рамках прав; действие записано в AuditLog.</w:t>
            </w:r>
          </w:p>
        </w:tc>
      </w:tr>
      <w:tr>
        <w:tc>
          <w:tcPr>
            <w:tcW w:type="dxa" w:w="4"/>
            <w:vAlign w:val="center"/>
            <w:tcW w:w="2300" w:type="dxa"/>
          </w:tcPr>
          <w:p>
            <w:pPr>
              <w:spacing w:after="4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Эксплуатация</w:t>
            </w:r>
          </w:p>
        </w:tc>
        <w:tc>
          <w:tcPr>
            <w:tcW w:type="dxa" w:w="11"/>
            <w:vAlign w:val="center"/>
            <w:tcW w:w="7060" w:type="dxa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Healthchecks зеленые, backup создан, restore проверен.</w:t>
            </w:r>
          </w:p>
        </w:tc>
      </w:tr>
    </w:tbl>
    <w:p>
      <w:pPr>
        <w:spacing w:before="0" w:after="40" w:line="264" w:lineRule="auto"/>
      </w:pPr>
    </w:p>
    <w:p>
      <w:pPr>
        <w:pStyle w:val="Heading2"/>
        <w:keepNext/>
        <w:spacing w:before="220" w:after="100"/>
      </w:pPr>
      <w:r>
        <w:rPr>
          <w:rFonts w:ascii="Calibri" w:hAnsi="Calibri" w:eastAsia="Calibri"/>
          <w:b/>
          <w:i w:val="0"/>
          <w:color w:val="1F4E79"/>
          <w:sz w:val="26"/>
        </w:rPr>
        <w:t>9.4. Аудит</w:t>
      </w:r>
    </w:p>
    <w:p>
      <w:pPr>
        <w:spacing w:before="0" w:after="12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Аудит приемки проверяет соответствие репозитория ТЗ, отсутствие hardcoded production secrets, отсутствие demo auth, наличие миграций, журналирование admin actions, корректность зависимостей и reproducible deployment.</w:t>
      </w:r>
    </w:p>
    <w:p>
      <w:pPr>
        <w:pStyle w:val="Heading2"/>
        <w:keepNext/>
        <w:spacing w:before="220" w:after="100"/>
      </w:pPr>
      <w:r>
        <w:rPr>
          <w:rFonts w:ascii="Calibri" w:hAnsi="Calibri" w:eastAsia="Calibri"/>
          <w:b/>
          <w:i w:val="0"/>
          <w:color w:val="1F4E79"/>
          <w:sz w:val="26"/>
        </w:rPr>
        <w:t>9.5. Разрешение проблем</w:t>
      </w:r>
    </w:p>
    <w:p>
      <w:pPr>
        <w:spacing w:before="0" w:after="12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Дефекты классифицируются как Critical, High, Medium, Low. Critical и High блокируют релиз. Medium допускаются только при наличии зафиксированного workaround и срока закрытия до 14 календарных дней. Low включаются в backlog гарантийного периода.</w:t>
      </w:r>
    </w:p>
    <w:p>
      <w:pPr>
        <w:pStyle w:val="Heading2"/>
        <w:keepNext/>
        <w:spacing w:before="220" w:after="100"/>
      </w:pPr>
      <w:r>
        <w:rPr>
          <w:rFonts w:ascii="Calibri" w:hAnsi="Calibri" w:eastAsia="Calibri"/>
          <w:b/>
          <w:i w:val="0"/>
          <w:color w:val="1F4E79"/>
          <w:sz w:val="26"/>
        </w:rPr>
        <w:t>9.6. Приемка по стадиям</w:t>
      </w:r>
    </w:p>
    <w:p>
      <w:pPr>
        <w:spacing w:before="0" w:after="12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Приемка каждой стадии оформляется протоколом. Итоговая приемка оформляется актом после демонстрации всех приемочных сценариев, передачи документов, release tag, инструкций эксплуатации и подтверждения backup/restore.</w:t>
      </w:r>
    </w:p>
    <w:p>
      <w:r>
        <w:br w:type="page"/>
      </w:r>
    </w:p>
    <w:p>
      <w:pPr>
        <w:spacing w:before="0" w:after="20" w:line="264" w:lineRule="auto"/>
      </w:pPr>
      <w:r>
        <w:rPr>
          <w:rFonts w:ascii="Calibri" w:hAnsi="Calibri" w:eastAsia="Calibri"/>
          <w:b w:val="0"/>
          <w:i w:val="0"/>
          <w:color w:val="595959"/>
          <w:sz w:val="20"/>
        </w:rPr>
        <w:t>Раздел 10 из 12</w:t>
      </w:r>
    </w:p>
    <w:p>
      <w:pPr>
        <w:pStyle w:val="Heading1"/>
        <w:keepNext/>
        <w:spacing w:before="320" w:after="160"/>
      </w:pPr>
      <w:r>
        <w:rPr>
          <w:rFonts w:ascii="Calibri" w:hAnsi="Calibri" w:eastAsia="Calibri"/>
          <w:b/>
          <w:i w:val="0"/>
          <w:color w:val="1F4E79"/>
          <w:sz w:val="32"/>
        </w:rPr>
        <w:t>Подготовка объекта автоматизации к вводу системы в действие</w:t>
      </w:r>
    </w:p>
    <w:p>
      <w:pPr>
        <w:pStyle w:val="Heading2"/>
        <w:keepNext/>
        <w:spacing w:before="220" w:after="100"/>
      </w:pPr>
      <w:r>
        <w:rPr>
          <w:rFonts w:ascii="Calibri" w:hAnsi="Calibri" w:eastAsia="Calibri"/>
          <w:b/>
          <w:i w:val="0"/>
          <w:color w:val="1F4E79"/>
          <w:sz w:val="26"/>
        </w:rPr>
        <w:t>10.1. Подготовка информации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Подготовить двуязычные тексты разделов: о Комитете, деятельность, пресс-центр, документы, контакты, прием на службу, работа с населением.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Заполнить RegionOffice для центрального аппарата и региональных контактов.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Проверить все телефонные номера, email и адреса по официальному ресурсу GOV.KZ.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Очистить seed/demo данные перед production.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Проверить, что published контент не содержит черновиков и внутренних комментариев.</w:t>
      </w:r>
    </w:p>
    <w:p>
      <w:pPr>
        <w:pStyle w:val="Heading2"/>
        <w:keepNext/>
        <w:spacing w:before="220" w:after="100"/>
      </w:pPr>
      <w:r>
        <w:rPr>
          <w:rFonts w:ascii="Calibri" w:hAnsi="Calibri" w:eastAsia="Calibri"/>
          <w:b/>
          <w:i w:val="0"/>
          <w:color w:val="1F4E79"/>
          <w:sz w:val="26"/>
        </w:rPr>
        <w:t>10.2. Организационные изменения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Назначить двух администраторов, четырех модераторов, одного технического оператора и одного ответственного за публикации.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Утвердить порядок смены статусов обращений и кандидатских заявок.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Утвердить регламент публикации материалов пресс-службы.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Утвердить порядок блокировки пользователя и отзыва refresh sessions.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Утвердить порядок хранения и удаления персональных данных.</w:t>
      </w:r>
    </w:p>
    <w:p>
      <w:pPr>
        <w:pStyle w:val="Heading2"/>
        <w:keepNext/>
        <w:spacing w:before="220" w:after="100"/>
      </w:pPr>
      <w:r>
        <w:rPr>
          <w:rFonts w:ascii="Calibri" w:hAnsi="Calibri" w:eastAsia="Calibri"/>
          <w:b/>
          <w:i w:val="0"/>
          <w:color w:val="1F4E79"/>
          <w:sz w:val="26"/>
        </w:rPr>
        <w:t>10.3. Условия функционирования</w:t>
      </w:r>
    </w:p>
    <w:p>
      <w:pPr>
        <w:spacing w:before="0" w:after="12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До запуска создаются production домен, TLS certificate, CORS allowlist, ALLOWED_HOSTS, JWT_SECRET, REFRESH_COOKIE_SECRET, TELEGRAM_BOT_TOKEN, TELEGRAM_WEBHOOK_SECRET, ADMIN_PORTAL_ALLOWED_USER_EMAIL, ADMIN_PANEL_EMAIL, ADMIN_PANEL_PASSWORD_HASH, DATABASE_URL, backup credentials и monitoring endpoints. Все значения размещаются в secret manager или защищенных environment variables.</w:t>
      </w:r>
    </w:p>
    <w:p>
      <w:pPr>
        <w:pStyle w:val="Heading2"/>
        <w:keepNext/>
        <w:spacing w:before="220" w:after="100"/>
      </w:pPr>
      <w:r>
        <w:rPr>
          <w:rFonts w:ascii="Calibri" w:hAnsi="Calibri" w:eastAsia="Calibri"/>
          <w:b/>
          <w:i w:val="0"/>
          <w:color w:val="1F4E79"/>
          <w:sz w:val="26"/>
        </w:rPr>
        <w:t>10.4. Службы эксплуатации</w:t>
      </w:r>
    </w:p>
    <w:p>
      <w:pPr>
        <w:spacing w:before="0" w:after="12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Эксплуатационная зона ответственности разделяется на content owner, moderator team, technical operator и security reviewer. Каждый инцидент получает номер, severity, владельца, срок реакции и итоговое решение.</w:t>
      </w:r>
    </w:p>
    <w:p>
      <w:pPr>
        <w:pStyle w:val="Heading2"/>
        <w:keepNext/>
        <w:spacing w:before="220" w:after="100"/>
      </w:pPr>
      <w:r>
        <w:rPr>
          <w:rFonts w:ascii="Calibri" w:hAnsi="Calibri" w:eastAsia="Calibri"/>
          <w:b/>
          <w:i w:val="0"/>
          <w:color w:val="1F4E79"/>
          <w:sz w:val="26"/>
        </w:rPr>
        <w:t>10.5. Обучение</w:t>
      </w:r>
    </w:p>
    <w:p>
      <w:pPr>
        <w:spacing w:before="0" w:after="12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Администраторы и модераторы проходят 2-часовое обучение: вход, второй admin login, списки, фильтры, смена статусов, комментарии, content CRUD, audit log, ошибки, правила ПДн. Технический оператор проходит 3-часовое обучение: deployment, migrations, logs, healthchecks, backup, restore, rollback.</w:t>
      </w:r>
    </w:p>
    <w:p>
      <w:r>
        <w:br w:type="page"/>
      </w:r>
    </w:p>
    <w:p>
      <w:pPr>
        <w:spacing w:before="0" w:after="20" w:line="264" w:lineRule="auto"/>
      </w:pPr>
      <w:r>
        <w:rPr>
          <w:rFonts w:ascii="Calibri" w:hAnsi="Calibri" w:eastAsia="Calibri"/>
          <w:b w:val="0"/>
          <w:i w:val="0"/>
          <w:color w:val="595959"/>
          <w:sz w:val="20"/>
        </w:rPr>
        <w:t>Раздел 11 из 12</w:t>
      </w:r>
    </w:p>
    <w:p>
      <w:pPr>
        <w:pStyle w:val="Heading1"/>
        <w:keepNext/>
        <w:spacing w:before="320" w:after="160"/>
      </w:pPr>
      <w:r>
        <w:rPr>
          <w:rFonts w:ascii="Calibri" w:hAnsi="Calibri" w:eastAsia="Calibri"/>
          <w:b/>
          <w:i w:val="0"/>
          <w:color w:val="1F4E79"/>
          <w:sz w:val="32"/>
        </w:rPr>
        <w:t>Требования к документированию</w:t>
      </w:r>
    </w:p>
    <w:p>
      <w:pPr>
        <w:pStyle w:val="Heading2"/>
        <w:keepNext/>
        <w:spacing w:before="220" w:after="100"/>
      </w:pPr>
      <w:r>
        <w:rPr>
          <w:rFonts w:ascii="Calibri" w:hAnsi="Calibri" w:eastAsia="Calibri"/>
          <w:b/>
          <w:i w:val="0"/>
          <w:color w:val="1F4E79"/>
          <w:sz w:val="26"/>
        </w:rPr>
        <w:t>11.1. Комплект документов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ТЗ v2.0 в DOCX и PDF.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README с локальным, Docker и production-подобным запуском.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.env.example для web и API без секретов.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ARCHITECTURE.md с актуальной схемой.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API reference с endpoints, request/response и auth requirements.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Database schema reference с миграциями.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Admin/moderator manual.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Deployment and operations runbook.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Backup/restore runbook.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Security hardening checklist.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Test plan and acceptance report.</w:t>
      </w:r>
    </w:p>
    <w:p>
      <w:pPr>
        <w:pStyle w:val="Heading2"/>
        <w:keepNext/>
        <w:spacing w:before="220" w:after="100"/>
      </w:pPr>
      <w:r>
        <w:rPr>
          <w:rFonts w:ascii="Calibri" w:hAnsi="Calibri" w:eastAsia="Calibri"/>
          <w:b/>
          <w:i w:val="0"/>
          <w:color w:val="1F4E79"/>
          <w:sz w:val="26"/>
        </w:rPr>
        <w:t>11.2. Машинные носители</w:t>
      </w:r>
    </w:p>
    <w:p>
      <w:pPr>
        <w:spacing w:before="0" w:after="12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Исходный код, документация, миграции, тесты, Docker-конфигурация и release notes передаются в Git-репозитории. Итоговые документы передаются в DOCX/PDF/Markdown. Production-секреты в репозиторий не помещаются.</w:t>
      </w:r>
    </w:p>
    <w:p>
      <w:pPr>
        <w:pStyle w:val="Heading2"/>
        <w:keepNext/>
        <w:spacing w:before="220" w:after="100"/>
      </w:pPr>
      <w:r>
        <w:rPr>
          <w:rFonts w:ascii="Calibri" w:hAnsi="Calibri" w:eastAsia="Calibri"/>
          <w:b/>
          <w:i w:val="0"/>
          <w:color w:val="1F4E79"/>
          <w:sz w:val="26"/>
        </w:rPr>
        <w:t>11.3. Документирование компонентов</w:t>
      </w:r>
    </w:p>
    <w:p>
      <w:pPr>
        <w:spacing w:before="0" w:after="12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Каждый runtime component имеет описание назначения, команд запуска, переменных окружения, healthcheck, логов, ошибок и recovery procedure. Каждая интеграционная точка описана в API reference.</w:t>
      </w:r>
    </w:p>
    <w:p>
      <w:pPr>
        <w:pStyle w:val="Heading2"/>
        <w:keepNext/>
        <w:spacing w:before="220" w:after="100"/>
      </w:pPr>
      <w:r>
        <w:rPr>
          <w:rFonts w:ascii="Calibri" w:hAnsi="Calibri" w:eastAsia="Calibri"/>
          <w:b/>
          <w:i w:val="0"/>
          <w:color w:val="1F4E79"/>
          <w:sz w:val="26"/>
        </w:rPr>
        <w:t>11.4. Дополнительные требования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Документы пишутся на русском языке; пользовательские публичные тексты также ведутся на казахском.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Все screenshots в инструкциях скрывают персональные данные.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Каждая инструкция содержит дату версии и связанный release tag.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Документация обновляется в том же pull request, где меняется соответствующее поведение.</w:t>
      </w:r>
    </w:p>
    <w:p>
      <w:r>
        <w:br w:type="page"/>
      </w:r>
    </w:p>
    <w:p>
      <w:pPr>
        <w:spacing w:before="0" w:after="20" w:line="264" w:lineRule="auto"/>
      </w:pPr>
      <w:r>
        <w:rPr>
          <w:rFonts w:ascii="Calibri" w:hAnsi="Calibri" w:eastAsia="Calibri"/>
          <w:b w:val="0"/>
          <w:i w:val="0"/>
          <w:color w:val="595959"/>
          <w:sz w:val="20"/>
        </w:rPr>
        <w:t>Раздел 12 из 12</w:t>
      </w:r>
    </w:p>
    <w:p>
      <w:pPr>
        <w:pStyle w:val="Heading1"/>
        <w:keepNext/>
        <w:spacing w:before="320" w:after="160"/>
      </w:pPr>
      <w:r>
        <w:rPr>
          <w:rFonts w:ascii="Calibri" w:hAnsi="Calibri" w:eastAsia="Calibri"/>
          <w:b/>
          <w:i w:val="0"/>
          <w:color w:val="1F4E79"/>
          <w:sz w:val="32"/>
        </w:rPr>
        <w:t>Источники разработки</w:t>
      </w:r>
    </w:p>
    <w:p>
      <w:pPr>
        <w:pStyle w:val="Heading2"/>
        <w:keepNext/>
        <w:spacing w:before="220" w:after="100"/>
      </w:pPr>
      <w:r>
        <w:rPr>
          <w:rFonts w:ascii="Calibri" w:hAnsi="Calibri" w:eastAsia="Calibri"/>
          <w:b/>
          <w:i w:val="0"/>
          <w:color w:val="1F4E79"/>
          <w:sz w:val="26"/>
        </w:rPr>
        <w:t>12.1. Открытые и проектные источники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Официальный ресурс КНБ РК на GOV.KZ: https://www.gov.kz/memleket/entities/knb?lang=ru.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Казахская версия официального ресурса КНБ РК на GOV.KZ: https://www.gov.kz/memleket/entities/knb?lang=kk.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Разделы официального ресурса: пресс-центр, направления, документы, контакты, прием на службу, работа с населением, социальные медиа и полезные ссылки.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Открытые ссылки GOV.KZ на e-Otinish, eGov и eLicense использованы как пример внешних справочных переходов без API-интеграции.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Проектный репозиторий: apps/web, apps/api, docs/ARCHITECTURE.md, SECURITY_ROADMAP.md, docker-compose.yml, Alembic migrations.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Исходный шаблон: техническое_задание_2026-07-13.docx.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ГОСТ 34.601 как структура стадий создания автоматизированной системы.</w:t>
      </w:r>
    </w:p>
    <w:p>
      <w:pPr>
        <w:pStyle w:val="Heading2"/>
        <w:keepNext/>
        <w:spacing w:before="220" w:after="100"/>
      </w:pPr>
      <w:r>
        <w:rPr>
          <w:rFonts w:ascii="Calibri" w:hAnsi="Calibri" w:eastAsia="Calibri"/>
          <w:b/>
          <w:i w:val="0"/>
          <w:color w:val="1F4E79"/>
          <w:sz w:val="26"/>
        </w:rPr>
        <w:t>12.2. Зафиксированные проектные решения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Две локали: ru и kk.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PostgreSQL в production, SQLite только локально.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Telegram и email/password - единственные способы auth первой версии.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Admin-panel login отделен от ordinary auth.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Подача файлов, ЭЦП, SMS, eGov API, search и English locale не входят в версию 1.0.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Content CRUD реализуется только для активных публичных разделов: Page, News, RegionOffice.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Психологические результаты сохраняются без автоматического scoring.</w:t>
      </w:r>
    </w:p>
    <w:p>
      <w:pPr>
        <w:spacing w:before="0" w:after="120" w:line="264" w:lineRule="auto"/>
      </w:pPr>
      <w:r>
        <w:rPr>
          <w:rFonts w:ascii="Calibri" w:hAnsi="Calibri" w:eastAsia="Calibri"/>
          <w:b/>
          <w:i w:val="0"/>
          <w:color w:val="000000"/>
          <w:sz w:val="22"/>
        </w:rPr>
        <w:t>Настоящее ТЗ является закрытой полной редакцией требований для реализации первой продуктивной версии портала КНБ РК. Все спорные вопросы scope в этой версии решены текстом настоящего документа.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i w:val="0"/>
        <w:color w:val="595959"/>
        <w:sz w:val="18"/>
      </w:rPr>
      <w:t>Версия 2.0 | 13.07.2026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 w:eastAsia="Calibri"/>
        <w:b w:val="0"/>
        <w:i w:val="0"/>
        <w:color w:val="595959"/>
        <w:sz w:val="18"/>
      </w:rPr>
      <w:t>Техническое задание | Официальный интернет-портал КНБ РК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