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48"/>
          <w:szCs w:val="48"/>
        </w:rPr>
      </w:pPr>
      <w:r w:rsidDel="00000000" w:rsidR="00000000" w:rsidRPr="00000000">
        <w:rPr>
          <w:b w:val="1"/>
          <w:sz w:val="48"/>
          <w:szCs w:val="48"/>
          <w:rtl w:val="0"/>
        </w:rPr>
        <w:t xml:space="preserve">X-Prize Hybrid Gas-Electric Power System</w:t>
      </w:r>
    </w:p>
    <w:p w:rsidR="00000000" w:rsidDel="00000000" w:rsidP="00000000" w:rsidRDefault="00000000" w:rsidRPr="00000000">
      <w:pPr>
        <w:pBdr/>
        <w:spacing w:line="360" w:lineRule="auto"/>
        <w:contextualSpacing w:val="0"/>
        <w:jc w:val="center"/>
        <w:rPr>
          <w:b w:val="1"/>
          <w:sz w:val="36"/>
          <w:szCs w:val="36"/>
        </w:rPr>
      </w:pPr>
      <w:r w:rsidDel="00000000" w:rsidR="00000000" w:rsidRPr="00000000">
        <w:rPr>
          <w:b w:val="1"/>
          <w:sz w:val="36"/>
          <w:szCs w:val="36"/>
          <w:rtl w:val="0"/>
        </w:rPr>
        <w:t xml:space="preserve">Hayes Griffin, Frank Jones, Ernesto de Losada, and Henry Meiring</w:t>
      </w:r>
    </w:p>
    <w:p w:rsidR="00000000" w:rsidDel="00000000" w:rsidP="00000000" w:rsidRDefault="00000000" w:rsidRPr="00000000">
      <w:pPr>
        <w:pBd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sz w:val="24"/>
          <w:szCs w:val="24"/>
          <w:rtl w:val="0"/>
        </w:rPr>
        <w:t xml:space="preserve">ECE 496 (and ME 424)</w:t>
      </w:r>
    </w:p>
    <w:p w:rsidR="00000000" w:rsidDel="00000000" w:rsidP="00000000" w:rsidRDefault="00000000" w:rsidRPr="00000000">
      <w:pPr>
        <w:pBdr/>
        <w:spacing w:line="360" w:lineRule="auto"/>
        <w:contextualSpacing w:val="0"/>
        <w:jc w:val="center"/>
        <w:rPr>
          <w:sz w:val="24"/>
          <w:szCs w:val="24"/>
        </w:rPr>
      </w:pPr>
      <w:r w:rsidDel="00000000" w:rsidR="00000000" w:rsidRPr="00000000">
        <w:rPr>
          <w:sz w:val="24"/>
          <w:szCs w:val="24"/>
          <w:rtl w:val="0"/>
        </w:rPr>
        <w:t xml:space="preserve">Instructors: Dr. Brooke and Dr. Simmons</w:t>
      </w:r>
    </w:p>
    <w:p w:rsidR="00000000" w:rsidDel="00000000" w:rsidP="00000000" w:rsidRDefault="00000000" w:rsidRPr="00000000">
      <w:pPr>
        <w:pBdr/>
        <w:spacing w:line="360" w:lineRule="auto"/>
        <w:contextualSpacing w:val="0"/>
        <w:jc w:val="center"/>
        <w:rPr>
          <w:sz w:val="24"/>
          <w:szCs w:val="24"/>
        </w:rPr>
      </w:pPr>
      <w:r w:rsidDel="00000000" w:rsidR="00000000" w:rsidRPr="00000000">
        <w:rPr>
          <w:sz w:val="24"/>
          <w:szCs w:val="24"/>
          <w:rtl w:val="0"/>
        </w:rPr>
        <w:t xml:space="preserve">Duke University</w:t>
      </w:r>
    </w:p>
    <w:p w:rsidR="00000000" w:rsidDel="00000000" w:rsidP="00000000" w:rsidRDefault="00000000" w:rsidRPr="00000000">
      <w:pPr>
        <w:pBdr/>
        <w:spacing w:line="360" w:lineRule="auto"/>
        <w:contextualSpacing w:val="0"/>
        <w:jc w:val="center"/>
        <w:rPr>
          <w:sz w:val="24"/>
          <w:szCs w:val="24"/>
        </w:rPr>
      </w:pPr>
      <w:r w:rsidDel="00000000" w:rsidR="00000000" w:rsidRPr="00000000">
        <w:rPr>
          <w:sz w:val="24"/>
          <w:szCs w:val="24"/>
          <w:rtl w:val="0"/>
        </w:rPr>
        <w:t xml:space="preserve">Due: March 24th, 2017</w:t>
      </w: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sz w:val="24"/>
          <w:szCs w:val="24"/>
          <w:rtl w:val="0"/>
        </w:rPr>
        <w:t xml:space="preserve">The following report presented by the Duke Spring 2017 X-Prize Hybrid Gas-Electric Engine Group will contain background information on both the hybrid system and the broader project, an update on the progress made since the current team took over the project, as well as future plans and goals that The Group hopes to achieve during the remainder of the semester. The design for the power system employs a gas engine coupled to a DC motor, and a significant amount of torque is generated. As inherited, the system was mounted on a test frame that is not sufficient for connection to the drone body and flight. The main mechanical challenges have been and will continue to be designing and machining proper shafts and couplings for the engine and motor which can handle the generated torque, as well as building a lightweight sturdy frame which can be mounted on the drone.</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b w:val="1"/>
          <w:sz w:val="24"/>
          <w:szCs w:val="24"/>
        </w:rPr>
      </w:pPr>
      <w:r w:rsidDel="00000000" w:rsidR="00000000" w:rsidRPr="00000000">
        <w:rPr>
          <w:b w:val="1"/>
          <w:sz w:val="24"/>
          <w:szCs w:val="24"/>
          <w:rtl w:val="0"/>
        </w:rPr>
        <w:t xml:space="preserve">Competition</w:t>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The Shell Ocean Discovery X-Prize is a global competition to find a more efficient way of producing high resolution bathymetric maps of the ocean floor. The competition consists of designing a semi-autonomous device that can be launched from shore or air and is able to map 500 square kilometers of the ocean floor at depths of 2000 and 4000 meters in a limited number of hours. The grand prize is $4 million and teams can also compete for the NOAA bonus prize of $1 million awarded to the team that successfully finds and identifies the source of a chemical signal.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b w:val="1"/>
          <w:sz w:val="24"/>
          <w:szCs w:val="24"/>
          <w:rtl w:val="0"/>
        </w:rPr>
        <w:t xml:space="preserve">Motivation</w:t>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Current technologies for ocean mapping are not easily scalable. Covering the entire ocean floor with them would demand compromises in resolution, coverage, power consumption and sensor weight. In addition, present-day ocean floor mapping requires capital investments upwards of $1 million and operating costs exceed $60,000 per day. </w:t>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Despite the importance of the ocean on our planet and economic activities, only a fraction of government, academic and private investment is allocated to deep ocean exploration. The Shell Ocean Discovery X-Prize aims to stimulate the market for bathymetric exploration technologies; jumpstarting innovation and creating demand for information about the world’s oceans.</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b w:val="1"/>
          <w:sz w:val="24"/>
          <w:szCs w:val="24"/>
        </w:rPr>
      </w:pPr>
      <w:r w:rsidDel="00000000" w:rsidR="00000000" w:rsidRPr="00000000">
        <w:rPr>
          <w:b w:val="1"/>
          <w:sz w:val="24"/>
          <w:szCs w:val="24"/>
          <w:rtl w:val="0"/>
        </w:rPr>
        <w:t xml:space="preserve">Entire Drone System Background:</w:t>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In order to complete the mission, the team decided to design and construct an 18 rotor heavy lift drone equipped with a hybrid powertrain to deliver a synthetic aperture solar diving pod capable of collecting the required data points. The pods are hermetically sealed and equipped with a 28 kHz sound system for SONAR, a variable buoyancy diving system, IMU and GPS based positioning sensors, WiFi and LoRa for module data communication, and a chemical signature sensor.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To tackle such a large mapping area, the drone will drop the pod at a predetermined starting location and the pod will then sink to the required depth and collect a set of data points. It will then rise to the surface and the drone will retrieve it from the ocean and transport it to the next measurement location.</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Electric motors are the often used in drones for their superior RPM flexibility compared to gasoline engines but are limited in range due to the relatively low energy density of the batteries that power them. To overcome this hurdle, the drone will be equipped with three gasoline powered generators. The generator setups are composed of a DLE-60 Twin 60cc two stroke model aircraft engine and a Turnigy 80cc Outrunner BLDC brushless motor. The gasoline and electric motors are coupled via two turned steel shafts and a high strength lovejoy joint. The hybrid power system allows for an extended flight time of up to several hours.</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b w:val="1"/>
          <w:sz w:val="24"/>
          <w:szCs w:val="24"/>
          <w:rtl w:val="0"/>
        </w:rPr>
        <w:t xml:space="preserve">Hybrid System Background:</w:t>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The hybrid power system consists primarily of a DC brushless motor/generator coupled to a twin cylinder engine. Two LiPo batteries are supply power to the motor in order to start the engine. With the engine started, the motor then acts as a generator, receiving mechanical power from the engine and converting it to electrical current which flows through a rectifier and charges a third battery. Below is a block diagram depicting the power flow of the hybrid system</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pPr>
        <w:pBdr/>
        <w:spacing w:line="360" w:lineRule="auto"/>
        <w:contextualSpacing w:val="0"/>
        <w:jc w:val="center"/>
        <w:rPr/>
      </w:pPr>
      <w:r w:rsidDel="00000000" w:rsidR="00000000" w:rsidRPr="00000000">
        <w:rPr>
          <w:b w:val="1"/>
          <w:rtl w:val="0"/>
        </w:rPr>
        <w:t xml:space="preserve">Figure 1. </w:t>
      </w:r>
      <w:r w:rsidDel="00000000" w:rsidR="00000000" w:rsidRPr="00000000">
        <w:rPr>
          <w:rtl w:val="0"/>
        </w:rPr>
        <w:t xml:space="preserve">A block diagram of general power flow in the hybrid gas-electric power system.</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114300</wp:posOffset>
            </wp:positionV>
            <wp:extent cx="5943600" cy="2489200"/>
            <wp:effectExtent b="0" l="0" r="0" t="0"/>
            <wp:wrapSquare wrapText="bothSides" distB="114300" distT="114300" distL="114300" distR="114300"/>
            <wp:docPr descr="Hybrid Power BD.png" id="5" name="image12.png"/>
            <a:graphic>
              <a:graphicData uri="http://schemas.openxmlformats.org/drawingml/2006/picture">
                <pic:pic>
                  <pic:nvPicPr>
                    <pic:cNvPr descr="Hybrid Power BD.png" id="0" name="image12.png"/>
                    <pic:cNvPicPr preferRelativeResize="0"/>
                  </pic:nvPicPr>
                  <pic:blipFill>
                    <a:blip r:embed="rId6"/>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pPr>
        <w:pBdr/>
        <w:spacing w:line="360" w:lineRule="auto"/>
        <w:contextualSpacing w:val="0"/>
        <w:jc w:val="center"/>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In addition to the engine, motor/generator, and battery sources, the full hybrid power system is comprised of the following components: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sz w:val="24"/>
          <w:szCs w:val="24"/>
        </w:rPr>
      </w:pPr>
      <w:r w:rsidDel="00000000" w:rsidR="00000000" w:rsidRPr="00000000">
        <w:rPr>
          <w:sz w:val="24"/>
          <w:szCs w:val="24"/>
          <w:rtl w:val="0"/>
        </w:rPr>
        <w:t xml:space="preserve">Ignition Box</w:t>
      </w:r>
    </w:p>
    <w:p w:rsidR="00000000" w:rsidDel="00000000" w:rsidP="00000000" w:rsidRDefault="00000000" w:rsidRPr="00000000">
      <w:pPr>
        <w:numPr>
          <w:ilvl w:val="0"/>
          <w:numId w:val="1"/>
        </w:numPr>
        <w:pBdr/>
        <w:spacing w:line="360" w:lineRule="auto"/>
        <w:ind w:left="720" w:hanging="360"/>
        <w:contextualSpacing w:val="1"/>
        <w:rPr>
          <w:sz w:val="24"/>
          <w:szCs w:val="24"/>
        </w:rPr>
      </w:pPr>
      <w:r w:rsidDel="00000000" w:rsidR="00000000" w:rsidRPr="00000000">
        <w:rPr>
          <w:sz w:val="24"/>
          <w:szCs w:val="24"/>
          <w:rtl w:val="0"/>
        </w:rPr>
        <w:t xml:space="preserve">Battery Eliminator Circuit</w:t>
      </w:r>
    </w:p>
    <w:p w:rsidR="00000000" w:rsidDel="00000000" w:rsidP="00000000" w:rsidRDefault="00000000" w:rsidRPr="00000000">
      <w:pPr>
        <w:numPr>
          <w:ilvl w:val="0"/>
          <w:numId w:val="1"/>
        </w:numPr>
        <w:pBdr/>
        <w:spacing w:line="360" w:lineRule="auto"/>
        <w:ind w:left="720" w:hanging="360"/>
        <w:contextualSpacing w:val="1"/>
        <w:rPr>
          <w:sz w:val="24"/>
          <w:szCs w:val="24"/>
        </w:rPr>
      </w:pPr>
      <w:r w:rsidDel="00000000" w:rsidR="00000000" w:rsidRPr="00000000">
        <w:rPr>
          <w:sz w:val="24"/>
          <w:szCs w:val="24"/>
          <w:rtl w:val="0"/>
        </w:rPr>
        <w:t xml:space="preserve">Servos</w:t>
      </w:r>
    </w:p>
    <w:p w:rsidR="00000000" w:rsidDel="00000000" w:rsidP="00000000" w:rsidRDefault="00000000" w:rsidRPr="00000000">
      <w:pPr>
        <w:numPr>
          <w:ilvl w:val="0"/>
          <w:numId w:val="1"/>
        </w:numPr>
        <w:pBdr/>
        <w:spacing w:line="360" w:lineRule="auto"/>
        <w:ind w:left="720" w:hanging="360"/>
        <w:contextualSpacing w:val="1"/>
        <w:rPr>
          <w:sz w:val="24"/>
          <w:szCs w:val="24"/>
        </w:rPr>
      </w:pPr>
      <w:r w:rsidDel="00000000" w:rsidR="00000000" w:rsidRPr="00000000">
        <w:rPr>
          <w:sz w:val="24"/>
          <w:szCs w:val="24"/>
          <w:rtl w:val="0"/>
        </w:rPr>
        <w:t xml:space="preserve">Arduino Microcontroller</w:t>
      </w:r>
    </w:p>
    <w:p w:rsidR="00000000" w:rsidDel="00000000" w:rsidP="00000000" w:rsidRDefault="00000000" w:rsidRPr="00000000">
      <w:pPr>
        <w:numPr>
          <w:ilvl w:val="0"/>
          <w:numId w:val="1"/>
        </w:numPr>
        <w:pBdr/>
        <w:spacing w:line="360" w:lineRule="auto"/>
        <w:ind w:left="720" w:hanging="360"/>
        <w:contextualSpacing w:val="1"/>
        <w:rPr>
          <w:sz w:val="24"/>
          <w:szCs w:val="24"/>
          <w:u w:val="none"/>
        </w:rPr>
      </w:pPr>
      <w:r w:rsidDel="00000000" w:rsidR="00000000" w:rsidRPr="00000000">
        <w:rPr>
          <w:sz w:val="24"/>
          <w:szCs w:val="24"/>
          <w:rtl w:val="0"/>
        </w:rPr>
        <w:t xml:space="preserve">Adafruit shield</w:t>
      </w:r>
    </w:p>
    <w:p w:rsidR="00000000" w:rsidDel="00000000" w:rsidP="00000000" w:rsidRDefault="00000000" w:rsidRPr="00000000">
      <w:pPr>
        <w:numPr>
          <w:ilvl w:val="0"/>
          <w:numId w:val="1"/>
        </w:numPr>
        <w:pBdr/>
        <w:spacing w:line="360" w:lineRule="auto"/>
        <w:ind w:left="720" w:hanging="360"/>
        <w:contextualSpacing w:val="1"/>
        <w:rPr>
          <w:sz w:val="24"/>
          <w:szCs w:val="24"/>
          <w:u w:val="none"/>
        </w:rPr>
      </w:pPr>
      <w:r w:rsidDel="00000000" w:rsidR="00000000" w:rsidRPr="00000000">
        <w:rPr>
          <w:sz w:val="24"/>
          <w:szCs w:val="24"/>
          <w:rtl w:val="0"/>
        </w:rPr>
        <w:t xml:space="preserve">Rectifier subcircuit</w:t>
      </w:r>
    </w:p>
    <w:p w:rsidR="00000000" w:rsidDel="00000000" w:rsidP="00000000" w:rsidRDefault="00000000" w:rsidRPr="00000000">
      <w:pPr>
        <w:numPr>
          <w:ilvl w:val="0"/>
          <w:numId w:val="1"/>
        </w:numPr>
        <w:pBdr/>
        <w:spacing w:line="360" w:lineRule="auto"/>
        <w:ind w:left="720" w:hanging="360"/>
        <w:contextualSpacing w:val="1"/>
        <w:rPr>
          <w:sz w:val="24"/>
          <w:szCs w:val="24"/>
          <w:u w:val="none"/>
        </w:rPr>
      </w:pPr>
      <w:r w:rsidDel="00000000" w:rsidR="00000000" w:rsidRPr="00000000">
        <w:rPr>
          <w:sz w:val="24"/>
          <w:szCs w:val="24"/>
          <w:rtl w:val="0"/>
        </w:rPr>
        <w:t xml:space="preserve">Current Sensor</w:t>
      </w:r>
    </w:p>
    <w:p w:rsidR="00000000" w:rsidDel="00000000" w:rsidP="00000000" w:rsidRDefault="00000000" w:rsidRPr="00000000">
      <w:pPr>
        <w:numPr>
          <w:ilvl w:val="0"/>
          <w:numId w:val="1"/>
        </w:numPr>
        <w:pBdr/>
        <w:spacing w:line="360" w:lineRule="auto"/>
        <w:ind w:left="720" w:hanging="360"/>
        <w:contextualSpacing w:val="1"/>
        <w:rPr>
          <w:sz w:val="24"/>
          <w:szCs w:val="24"/>
          <w:u w:val="none"/>
        </w:rPr>
      </w:pPr>
      <w:r w:rsidDel="00000000" w:rsidR="00000000" w:rsidRPr="00000000">
        <w:rPr>
          <w:sz w:val="24"/>
          <w:szCs w:val="24"/>
          <w:rtl w:val="0"/>
        </w:rPr>
        <w:t xml:space="preserve">Gas tank</w:t>
      </w:r>
    </w:p>
    <w:p w:rsidR="00000000" w:rsidDel="00000000" w:rsidP="00000000" w:rsidRDefault="00000000" w:rsidRPr="00000000">
      <w:pPr>
        <w:numPr>
          <w:ilvl w:val="0"/>
          <w:numId w:val="1"/>
        </w:numPr>
        <w:pBdr/>
        <w:spacing w:line="360" w:lineRule="auto"/>
        <w:ind w:left="720" w:hanging="360"/>
        <w:contextualSpacing w:val="1"/>
        <w:rPr>
          <w:sz w:val="24"/>
          <w:szCs w:val="24"/>
          <w:u w:val="none"/>
        </w:rPr>
      </w:pPr>
      <w:r w:rsidDel="00000000" w:rsidR="00000000" w:rsidRPr="00000000">
        <w:rPr>
          <w:sz w:val="24"/>
          <w:szCs w:val="24"/>
          <w:rtl w:val="0"/>
        </w:rPr>
        <w:t xml:space="preserve">Temporary frame</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The ignition box fires the spark plugs of the engine. The battery eliminator circuit provides power at 5 V to the Arduino and the ignition box. Two servos connected to the engine control the choke and throttle (to set the air/gas mixture used in the engine). The Arduino microcontroller runs the code to control the engine and generator. The rectifier subcircuit takes AC power generated from the motor/generator and converts it into DC power capable of charging a LiPo battery. A full schematic of the system’s components and their connections can be seen in </w:t>
      </w:r>
      <w:r w:rsidDel="00000000" w:rsidR="00000000" w:rsidRPr="00000000">
        <w:rPr>
          <w:b w:val="1"/>
          <w:sz w:val="24"/>
          <w:szCs w:val="24"/>
          <w:rtl w:val="0"/>
        </w:rPr>
        <w:t xml:space="preserve">Appendix A. </w:t>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As inherited, the system was mounted on a temporary frame</w:t>
      </w:r>
      <w:r w:rsidDel="00000000" w:rsidR="00000000" w:rsidRPr="00000000">
        <w:rPr>
          <w:sz w:val="24"/>
          <w:szCs w:val="24"/>
          <w:rtl w:val="0"/>
        </w:rPr>
        <w:t xml:space="preserve"> for testing but unable to be run. From a mechanical standpoint, the engine/motor coupling was insufficient for handling the appropriate amount of torque. The Lovejoy coupling used did not have a high enough ratin</w:t>
      </w:r>
      <w:r w:rsidDel="00000000" w:rsidR="00000000" w:rsidRPr="00000000">
        <w:rPr>
          <w:sz w:val="24"/>
          <w:szCs w:val="24"/>
          <w:rtl w:val="0"/>
        </w:rPr>
        <w:t xml:space="preserve">g, and the connection choice of set screws left both the generator and engine shafts chewed up and mangled.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Additionally, the shafts themselves were too small. The engine shaft that was being used for the coupling was actually not intended for transmitting significant torque and was only screwed in on the rotating component of the engine that is capable of transferring the torque. For these reasons, both shafts would need to be replaced with custom steel shafts, and the coupling had to be totally redesigned with a higher rating and keyways that serve as much higher quality connections.</w:t>
      </w:r>
      <w:r w:rsidDel="00000000" w:rsidR="00000000" w:rsidRPr="00000000">
        <w:rPr>
          <w:rtl w:val="0"/>
        </w:rPr>
      </w:r>
    </w:p>
    <w:p w:rsidR="00000000" w:rsidDel="00000000" w:rsidP="00000000" w:rsidRDefault="00000000" w:rsidRPr="00000000">
      <w:pPr>
        <w:pBdr/>
        <w:spacing w:line="360" w:lineRule="auto"/>
        <w:contextualSpacing w:val="0"/>
        <w:jc w:val="left"/>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b w:val="1"/>
          <w:sz w:val="24"/>
          <w:szCs w:val="24"/>
          <w:rtl w:val="0"/>
        </w:rPr>
        <w:t xml:space="preserve">Progress</w:t>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We began our efforts by trying to start the engine using the generator as the starter. As inherited, the engine and generator shafts were coupled using the propeller hub nuts and a lovejoy-type flexible coupling. The couplings were originally secured to the hub nuts using cone-point set screws. When we examined the shafts in an attempt to run the engine, it was revealed that the set screws were ineffective. At some point, the torque in the system had been great enough to actually tear the set screws through the metal of the hub nuts, digging a deep groove in both shafts and allowing the couplings to spin freely.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To correct this problem, key ways were machined into both shafts. The generator side key way was cut without issue, and a suitable key was used to transmit the torque to the lovejoy. </w:t>
      </w:r>
      <w:r w:rsidDel="00000000" w:rsidR="00000000" w:rsidRPr="00000000">
        <w:rPr>
          <w:sz w:val="24"/>
          <w:szCs w:val="24"/>
          <w:rtl w:val="0"/>
        </w:rPr>
        <w:t xml:space="preserve">The engine side hub nut was found to be too hollow</w:t>
      </w:r>
      <w:r w:rsidDel="00000000" w:rsidR="00000000" w:rsidRPr="00000000">
        <w:rPr>
          <w:sz w:val="24"/>
          <w:szCs w:val="24"/>
          <w:rtl w:val="0"/>
        </w:rPr>
        <w:t xml:space="preserve"> . The key way actually cut through the shaft wall. Machining was stopped as soon as this problem was recognized. Instead, a flat spot was machined onto the shaft to provide better purchase for a set screw. After these modifications we again attempted to run the engine. The engine side coupling again broke loose from the shaft. The generator side key and coupling showed signs of stress that would be unacceptable in the final design, but in an effort to start the engine as quickly as possible was left unchanged for the time being.</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To fix the engine side, a hole was drilled through both the shaft and the coupling. The bottom half of the hole was then threaded, and a bolt was inserted to be used as a pin (Figure 1). Again the setup was tested. This time, both couplings held fast to the shafts. However, this time the engine side propeller hub nut was unthreaded from the crankshaft of the engine by the starting sequence. The starting sequence applies a torque in the opposite direction of normal engine operation and unscrewed the nut. This revealed the “shaft” used by the previous group is intended to center the propeller onto the drive hub, not transmit torque.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A new shaft was machined to replace the propeller hub nut. The new shaft was made of steel, with a diameter of 16mm instead of the previous 10mm. An examination of the engine schematic revealed that the drive hub is keyed into the crankshaft, so the drive hub was used as the connection point. Four bolts secure the new shaft to the drive hub. The lovejoy coupling was again secured using a key and set screw (Figure 2). The generator side was left unchanged. When the starting sequence ran this time, the lovejoy coupling failed (Figure 3). The torque exceeded the rated load for the lovejoy, and the coupling split in half. </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A larger lovejoy is obviously required. A lovejoy rated for 140 in-lbs of torque was purchased and should be fully capable of handling the expected 100 in-lbs of torque. The larger lovejoy does not fit on a 10mm shaft, so the generator side shaft needed to be replaced. For the sake of standardization, a new shaft was machined with a 16mm diameter. The new shaft bolts onto the generator, uses the old shaft as a center, and is attached to the lovejoy with a key and set screw. This new system is ready to be tested (Figure 4). An earlier attempt to test the reinforced coupling ended up in damaged batteries from wiring mistakes.</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 </w:t>
      </w:r>
      <w:r w:rsidDel="00000000" w:rsidR="00000000" w:rsidRPr="00000000">
        <w:drawing>
          <wp:inline distB="114300" distT="114300" distL="114300" distR="114300">
            <wp:extent cx="1486495" cy="1984908"/>
            <wp:effectExtent b="0" l="0" r="0" t="0"/>
            <wp:docPr descr="IMG_1103.JPG" id="1" name="image02.jpg"/>
            <a:graphic>
              <a:graphicData uri="http://schemas.openxmlformats.org/drawingml/2006/picture">
                <pic:pic>
                  <pic:nvPicPr>
                    <pic:cNvPr descr="IMG_1103.JPG" id="0" name="image02.jpg"/>
                    <pic:cNvPicPr preferRelativeResize="0"/>
                  </pic:nvPicPr>
                  <pic:blipFill>
                    <a:blip r:embed="rId7"/>
                    <a:srcRect b="0" l="0" r="0" t="0"/>
                    <a:stretch>
                      <a:fillRect/>
                    </a:stretch>
                  </pic:blipFill>
                  <pic:spPr>
                    <a:xfrm>
                      <a:off x="0" y="0"/>
                      <a:ext cx="1486495" cy="1984908"/>
                    </a:xfrm>
                    <a:prstGeom prst="rect"/>
                    <a:ln/>
                  </pic:spPr>
                </pic:pic>
              </a:graphicData>
            </a:graphic>
          </wp:inline>
        </w:drawing>
      </w:r>
      <w:r w:rsidDel="00000000" w:rsidR="00000000" w:rsidRPr="00000000">
        <w:drawing>
          <wp:inline distB="114300" distT="114300" distL="114300" distR="114300">
            <wp:extent cx="1995487" cy="1489019"/>
            <wp:effectExtent b="253234" l="-253233" r="-253233" t="253234"/>
            <wp:docPr descr="IMG_1104.JPG" id="6" name="image13.jpg"/>
            <a:graphic>
              <a:graphicData uri="http://schemas.openxmlformats.org/drawingml/2006/picture">
                <pic:pic>
                  <pic:nvPicPr>
                    <pic:cNvPr descr="IMG_1104.JPG" id="0" name="image13.jpg"/>
                    <pic:cNvPicPr preferRelativeResize="0"/>
                  </pic:nvPicPr>
                  <pic:blipFill>
                    <a:blip r:embed="rId8"/>
                    <a:srcRect b="0" l="0" r="0" t="0"/>
                    <a:stretch>
                      <a:fillRect/>
                    </a:stretch>
                  </pic:blipFill>
                  <pic:spPr>
                    <a:xfrm rot="16200000">
                      <a:off x="0" y="0"/>
                      <a:ext cx="1995487" cy="1489019"/>
                    </a:xfrm>
                    <a:prstGeom prst="rect"/>
                    <a:ln/>
                  </pic:spPr>
                </pic:pic>
              </a:graphicData>
            </a:graphic>
          </wp:inline>
        </w:drawing>
      </w:r>
      <w:r w:rsidDel="00000000" w:rsidR="00000000" w:rsidRPr="00000000">
        <w:drawing>
          <wp:inline distB="114300" distT="114300" distL="114300" distR="114300">
            <wp:extent cx="2746265" cy="1995488"/>
            <wp:effectExtent b="0" l="0" r="0" t="0"/>
            <wp:docPr descr="IMG_3042.JPG" id="4" name="image11.jpg"/>
            <a:graphic>
              <a:graphicData uri="http://schemas.openxmlformats.org/drawingml/2006/picture">
                <pic:pic>
                  <pic:nvPicPr>
                    <pic:cNvPr descr="IMG_3042.JPG" id="0" name="image11.jpg"/>
                    <pic:cNvPicPr preferRelativeResize="0"/>
                  </pic:nvPicPr>
                  <pic:blipFill>
                    <a:blip r:embed="rId9"/>
                    <a:srcRect b="24075" l="6730" r="17948" t="44905"/>
                    <a:stretch>
                      <a:fillRect/>
                    </a:stretch>
                  </pic:blipFill>
                  <pic:spPr>
                    <a:xfrm>
                      <a:off x="0" y="0"/>
                      <a:ext cx="2746265" cy="1995488"/>
                    </a:xfrm>
                    <a:prstGeom prst="rect"/>
                    <a:ln/>
                  </pic:spPr>
                </pic:pic>
              </a:graphicData>
            </a:graphic>
          </wp:inline>
        </w:drawing>
      </w:r>
      <w:r w:rsidDel="00000000" w:rsidR="00000000" w:rsidRPr="00000000">
        <w:rPr>
          <w:rtl w:val="0"/>
        </w:rPr>
      </w:r>
    </w:p>
    <w:tbl>
      <w:tblPr>
        <w:tblStyle w:val="Table1"/>
        <w:bidiVisual w:val="0"/>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90"/>
        <w:gridCol w:w="2400"/>
        <w:gridCol w:w="4470"/>
        <w:tblGridChange w:id="0">
          <w:tblGrid>
            <w:gridCol w:w="2490"/>
            <w:gridCol w:w="2400"/>
            <w:gridCol w:w="4470"/>
          </w:tblGrid>
        </w:tblGridChange>
      </w:tblGrid>
      <w:tr>
        <w:trPr>
          <w:trHeight w:val="11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1 - the pinned coupling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2 - new 16mm shaft design with key and drive hub bolt pattern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rPr>
            </w:pPr>
            <w:r w:rsidDel="00000000" w:rsidR="00000000" w:rsidRPr="00000000">
              <w:rPr>
                <w:sz w:val="18"/>
                <w:szCs w:val="18"/>
                <w:rtl w:val="0"/>
              </w:rPr>
              <w:t xml:space="preserve">Figure 3 - broken lovejoy coupling</w:t>
            </w:r>
          </w:p>
        </w:tc>
      </w:tr>
    </w:tbl>
    <w:p w:rsidR="00000000" w:rsidDel="00000000" w:rsidP="00000000" w:rsidRDefault="00000000" w:rsidRPr="00000000">
      <w:pPr>
        <w:pBdr/>
        <w:spacing w:line="360" w:lineRule="auto"/>
        <w:ind w:left="0" w:firstLine="0"/>
        <w:contextualSpacing w:val="0"/>
        <w:jc w:val="center"/>
        <w:rPr>
          <w:sz w:val="24"/>
          <w:szCs w:val="24"/>
        </w:rPr>
      </w:pPr>
      <w:r w:rsidDel="00000000" w:rsidR="00000000" w:rsidRPr="00000000">
        <w:drawing>
          <wp:inline distB="114300" distT="114300" distL="114300" distR="114300">
            <wp:extent cx="3258643" cy="2424113"/>
            <wp:effectExtent b="0" l="0" r="0" t="0"/>
            <wp:docPr descr="IMG_1105.JPG" id="7" name="image14.jpg"/>
            <a:graphic>
              <a:graphicData uri="http://schemas.openxmlformats.org/drawingml/2006/picture">
                <pic:pic>
                  <pic:nvPicPr>
                    <pic:cNvPr descr="IMG_1105.JPG" id="0" name="image14.jpg"/>
                    <pic:cNvPicPr preferRelativeResize="0"/>
                  </pic:nvPicPr>
                  <pic:blipFill>
                    <a:blip r:embed="rId10"/>
                    <a:srcRect b="0" l="0" r="0" t="0"/>
                    <a:stretch>
                      <a:fillRect/>
                    </a:stretch>
                  </pic:blipFill>
                  <pic:spPr>
                    <a:xfrm>
                      <a:off x="0" y="0"/>
                      <a:ext cx="3258643" cy="24241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sz w:val="18"/>
          <w:szCs w:val="18"/>
        </w:rPr>
      </w:pPr>
      <w:r w:rsidDel="00000000" w:rsidR="00000000" w:rsidRPr="00000000">
        <w:rPr>
          <w:sz w:val="18"/>
          <w:szCs w:val="18"/>
          <w:rtl w:val="0"/>
        </w:rPr>
        <w:t xml:space="preserve">Figure 4 - the beefed up system with new shafts on both the generator and engine side and a larger lovejoy coupling.</w:t>
      </w:r>
    </w:p>
    <w:p w:rsidR="00000000" w:rsidDel="00000000" w:rsidP="00000000" w:rsidRDefault="00000000" w:rsidRPr="00000000">
      <w:pPr>
        <w:pBd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b w:val="1"/>
          <w:sz w:val="24"/>
          <w:szCs w:val="24"/>
          <w:rtl w:val="0"/>
        </w:rPr>
        <w:t xml:space="preserve">Moving Forward</w:t>
      </w:r>
      <w:r w:rsidDel="00000000" w:rsidR="00000000" w:rsidRPr="00000000">
        <w:rPr>
          <w:rtl w:val="0"/>
        </w:rPr>
      </w:r>
    </w:p>
    <w:p w:rsidR="00000000" w:rsidDel="00000000" w:rsidP="00000000" w:rsidRDefault="00000000" w:rsidRPr="00000000">
      <w:pPr>
        <w:pBdr/>
        <w:spacing w:line="360" w:lineRule="auto"/>
        <w:contextualSpacing w:val="0"/>
        <w:rPr>
          <w:sz w:val="24"/>
          <w:szCs w:val="24"/>
          <w:u w:val="single"/>
        </w:rPr>
      </w:pPr>
      <w:r w:rsidDel="00000000" w:rsidR="00000000" w:rsidRPr="00000000">
        <w:rPr>
          <w:sz w:val="24"/>
          <w:szCs w:val="24"/>
          <w:u w:val="single"/>
          <w:rtl w:val="0"/>
        </w:rPr>
        <w:t xml:space="preserve">Frame Redesign:</w:t>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The test frame on which the motor-engine system is currently mounted lacks rigidity and is too heavy to mount on the drone. Said lack of rigidity lent itself to shaft misalignment and consequently, failed tests. The new design works to address these two variables (rigidity, mass) by creating an entirely self-contained frame that can be directly attached to the redesigned landing gear (see below). The new frame will be a rectangular prism with parallel 6061 aluminum square faces (8”x8”x0.190”) on which the motor and engine will be mounted, connected on ‘alternating’ planes by 6061 Aluminum 90° angles (1”x1”x1/4”) and cross-braced with 6061 Aluminum bar (1”x1” cs). The connections will be made with 4-hole L brackets. Once bolt holes are drilled into the square faces, excess aluminum will be cut away using a drill press to minimize mass per frame. While carbon fiber was considered in the redesign process, the machinability, rigidity, and ease-of-connection between parts made aluminum the final choice. Further, there was limited proof supporting the notion that the use of carbon fiber would meaningfully change the mass of the system. Finally, the notion of self-containment is most important for mounting the sets on the drone. With an entirely self-contained frame, the system can be treated like a point mass; the mounting points are geometrically balanced to minimize the effects of gyroscopic forces  from each system.</w:t>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4"/>
          <w:szCs w:val="24"/>
        </w:rPr>
      </w:pPr>
      <w:r w:rsidDel="00000000" w:rsidR="00000000" w:rsidRPr="00000000">
        <w:drawing>
          <wp:inline distB="114300" distT="114300" distL="114300" distR="114300">
            <wp:extent cx="5048250" cy="4152900"/>
            <wp:effectExtent b="0" l="0" r="0" t="0"/>
            <wp:docPr descr="DroneBod.png" id="8" name="image15.png"/>
            <a:graphic>
              <a:graphicData uri="http://schemas.openxmlformats.org/drawingml/2006/picture">
                <pic:pic>
                  <pic:nvPicPr>
                    <pic:cNvPr descr="DroneBod.png" id="0" name="image15.png"/>
                    <pic:cNvPicPr preferRelativeResize="0"/>
                  </pic:nvPicPr>
                  <pic:blipFill>
                    <a:blip r:embed="rId11"/>
                    <a:srcRect b="0" l="0" r="0" t="0"/>
                    <a:stretch>
                      <a:fillRect/>
                    </a:stretch>
                  </pic:blipFill>
                  <pic:spPr>
                    <a:xfrm>
                      <a:off x="0" y="0"/>
                      <a:ext cx="5048250" cy="415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Solidworks drawing of drone depicting mounting points of MG-sets</w:t>
      </w:r>
    </w:p>
    <w:p w:rsidR="00000000" w:rsidDel="00000000" w:rsidP="00000000" w:rsidRDefault="00000000" w:rsidRPr="00000000">
      <w:pPr>
        <w:pBdr/>
        <w:spacing w:line="360" w:lineRule="auto"/>
        <w:contextualSpacing w:val="0"/>
        <w:jc w:val="center"/>
        <w:rPr>
          <w:sz w:val="20"/>
          <w:szCs w:val="20"/>
        </w:rPr>
      </w:pPr>
      <w:r w:rsidDel="00000000" w:rsidR="00000000" w:rsidRPr="00000000">
        <w:rPr>
          <w:rtl w:val="0"/>
        </w:rPr>
      </w:r>
    </w:p>
    <w:p w:rsidR="00000000" w:rsidDel="00000000" w:rsidP="00000000" w:rsidRDefault="00000000" w:rsidRPr="00000000">
      <w:pPr>
        <w:pBdr/>
        <w:spacing w:line="360" w:lineRule="auto"/>
        <w:contextualSpacing w:val="0"/>
        <w:rPr>
          <w:sz w:val="24"/>
          <w:szCs w:val="24"/>
          <w:u w:val="single"/>
        </w:rPr>
      </w:pPr>
      <w:r w:rsidDel="00000000" w:rsidR="00000000" w:rsidRPr="00000000">
        <w:rPr>
          <w:sz w:val="24"/>
          <w:szCs w:val="24"/>
          <w:u w:val="single"/>
          <w:rtl w:val="0"/>
        </w:rPr>
        <w:t xml:space="preserve">Testing Power Output:</w:t>
      </w:r>
    </w:p>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Once mounted, the team can begin testing the power output of the motor-engine system. Using variably-sized heater elements (big resistors), and a constantly overflowing water tank, one can test the voltage drop across the system, ultimately deriving the current flowing to the battery to be charged. </w:t>
      </w:r>
      <w:r w:rsidDel="00000000" w:rsidR="00000000" w:rsidRPr="00000000">
        <w:rPr>
          <w:rtl w:val="0"/>
        </w:rPr>
      </w:r>
    </w:p>
    <w:p w:rsidR="00000000" w:rsidDel="00000000" w:rsidP="00000000" w:rsidRDefault="00000000" w:rsidRPr="00000000">
      <w:pPr>
        <w:pBdr/>
        <w:spacing w:line="360" w:lineRule="auto"/>
        <w:contextualSpacing w:val="0"/>
        <w:rPr>
          <w:sz w:val="24"/>
          <w:szCs w:val="24"/>
          <w:u w:val="single"/>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b w:val="1"/>
          <w:sz w:val="28"/>
          <w:szCs w:val="28"/>
          <w:rtl w:val="0"/>
        </w:rPr>
        <w:t xml:space="preserve">Appendix A: Schematic of the Gas-Electric Hybrid Power System Components</w:t>
      </w:r>
      <w:r w:rsidDel="00000000" w:rsidR="00000000" w:rsidRPr="00000000">
        <w:rPr>
          <w:b w:val="1"/>
          <w:sz w:val="28"/>
          <w:szCs w:val="28"/>
          <w:vertAlign w:val="superscript"/>
        </w:rPr>
        <w:footnoteReference w:customMarkFollows="0" w:id="2"/>
      </w:r>
      <w:r w:rsidDel="00000000" w:rsidR="00000000" w:rsidRPr="00000000">
        <w:rPr>
          <w:b w:val="1"/>
          <w:sz w:val="28"/>
          <w:szCs w:val="28"/>
          <w:rtl w:val="0"/>
        </w:rPr>
        <w:t xml:space="preserve"> and Component Connections</w:t>
      </w:r>
      <w:r w:rsidDel="00000000" w:rsidR="00000000" w:rsidRPr="00000000">
        <w:rPr>
          <w:b w:val="1"/>
          <w:sz w:val="28"/>
          <w:szCs w:val="28"/>
          <w:vertAlign w:val="superscript"/>
        </w:rPr>
        <w:footnoteReference w:customMarkFollows="0" w:id="3"/>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1452563</wp:posOffset>
            </wp:positionV>
            <wp:extent cx="5943600" cy="3797300"/>
            <wp:effectExtent b="0" l="0" r="0" t="0"/>
            <wp:wrapSquare wrapText="bothSides" distB="114300" distT="114300" distL="114300" distR="114300"/>
            <wp:docPr descr="Hybrid Power Schematic.png" id="3" name="image10.png"/>
            <a:graphic>
              <a:graphicData uri="http://schemas.openxmlformats.org/drawingml/2006/picture">
                <pic:pic>
                  <pic:nvPicPr>
                    <pic:cNvPr descr="Hybrid Power Schematic.png" id="0" name="image10.png"/>
                    <pic:cNvPicPr preferRelativeResize="0"/>
                  </pic:nvPicPr>
                  <pic:blipFill>
                    <a:blip r:embed="rId12"/>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pPr>
        <w:pBd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sz w:val="24"/>
          <w:szCs w:val="24"/>
        </w:rPr>
      </w:pPr>
      <w:r w:rsidDel="00000000" w:rsidR="00000000" w:rsidRPr="00000000">
        <w:rPr>
          <w:b w:val="1"/>
          <w:sz w:val="24"/>
          <w:szCs w:val="24"/>
          <w:rtl w:val="0"/>
        </w:rPr>
        <w:t xml:space="preserve">Figure xx. </w:t>
      </w:r>
      <w:r w:rsidDel="00000000" w:rsidR="00000000" w:rsidRPr="00000000">
        <w:rPr>
          <w:sz w:val="24"/>
          <w:szCs w:val="24"/>
          <w:rtl w:val="0"/>
        </w:rPr>
        <w:t xml:space="preserve">A schematic of the power system and its components. </w:t>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b w:val="1"/>
          <w:sz w:val="28"/>
          <w:szCs w:val="28"/>
          <w:rtl w:val="0"/>
        </w:rPr>
        <w:t xml:space="preserve">Appendix A (continued)</w:t>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862012</wp:posOffset>
            </wp:positionH>
            <wp:positionV relativeFrom="paragraph">
              <wp:posOffset>119062</wp:posOffset>
            </wp:positionV>
            <wp:extent cx="6567487" cy="3988678"/>
            <wp:effectExtent b="1289404" l="-1289404" r="-1289404" t="1289404"/>
            <wp:wrapSquare wrapText="bothSides" distB="114300" distT="114300" distL="114300" distR="114300"/>
            <wp:docPr descr="Screen Shot 2017-03-23 at 8.35.32 PM.png" id="2" name="image09.png"/>
            <a:graphic>
              <a:graphicData uri="http://schemas.openxmlformats.org/drawingml/2006/picture">
                <pic:pic>
                  <pic:nvPicPr>
                    <pic:cNvPr descr="Screen Shot 2017-03-23 at 8.35.32 PM.png" id="0" name="image09.png"/>
                    <pic:cNvPicPr preferRelativeResize="0"/>
                  </pic:nvPicPr>
                  <pic:blipFill>
                    <a:blip r:embed="rId13"/>
                    <a:srcRect b="0" l="0" r="0" t="0"/>
                    <a:stretch>
                      <a:fillRect/>
                    </a:stretch>
                  </pic:blipFill>
                  <pic:spPr>
                    <a:xfrm rot="16200000">
                      <a:off x="0" y="0"/>
                      <a:ext cx="6567487" cy="3988678"/>
                    </a:xfrm>
                    <a:prstGeom prst="rect"/>
                    <a:ln/>
                  </pic:spPr>
                </pic:pic>
              </a:graphicData>
            </a:graphic>
          </wp:anchor>
        </w:drawing>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8"/>
          <w:szCs w:val="28"/>
        </w:rPr>
      </w:pPr>
      <w:r w:rsidDel="00000000" w:rsidR="00000000" w:rsidRPr="00000000">
        <w:rPr>
          <w:b w:val="1"/>
          <w:sz w:val="24"/>
          <w:szCs w:val="24"/>
          <w:rtl w:val="0"/>
        </w:rPr>
        <w:t xml:space="preserve">Figure xx. </w:t>
      </w:r>
      <w:r w:rsidDel="00000000" w:rsidR="00000000" w:rsidRPr="00000000">
        <w:rPr>
          <w:sz w:val="24"/>
          <w:szCs w:val="24"/>
          <w:rtl w:val="0"/>
        </w:rPr>
        <w:t xml:space="preserve">The component connections of the system.</w:t>
      </w:r>
      <w:r w:rsidDel="00000000" w:rsidR="00000000" w:rsidRPr="00000000">
        <w:rPr>
          <w:rtl w:val="0"/>
        </w:rPr>
      </w:r>
    </w:p>
    <w:sectPr>
      <w:head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pBdr/>
        <w:spacing w:line="240" w:lineRule="auto"/>
        <w:contextualSpacing w:val="0"/>
        <w:rPr>
          <w:sz w:val="24"/>
          <w:szCs w:val="24"/>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Block Diagram of Power Flow.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p>
  </w:footnote>
  <w:footnote w:id="0">
    <w:p w:rsidR="00000000" w:rsidDel="00000000" w:rsidP="00000000" w:rsidRDefault="00000000" w:rsidRPr="00000000">
      <w:pPr>
        <w:pBd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Overview. Shell Ocean Discovery X-Prize. 2017. By X Prize</w:t>
      </w:r>
    </w:p>
  </w:footnote>
  <w:footnote w:id="2">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Schematic.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 w:id="3">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vertAlign w:val="superscript"/>
          <w:rtl w:val="0"/>
        </w:rPr>
        <w:t xml:space="preserve"> </w:t>
      </w:r>
      <w:r w:rsidDel="00000000" w:rsidR="00000000" w:rsidRPr="00000000">
        <w:rPr>
          <w:sz w:val="24"/>
          <w:szCs w:val="24"/>
          <w:vertAlign w:val="superscript"/>
          <w:rtl w:val="0"/>
        </w:rPr>
        <w:t xml:space="preserve">Main Connections. </w:t>
      </w:r>
      <w:r w:rsidDel="00000000" w:rsidR="00000000" w:rsidRPr="00000000">
        <w:rPr>
          <w:i w:val="1"/>
          <w:sz w:val="24"/>
          <w:szCs w:val="24"/>
          <w:vertAlign w:val="superscript"/>
          <w:rtl w:val="0"/>
        </w:rPr>
        <w:t xml:space="preserve">Hybrid Gas-Electric Power Generation for Heavy Lift Drone. </w:t>
      </w:r>
      <w:r w:rsidDel="00000000" w:rsidR="00000000" w:rsidRPr="00000000">
        <w:rPr>
          <w:sz w:val="24"/>
          <w:szCs w:val="24"/>
          <w:vertAlign w:val="superscript"/>
          <w:rtl w:val="0"/>
        </w:rPr>
        <w:t xml:space="preserve">2016. By Garrett Anderson, Jihane Bettahi, Edward Kim, Tamra Nebabu, Henry Quach, Raiyan Sobhan.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4.jpg"/><Relationship Id="rId13" Type="http://schemas.openxmlformats.org/officeDocument/2006/relationships/image" Target="media/image09.pn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1.jp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02.jpg"/><Relationship Id="rId8" Type="http://schemas.openxmlformats.org/officeDocument/2006/relationships/image" Target="media/image13.jpg"/></Relationships>
</file>