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1C9" w:rsidRDefault="00B7008F" w:rsidP="00527B1F">
      <w:pPr>
        <w:jc w:val="center"/>
        <w:rPr>
          <w:b/>
          <w:sz w:val="36"/>
        </w:rPr>
      </w:pPr>
      <w:r>
        <w:rPr>
          <w:rFonts w:hint="eastAsia"/>
          <w:b/>
          <w:sz w:val="36"/>
        </w:rPr>
        <w:t>小而美</w:t>
      </w:r>
      <w:r w:rsidR="00085A82" w:rsidRPr="004D71C9">
        <w:rPr>
          <w:rFonts w:hint="eastAsia"/>
          <w:b/>
          <w:sz w:val="36"/>
        </w:rPr>
        <w:t>优选基金</w:t>
      </w:r>
      <w:r w:rsidR="004D71C9">
        <w:rPr>
          <w:rFonts w:hint="eastAsia"/>
          <w:b/>
          <w:sz w:val="36"/>
        </w:rPr>
        <w:t>之</w:t>
      </w:r>
    </w:p>
    <w:p w:rsidR="00F04609" w:rsidRPr="004D71C9" w:rsidRDefault="00527B1F" w:rsidP="00527B1F">
      <w:pPr>
        <w:jc w:val="center"/>
        <w:rPr>
          <w:b/>
          <w:sz w:val="36"/>
        </w:rPr>
      </w:pPr>
      <w:r w:rsidRPr="004D71C9">
        <w:rPr>
          <w:b/>
          <w:sz w:val="36"/>
        </w:rPr>
        <w:t>银华鑫盛灵活配置混合(501022)</w:t>
      </w:r>
      <w:r w:rsidRPr="004D71C9">
        <w:rPr>
          <w:rFonts w:hint="eastAsia"/>
          <w:b/>
          <w:sz w:val="36"/>
        </w:rPr>
        <w:t>投资价值分析</w:t>
      </w:r>
    </w:p>
    <w:p w:rsidR="009C3CA3" w:rsidRDefault="009C3CA3" w:rsidP="009C3CA3">
      <w:pPr>
        <w:wordWrap w:val="0"/>
        <w:jc w:val="right"/>
      </w:pPr>
      <w:r>
        <w:rPr>
          <w:rFonts w:hint="eastAsia"/>
        </w:rPr>
        <w:t>2</w:t>
      </w:r>
      <w:r>
        <w:t>02</w:t>
      </w:r>
      <w:r w:rsidR="00FE6E4A">
        <w:t>2</w:t>
      </w:r>
      <w:r>
        <w:rPr>
          <w:rFonts w:hint="eastAsia"/>
        </w:rPr>
        <w:t>年</w:t>
      </w:r>
      <w:r w:rsidR="00FE6E4A">
        <w:t>03</w:t>
      </w:r>
      <w:r>
        <w:rPr>
          <w:rFonts w:hint="eastAsia"/>
        </w:rPr>
        <w:t>月</w:t>
      </w:r>
      <w:r w:rsidR="00FE6E4A">
        <w:t>28</w:t>
      </w:r>
      <w:r>
        <w:rPr>
          <w:rFonts w:hint="eastAsia"/>
        </w:rPr>
        <w:t>日</w:t>
      </w:r>
    </w:p>
    <w:p w:rsidR="00115ACD" w:rsidRDefault="00115ACD" w:rsidP="00E6105A">
      <w:pPr>
        <w:ind w:firstLineChars="200" w:firstLine="420"/>
      </w:pPr>
      <w:r>
        <w:rPr>
          <w:rFonts w:hint="eastAsia"/>
        </w:rPr>
        <w:t>本报告作为优选基金报告，</w:t>
      </w:r>
      <w:r w:rsidR="008A510F">
        <w:rPr>
          <w:rFonts w:hint="eastAsia"/>
        </w:rPr>
        <w:t>从</w:t>
      </w:r>
      <w:r>
        <w:rPr>
          <w:rFonts w:hint="eastAsia"/>
        </w:rPr>
        <w:t>基金优选、基金表现、</w:t>
      </w:r>
      <w:r w:rsidR="008A510F">
        <w:rPr>
          <w:rFonts w:hint="eastAsia"/>
        </w:rPr>
        <w:t>基金绩效归因、基金其他信息、策略配置价值五个方面阐述该基金的配置价值。具体地：</w:t>
      </w:r>
    </w:p>
    <w:p w:rsidR="00115ACD" w:rsidRDefault="00115ACD" w:rsidP="00E6105A">
      <w:pPr>
        <w:ind w:firstLineChars="200" w:firstLine="420"/>
      </w:pPr>
      <w:r>
        <w:rPr>
          <w:rFonts w:hint="eastAsia"/>
        </w:rPr>
        <w:t>第一部分阐述基金优选的逻辑，</w:t>
      </w:r>
      <w:r w:rsidR="008A510F">
        <w:rPr>
          <w:rFonts w:hint="eastAsia"/>
        </w:rPr>
        <w:t>从基金评级、基金优选两部分对银华鑫盛进行评价，</w:t>
      </w:r>
      <w:r>
        <w:rPr>
          <w:rFonts w:hint="eastAsia"/>
        </w:rPr>
        <w:t>即如何选出银华鑫盛(</w:t>
      </w:r>
      <w:r>
        <w:t>501022)</w:t>
      </w:r>
      <w:r>
        <w:rPr>
          <w:rFonts w:hint="eastAsia"/>
        </w:rPr>
        <w:t>这只基金</w:t>
      </w:r>
      <w:r w:rsidR="008A510F">
        <w:rPr>
          <w:rFonts w:hint="eastAsia"/>
        </w:rPr>
        <w:t>。</w:t>
      </w:r>
    </w:p>
    <w:p w:rsidR="00115ACD" w:rsidRDefault="00115ACD" w:rsidP="00E6105A">
      <w:pPr>
        <w:ind w:firstLineChars="200" w:firstLine="420"/>
      </w:pPr>
      <w:r>
        <w:rPr>
          <w:rFonts w:hint="eastAsia"/>
        </w:rPr>
        <w:t>第二部分阐述基金的收益风险表现，对应时间区间内市场、同类型、该基金的表现比较。</w:t>
      </w:r>
    </w:p>
    <w:p w:rsidR="00115ACD" w:rsidRDefault="00115ACD" w:rsidP="00E6105A">
      <w:pPr>
        <w:ind w:firstLineChars="200" w:firstLine="420"/>
      </w:pPr>
      <w:r>
        <w:rPr>
          <w:rFonts w:hint="eastAsia"/>
        </w:rPr>
        <w:t>第三部分阐述基金具体</w:t>
      </w:r>
      <w:r w:rsidR="00E6105A">
        <w:rPr>
          <w:rFonts w:hint="eastAsia"/>
        </w:rPr>
        <w:t>的</w:t>
      </w:r>
      <w:r>
        <w:rPr>
          <w:rFonts w:hint="eastAsia"/>
        </w:rPr>
        <w:t>选股择时能力（即基金的操作能力），将市场划分为若干结构性行情，并就该灵活配置型基金在每个结构化行情中的表现做具体分析，做基金的绩效归因。</w:t>
      </w:r>
    </w:p>
    <w:p w:rsidR="00115ACD" w:rsidRDefault="00115ACD" w:rsidP="00E6105A">
      <w:pPr>
        <w:ind w:firstLineChars="200" w:firstLine="420"/>
      </w:pPr>
      <w:r>
        <w:rPr>
          <w:rFonts w:hint="eastAsia"/>
        </w:rPr>
        <w:t>第四部分</w:t>
      </w:r>
      <w:r w:rsidR="008A510F">
        <w:rPr>
          <w:rFonts w:hint="eastAsia"/>
        </w:rPr>
        <w:t>阐述该基金所属基金经理、基金公司的评价与策略回顾，从更底层的</w:t>
      </w:r>
      <w:r w:rsidR="00B81562">
        <w:rPr>
          <w:rFonts w:hint="eastAsia"/>
        </w:rPr>
        <w:t>逻辑阐述基金策略与基金投资能力。</w:t>
      </w:r>
    </w:p>
    <w:p w:rsidR="008A510F" w:rsidRDefault="008A510F" w:rsidP="00E6105A">
      <w:pPr>
        <w:ind w:firstLineChars="200" w:firstLine="420"/>
      </w:pPr>
      <w:r>
        <w:rPr>
          <w:rFonts w:hint="eastAsia"/>
        </w:rPr>
        <w:t>第五部分</w:t>
      </w:r>
      <w:r w:rsidR="00B81562">
        <w:rPr>
          <w:rFonts w:hint="eastAsia"/>
        </w:rPr>
        <w:t>阐述从宏观、中观层面上，在短期、长期上基金策略配置价值。</w:t>
      </w:r>
    </w:p>
    <w:p w:rsidR="00115ACD" w:rsidRDefault="00115ACD"/>
    <w:p w:rsidR="00B81562" w:rsidRPr="00B81562" w:rsidRDefault="00B81562" w:rsidP="00E6105A">
      <w:pPr>
        <w:ind w:firstLineChars="200" w:firstLine="420"/>
      </w:pPr>
      <w:r>
        <w:rPr>
          <w:rFonts w:hint="eastAsia"/>
        </w:rPr>
        <w:t>该报告基于一定的底层数据和算法，包括基金净值与持仓数据，基金评级模型与评级数据，基金优选模型及优选数据，结构化行情数据，宏观与中观经济数据。该部分数据由</w:t>
      </w:r>
      <w:r w:rsidR="000C41DF">
        <w:rPr>
          <w:rFonts w:hint="eastAsia"/>
        </w:rPr>
        <w:t>私募排排网、恒生数据库、聚宽数据库等综合比较</w:t>
      </w:r>
      <w:r w:rsidR="00E6105A">
        <w:rPr>
          <w:rFonts w:hint="eastAsia"/>
        </w:rPr>
        <w:t>，并根据数据清洗结果，构建上述若干模型。</w:t>
      </w:r>
    </w:p>
    <w:p w:rsidR="00527B1F" w:rsidRPr="004D71C9" w:rsidRDefault="00E6105A">
      <w:pPr>
        <w:rPr>
          <w:b/>
          <w:sz w:val="28"/>
        </w:rPr>
      </w:pPr>
      <w:r w:rsidRPr="004D71C9">
        <w:rPr>
          <w:rFonts w:hint="eastAsia"/>
          <w:b/>
          <w:sz w:val="28"/>
        </w:rPr>
        <w:t>一、</w:t>
      </w:r>
      <w:r w:rsidR="00085A82" w:rsidRPr="004D71C9">
        <w:rPr>
          <w:rFonts w:hint="eastAsia"/>
          <w:b/>
          <w:sz w:val="28"/>
        </w:rPr>
        <w:t>基金优选</w:t>
      </w:r>
    </w:p>
    <w:p w:rsidR="00E6105A" w:rsidRPr="00C76DB5" w:rsidRDefault="00E6105A" w:rsidP="00E6105A">
      <w:pPr>
        <w:pStyle w:val="a4"/>
        <w:numPr>
          <w:ilvl w:val="0"/>
          <w:numId w:val="1"/>
        </w:numPr>
        <w:ind w:firstLineChars="0"/>
        <w:rPr>
          <w:b/>
          <w:sz w:val="24"/>
        </w:rPr>
      </w:pPr>
      <w:r w:rsidRPr="00C76DB5">
        <w:rPr>
          <w:rFonts w:hint="eastAsia"/>
          <w:b/>
          <w:sz w:val="24"/>
        </w:rPr>
        <w:t>构建绝对收益评级模型</w:t>
      </w:r>
    </w:p>
    <w:p w:rsidR="006C5E23" w:rsidRPr="006C5E23" w:rsidRDefault="006C5E23" w:rsidP="006C5E23">
      <w:pPr>
        <w:rPr>
          <w:b/>
        </w:rPr>
      </w:pPr>
      <w:r w:rsidRPr="006C5E23">
        <w:rPr>
          <w:rFonts w:hint="eastAsia"/>
          <w:b/>
        </w:rPr>
        <w:t>（1）多因子模型</w:t>
      </w:r>
    </w:p>
    <w:p w:rsidR="004D71C9" w:rsidRDefault="004D71C9" w:rsidP="00FE7E0C">
      <w:pPr>
        <w:ind w:firstLineChars="200" w:firstLine="420"/>
      </w:pPr>
      <w:r>
        <w:rPr>
          <w:rFonts w:hint="eastAsia"/>
        </w:rPr>
        <w:t>以有超过3年收益数据的基金构建基金池，对基金池中的基金进行评级。</w:t>
      </w:r>
    </w:p>
    <w:p w:rsidR="00FE7E0C" w:rsidRDefault="00FE7E0C" w:rsidP="00FE7E0C">
      <w:pPr>
        <w:ind w:firstLineChars="200" w:firstLine="420"/>
      </w:pPr>
      <w:r w:rsidRPr="00FE7E0C">
        <w:rPr>
          <w:rFonts w:hint="eastAsia"/>
          <w:b/>
        </w:rPr>
        <w:t>确定评级目标</w:t>
      </w:r>
      <w:r>
        <w:rPr>
          <w:rFonts w:hint="eastAsia"/>
        </w:rPr>
        <w:t>，</w:t>
      </w:r>
      <w:r w:rsidR="004D71C9">
        <w:rPr>
          <w:rFonts w:hint="eastAsia"/>
        </w:rPr>
        <w:t>以基金6个月、1</w:t>
      </w:r>
      <w:r w:rsidR="004D71C9">
        <w:t>2</w:t>
      </w:r>
      <w:r w:rsidR="004D71C9">
        <w:rPr>
          <w:rFonts w:hint="eastAsia"/>
        </w:rPr>
        <w:t>个月、2</w:t>
      </w:r>
      <w:r w:rsidR="004D71C9">
        <w:t>4</w:t>
      </w:r>
      <w:r w:rsidR="004D71C9">
        <w:rPr>
          <w:rFonts w:hint="eastAsia"/>
        </w:rPr>
        <w:t>个月、3</w:t>
      </w:r>
      <w:r w:rsidR="004D71C9">
        <w:t>6</w:t>
      </w:r>
      <w:r w:rsidR="004D71C9">
        <w:rPr>
          <w:rFonts w:hint="eastAsia"/>
        </w:rPr>
        <w:t>个月、6</w:t>
      </w:r>
      <w:r w:rsidR="004D71C9">
        <w:t>0</w:t>
      </w:r>
      <w:r w:rsidR="004D71C9">
        <w:rPr>
          <w:rFonts w:hint="eastAsia"/>
        </w:rPr>
        <w:t>个月收益、最大回撤、波动、下行波动、夏普比率、晨星MRAR、信息比率等为基础，进行</w:t>
      </w:r>
      <w:r w:rsidR="004D71C9" w:rsidRPr="00FE7E0C">
        <w:rPr>
          <w:rFonts w:hint="eastAsia"/>
          <w:b/>
        </w:rPr>
        <w:t>指标的有效性检验</w:t>
      </w:r>
      <w:r w:rsidR="004D71C9">
        <w:rPr>
          <w:rFonts w:hint="eastAsia"/>
        </w:rPr>
        <w:t>，验证该指标是否能够显著预测基金未来收益</w:t>
      </w:r>
      <w:r w:rsidR="00855808">
        <w:rPr>
          <w:rFonts w:hint="eastAsia"/>
        </w:rPr>
        <w:t>。</w:t>
      </w:r>
      <w:r>
        <w:rPr>
          <w:rFonts w:hint="eastAsia"/>
        </w:rPr>
        <w:t>挑选出显著能够预测基金未来收益的指标，给予夏普比率、晨星MRAR、最大回撤、下行波动等</w:t>
      </w:r>
      <w:r w:rsidRPr="00FE7E0C">
        <w:rPr>
          <w:rFonts w:hint="eastAsia"/>
          <w:b/>
        </w:rPr>
        <w:t>风险指标和风险调整后收益指标更大的权重</w:t>
      </w:r>
      <w:r>
        <w:rPr>
          <w:rFonts w:hint="eastAsia"/>
        </w:rPr>
        <w:t>，构建多因子评级模型。</w:t>
      </w:r>
    </w:p>
    <w:p w:rsidR="006C5E23" w:rsidRPr="006C5E23" w:rsidRDefault="006C5E23" w:rsidP="006C5E23">
      <w:pPr>
        <w:rPr>
          <w:b/>
        </w:rPr>
      </w:pPr>
      <w:r w:rsidRPr="006C5E23">
        <w:rPr>
          <w:rFonts w:hint="eastAsia"/>
          <w:b/>
        </w:rPr>
        <w:t>（2）人工检验</w:t>
      </w:r>
      <w:r>
        <w:rPr>
          <w:rFonts w:hint="eastAsia"/>
          <w:b/>
        </w:rPr>
        <w:t>并确认</w:t>
      </w:r>
    </w:p>
    <w:p w:rsidR="00FE7E0C" w:rsidRPr="00FE7E0C" w:rsidRDefault="00FE7E0C" w:rsidP="00FE7E0C">
      <w:pPr>
        <w:ind w:firstLineChars="200" w:firstLine="420"/>
      </w:pPr>
      <w:r>
        <w:rPr>
          <w:rFonts w:hint="eastAsia"/>
        </w:rPr>
        <w:t>就评级结果有效性和稳定性进行大量检验，并进行适当的人工修正，得到整个基金评级模型体系。市场上</w:t>
      </w:r>
      <w:r w:rsidR="00394DCD">
        <w:rPr>
          <w:rFonts w:hint="eastAsia"/>
        </w:rPr>
        <w:t>进取</w:t>
      </w:r>
      <w:r>
        <w:rPr>
          <w:rFonts w:hint="eastAsia"/>
        </w:rPr>
        <w:t>债型基金、股票型基金、偏股型基金</w:t>
      </w:r>
      <w:r w:rsidR="00394DCD">
        <w:rPr>
          <w:rFonts w:hint="eastAsia"/>
        </w:rPr>
        <w:t>、商品型基金</w:t>
      </w:r>
      <w:r>
        <w:rPr>
          <w:rFonts w:hint="eastAsia"/>
        </w:rPr>
        <w:t>共约</w:t>
      </w:r>
      <w:r w:rsidR="00394DCD">
        <w:t>4000</w:t>
      </w:r>
      <w:r>
        <w:rPr>
          <w:rFonts w:hint="eastAsia"/>
        </w:rPr>
        <w:t>只，在该评级体系下，五星基金约1</w:t>
      </w:r>
      <w:r>
        <w:t>0%</w:t>
      </w:r>
      <w:r>
        <w:rPr>
          <w:rFonts w:hint="eastAsia"/>
        </w:rPr>
        <w:t>，四星基金约</w:t>
      </w:r>
      <w:r w:rsidR="00394DCD">
        <w:rPr>
          <w:rFonts w:hint="eastAsia"/>
        </w:rPr>
        <w:t>2</w:t>
      </w:r>
      <w:r w:rsidR="00394DCD">
        <w:t>2.5%</w:t>
      </w:r>
      <w:r w:rsidR="00394DCD">
        <w:rPr>
          <w:rFonts w:hint="eastAsia"/>
        </w:rPr>
        <w:t>，三星基金约3</w:t>
      </w:r>
      <w:r w:rsidR="00394DCD">
        <w:t>5%</w:t>
      </w:r>
      <w:r w:rsidR="00394DCD">
        <w:rPr>
          <w:rFonts w:hint="eastAsia"/>
        </w:rPr>
        <w:t>，二星基金约2</w:t>
      </w:r>
      <w:r w:rsidR="00394DCD">
        <w:t>2.5%</w:t>
      </w:r>
      <w:r w:rsidR="00394DCD">
        <w:rPr>
          <w:rFonts w:hint="eastAsia"/>
        </w:rPr>
        <w:t>，一星基金约1</w:t>
      </w:r>
      <w:r w:rsidR="00394DCD">
        <w:t>0%</w:t>
      </w:r>
      <w:r w:rsidR="00394DCD">
        <w:rPr>
          <w:rFonts w:hint="eastAsia"/>
        </w:rPr>
        <w:t>。对应地，五星和四星基金约有5</w:t>
      </w:r>
      <w:r w:rsidR="00394DCD">
        <w:t>00-1000</w:t>
      </w:r>
      <w:r w:rsidR="00394DCD">
        <w:rPr>
          <w:rFonts w:hint="eastAsia"/>
        </w:rPr>
        <w:t>只左右</w:t>
      </w:r>
      <w:r w:rsidR="006C5E23">
        <w:rPr>
          <w:rFonts w:hint="eastAsia"/>
        </w:rPr>
        <w:t>。</w:t>
      </w:r>
    </w:p>
    <w:p w:rsidR="00E6105A" w:rsidRPr="00C76DB5" w:rsidRDefault="00E6105A" w:rsidP="00E6105A">
      <w:pPr>
        <w:pStyle w:val="a4"/>
        <w:numPr>
          <w:ilvl w:val="0"/>
          <w:numId w:val="1"/>
        </w:numPr>
        <w:ind w:firstLineChars="0"/>
        <w:rPr>
          <w:b/>
          <w:sz w:val="24"/>
        </w:rPr>
      </w:pPr>
      <w:r w:rsidRPr="00C76DB5">
        <w:rPr>
          <w:rFonts w:hint="eastAsia"/>
          <w:b/>
          <w:sz w:val="24"/>
        </w:rPr>
        <w:t>构建基金优选模型</w:t>
      </w:r>
    </w:p>
    <w:p w:rsidR="00772F73" w:rsidRDefault="00772F73" w:rsidP="00DD46B7">
      <w:pPr>
        <w:ind w:firstLineChars="200" w:firstLine="420"/>
      </w:pPr>
      <w:r>
        <w:rPr>
          <w:rFonts w:hint="eastAsia"/>
        </w:rPr>
        <w:t>该方法可以</w:t>
      </w:r>
      <w:r w:rsidRPr="00772F73">
        <w:rPr>
          <w:rFonts w:hint="eastAsia"/>
          <w:b/>
        </w:rPr>
        <w:t>迅速筛选出优选基金池</w:t>
      </w:r>
      <w:r>
        <w:rPr>
          <w:rFonts w:hint="eastAsia"/>
        </w:rPr>
        <w:t>（</w:t>
      </w:r>
      <w:r>
        <w:t>100</w:t>
      </w:r>
      <w:r>
        <w:rPr>
          <w:rFonts w:hint="eastAsia"/>
        </w:rPr>
        <w:t>只以内，并能够进行大概的排序），精度很好。</w:t>
      </w:r>
    </w:p>
    <w:p w:rsidR="00DD46B7" w:rsidRDefault="00DD46B7" w:rsidP="00DD46B7">
      <w:pPr>
        <w:ind w:firstLineChars="200" w:firstLine="420"/>
      </w:pPr>
      <w:r>
        <w:rPr>
          <w:rFonts w:hint="eastAsia"/>
        </w:rPr>
        <w:t>该方法的具体步骤是：</w:t>
      </w:r>
      <w:r w:rsidRPr="00DD46B7">
        <w:rPr>
          <w:rFonts w:hint="eastAsia"/>
          <w:b/>
        </w:rPr>
        <w:t>策略分类-</w:t>
      </w:r>
      <w:r w:rsidRPr="00DD46B7">
        <w:rPr>
          <w:b/>
        </w:rPr>
        <w:t>&gt;</w:t>
      </w:r>
      <w:r w:rsidRPr="00DD46B7">
        <w:rPr>
          <w:rFonts w:hint="eastAsia"/>
          <w:b/>
        </w:rPr>
        <w:t>构建策略指数-</w:t>
      </w:r>
      <w:r w:rsidRPr="00DD46B7">
        <w:rPr>
          <w:b/>
        </w:rPr>
        <w:t>&gt;</w:t>
      </w:r>
      <w:r w:rsidRPr="00DD46B7">
        <w:rPr>
          <w:rFonts w:hint="eastAsia"/>
          <w:b/>
        </w:rPr>
        <w:t>精选超额收益符合特征的基金</w:t>
      </w:r>
      <w:r>
        <w:rPr>
          <w:rFonts w:hint="eastAsia"/>
        </w:rPr>
        <w:t>。</w:t>
      </w:r>
    </w:p>
    <w:p w:rsidR="006C5E23" w:rsidRPr="006C5E23" w:rsidRDefault="006C5E23" w:rsidP="006C5E23">
      <w:pPr>
        <w:rPr>
          <w:b/>
        </w:rPr>
      </w:pPr>
      <w:r w:rsidRPr="006C5E23">
        <w:rPr>
          <w:rFonts w:hint="eastAsia"/>
          <w:b/>
        </w:rPr>
        <w:t>（1）策略分类</w:t>
      </w:r>
    </w:p>
    <w:p w:rsidR="002A2BD4" w:rsidRDefault="002A2BD4" w:rsidP="00DD46B7">
      <w:pPr>
        <w:ind w:firstLineChars="200" w:firstLine="420"/>
      </w:pPr>
      <w:r>
        <w:rPr>
          <w:rFonts w:hint="eastAsia"/>
        </w:rPr>
        <w:t>市场上很多基金都出现了风格漂移，同时，例如搜索灵活配置，备选池中一半的基金都是灵活配置型基金，这就出现了需要花大量精力才能辨别基金具体策略的现象，一只基金尚可判断，全市场的基金都来判断，则会耗费</w:t>
      </w:r>
      <w:r w:rsidR="00DD46B7">
        <w:rPr>
          <w:rFonts w:hint="eastAsia"/>
        </w:rPr>
        <w:t>较多</w:t>
      </w:r>
      <w:r>
        <w:rPr>
          <w:rFonts w:hint="eastAsia"/>
        </w:rPr>
        <w:t>的精力，所以</w:t>
      </w:r>
      <w:r w:rsidR="00DD46B7">
        <w:rPr>
          <w:rFonts w:hint="eastAsia"/>
        </w:rPr>
        <w:t>初步的策略分类是必要的。</w:t>
      </w:r>
    </w:p>
    <w:p w:rsidR="00E6105A" w:rsidRDefault="00394DCD" w:rsidP="00DD46B7">
      <w:pPr>
        <w:ind w:firstLineChars="200" w:firstLine="420"/>
      </w:pPr>
      <w:r>
        <w:rPr>
          <w:rFonts w:hint="eastAsia"/>
        </w:rPr>
        <w:t>为了更大范围地搜寻好基金</w:t>
      </w:r>
      <w:r w:rsidR="00165AAC">
        <w:rPr>
          <w:rFonts w:hint="eastAsia"/>
        </w:rPr>
        <w:t>，我们将曾经出现过4星及以上评级的基金都作为优选备</w:t>
      </w:r>
      <w:r w:rsidR="00165AAC">
        <w:rPr>
          <w:rFonts w:hint="eastAsia"/>
        </w:rPr>
        <w:lastRenderedPageBreak/>
        <w:t>选池中的基金，这样的基金</w:t>
      </w:r>
      <w:r w:rsidR="00772F73">
        <w:rPr>
          <w:rFonts w:hint="eastAsia"/>
        </w:rPr>
        <w:t>约有1</w:t>
      </w:r>
      <w:r w:rsidR="00772F73">
        <w:t>000-1200</w:t>
      </w:r>
      <w:r w:rsidR="00772F73">
        <w:rPr>
          <w:rFonts w:hint="eastAsia"/>
        </w:rPr>
        <w:t>只左右。</w:t>
      </w:r>
    </w:p>
    <w:p w:rsidR="00772F73" w:rsidRDefault="00772F73" w:rsidP="00DD46B7">
      <w:pPr>
        <w:ind w:firstLineChars="200" w:firstLine="420"/>
      </w:pPr>
      <w:r>
        <w:rPr>
          <w:rFonts w:hint="eastAsia"/>
        </w:rPr>
        <w:t>首先就优选备选池中的基金进行策略分类，以基金收益率序列、基金管理人、基金经理、基金类型为基金特征，运用统计方法进行分类，形成策略的滚动分类数据</w:t>
      </w:r>
      <w:r w:rsidR="00B151B9">
        <w:rPr>
          <w:rFonts w:hint="eastAsia"/>
        </w:rPr>
        <w:t>，并通过仔细分析，确定具体基金具体策略。基于该</w:t>
      </w:r>
      <w:r w:rsidR="00B151B9" w:rsidRPr="002A2BD4">
        <w:rPr>
          <w:rFonts w:hint="eastAsia"/>
          <w:b/>
        </w:rPr>
        <w:t>策略分类</w:t>
      </w:r>
      <w:r w:rsidR="00B151B9">
        <w:rPr>
          <w:rFonts w:hint="eastAsia"/>
        </w:rPr>
        <w:t>的基础上，</w:t>
      </w:r>
      <w:r w:rsidR="00B151B9" w:rsidRPr="002A2BD4">
        <w:rPr>
          <w:rFonts w:hint="eastAsia"/>
          <w:b/>
        </w:rPr>
        <w:t>构建策略指数</w:t>
      </w:r>
      <w:r w:rsidR="00B151B9">
        <w:rPr>
          <w:rFonts w:hint="eastAsia"/>
        </w:rPr>
        <w:t>。</w:t>
      </w:r>
    </w:p>
    <w:p w:rsidR="00772F73" w:rsidRDefault="00772F73" w:rsidP="00DD46B7">
      <w:r>
        <w:rPr>
          <w:rFonts w:hint="eastAsia"/>
        </w:rPr>
        <w:t>注：基金类型分为</w:t>
      </w:r>
      <w:r w:rsidRPr="00772F73">
        <w:t>股票型，偏股混合型（行业主题型，大类资产配置型，行业配置型，大类资产+行业配置型，混合均衡，选股重仓型），偏债混合</w:t>
      </w:r>
      <w:r w:rsidR="00B151B9">
        <w:rPr>
          <w:rFonts w:hint="eastAsia"/>
        </w:rPr>
        <w:t>。</w:t>
      </w:r>
    </w:p>
    <w:p w:rsidR="006C5E23" w:rsidRPr="006C5E23" w:rsidRDefault="006C5E23" w:rsidP="006C5E23">
      <w:pPr>
        <w:rPr>
          <w:b/>
        </w:rPr>
      </w:pPr>
      <w:r w:rsidRPr="006C5E23">
        <w:rPr>
          <w:rFonts w:hint="eastAsia"/>
          <w:b/>
        </w:rPr>
        <w:t>（2）超额收益及优选基金</w:t>
      </w:r>
      <w:r w:rsidR="00F95E39">
        <w:rPr>
          <w:rFonts w:hint="eastAsia"/>
          <w:b/>
        </w:rPr>
        <w:t>判断</w:t>
      </w:r>
    </w:p>
    <w:p w:rsidR="00B151B9" w:rsidRDefault="00B151B9" w:rsidP="00DD46B7">
      <w:pPr>
        <w:ind w:firstLineChars="200" w:firstLine="420"/>
      </w:pPr>
      <w:r>
        <w:rPr>
          <w:rFonts w:hint="eastAsia"/>
        </w:rPr>
        <w:t>在</w:t>
      </w:r>
      <w:r w:rsidR="002A2BD4">
        <w:rPr>
          <w:rFonts w:hint="eastAsia"/>
        </w:rPr>
        <w:t>已有</w:t>
      </w:r>
      <w:r>
        <w:rPr>
          <w:rFonts w:hint="eastAsia"/>
        </w:rPr>
        <w:t>策略指数的基础上，</w:t>
      </w:r>
      <w:r w:rsidR="002A2BD4" w:rsidRPr="00DD46B7">
        <w:rPr>
          <w:rFonts w:hint="eastAsia"/>
          <w:b/>
        </w:rPr>
        <w:t>构建基金超额收益</w:t>
      </w:r>
      <w:r w:rsidR="002A2BD4">
        <w:rPr>
          <w:rFonts w:hint="eastAsia"/>
        </w:rPr>
        <w:t>，</w:t>
      </w:r>
      <w:r w:rsidR="00DD46B7">
        <w:rPr>
          <w:rFonts w:hint="eastAsia"/>
        </w:rPr>
        <w:t>那么基金经理的选股能力和择时能力的判断将依据该超额收益来判断</w:t>
      </w:r>
      <w:r w:rsidR="00C76DB5">
        <w:rPr>
          <w:rFonts w:hint="eastAsia"/>
        </w:rPr>
        <w:t>。</w:t>
      </w:r>
    </w:p>
    <w:p w:rsidR="00C76DB5" w:rsidRDefault="00C76DB5" w:rsidP="00C76DB5">
      <w:r w:rsidRPr="00C76DB5">
        <w:rPr>
          <w:rFonts w:hint="eastAsia"/>
          <w:b/>
        </w:rPr>
        <w:t>选股能力强</w:t>
      </w:r>
      <w:r>
        <w:rPr>
          <w:rFonts w:hint="eastAsia"/>
        </w:rPr>
        <w:t>：基金收益相对基准收益的超额收益长期稳定为正，或累计收益率曲线长期稳定向上，这是判断基金是否具有选股能力的</w:t>
      </w:r>
      <w:r w:rsidRPr="00931255">
        <w:rPr>
          <w:rFonts w:hint="eastAsia"/>
          <w:b/>
        </w:rPr>
        <w:t>唯一标准</w:t>
      </w:r>
      <w:r>
        <w:rPr>
          <w:rFonts w:hint="eastAsia"/>
        </w:rPr>
        <w:t>。</w:t>
      </w:r>
    </w:p>
    <w:p w:rsidR="00C76DB5" w:rsidRDefault="00C76DB5" w:rsidP="00C76DB5">
      <w:r w:rsidRPr="00C76DB5">
        <w:rPr>
          <w:rFonts w:hint="eastAsia"/>
          <w:b/>
        </w:rPr>
        <w:t>择时能力强</w:t>
      </w:r>
      <w:r>
        <w:rPr>
          <w:rFonts w:hint="eastAsia"/>
        </w:rPr>
        <w:t>：</w:t>
      </w:r>
    </w:p>
    <w:p w:rsidR="00C76DB5" w:rsidRDefault="00C76DB5" w:rsidP="00C76DB5">
      <w:r>
        <w:rPr>
          <w:rFonts w:hint="eastAsia"/>
        </w:rPr>
        <w:t>条件1：在结构化行情中，超额收益在短期是否有显著抬升；</w:t>
      </w:r>
    </w:p>
    <w:p w:rsidR="00C76DB5" w:rsidRDefault="00C76DB5" w:rsidP="00C76DB5">
      <w:r>
        <w:rPr>
          <w:rFonts w:hint="eastAsia"/>
        </w:rPr>
        <w:t>条件2：在结构化行情中，基金是否出现策略换组，换到收益率更高的分类中。</w:t>
      </w:r>
    </w:p>
    <w:p w:rsidR="00C76DB5" w:rsidRPr="00C76DB5" w:rsidRDefault="00C76DB5" w:rsidP="00C76DB5">
      <w:pPr>
        <w:pStyle w:val="a4"/>
        <w:numPr>
          <w:ilvl w:val="0"/>
          <w:numId w:val="1"/>
        </w:numPr>
        <w:ind w:firstLineChars="0"/>
        <w:rPr>
          <w:b/>
          <w:sz w:val="24"/>
        </w:rPr>
      </w:pPr>
      <w:r w:rsidRPr="00C76DB5">
        <w:rPr>
          <w:rFonts w:hint="eastAsia"/>
          <w:b/>
          <w:sz w:val="24"/>
        </w:rPr>
        <w:t>构建优选池</w:t>
      </w:r>
    </w:p>
    <w:p w:rsidR="00C76DB5" w:rsidRDefault="00C76DB5" w:rsidP="00B7008F">
      <w:pPr>
        <w:ind w:firstLineChars="200" w:firstLine="420"/>
      </w:pPr>
      <w:r>
        <w:rPr>
          <w:rFonts w:hint="eastAsia"/>
        </w:rPr>
        <w:t>通过上述方法构建出的优选池能够快速筛选出长期优秀的基金。</w:t>
      </w:r>
      <w:r w:rsidR="00B7008F">
        <w:rPr>
          <w:rFonts w:hint="eastAsia"/>
        </w:rPr>
        <w:t>根据不同的筛选目标，我们可以得到不同类型的优选基金。</w:t>
      </w:r>
      <w:r>
        <w:rPr>
          <w:rFonts w:hint="eastAsia"/>
        </w:rPr>
        <w:t>具体地，目前构建的</w:t>
      </w:r>
      <w:r w:rsidR="002B24BD" w:rsidRPr="00B7008F">
        <w:rPr>
          <w:rFonts w:hint="eastAsia"/>
          <w:b/>
        </w:rPr>
        <w:t>配置类</w:t>
      </w:r>
      <w:r w:rsidRPr="00B7008F">
        <w:rPr>
          <w:rFonts w:hint="eastAsia"/>
          <w:b/>
        </w:rPr>
        <w:t>基金优选池</w:t>
      </w:r>
      <w:r>
        <w:rPr>
          <w:rFonts w:hint="eastAsia"/>
        </w:rPr>
        <w:t>如下</w:t>
      </w:r>
      <w:r w:rsidR="002B24BD">
        <w:rPr>
          <w:rFonts w:hint="eastAsia"/>
        </w:rPr>
        <w:t>（除基金优选池以外，还有基金次优池，基金备选池的三级优选体系，</w:t>
      </w:r>
      <w:r w:rsidR="002B24BD" w:rsidRPr="00B7008F">
        <w:rPr>
          <w:rFonts w:hint="eastAsia"/>
          <w:b/>
        </w:rPr>
        <w:t>日常跟踪三级优选体系即可</w:t>
      </w:r>
      <w:r w:rsidR="002B24BD">
        <w:rPr>
          <w:rFonts w:hint="eastAsia"/>
        </w:rPr>
        <w:t>）</w:t>
      </w:r>
      <w:r>
        <w:rPr>
          <w:rFonts w:hint="eastAsia"/>
        </w:rPr>
        <w:t>：</w:t>
      </w:r>
    </w:p>
    <w:tbl>
      <w:tblPr>
        <w:tblStyle w:val="a3"/>
        <w:tblW w:w="0" w:type="auto"/>
        <w:tblLook w:val="04A0" w:firstRow="1" w:lastRow="0" w:firstColumn="1" w:lastColumn="0" w:noHBand="0" w:noVBand="1"/>
      </w:tblPr>
      <w:tblGrid>
        <w:gridCol w:w="1129"/>
        <w:gridCol w:w="1560"/>
        <w:gridCol w:w="1559"/>
        <w:gridCol w:w="3827"/>
      </w:tblGrid>
      <w:tr w:rsidR="00C76DB5" w:rsidTr="00C76DB5">
        <w:tc>
          <w:tcPr>
            <w:tcW w:w="1129" w:type="dxa"/>
          </w:tcPr>
          <w:p w:rsidR="00C76DB5" w:rsidRDefault="00C76DB5" w:rsidP="00C76DB5">
            <w:r>
              <w:rPr>
                <w:rFonts w:hint="eastAsia"/>
              </w:rPr>
              <w:t>基金池</w:t>
            </w:r>
          </w:p>
        </w:tc>
        <w:tc>
          <w:tcPr>
            <w:tcW w:w="1560" w:type="dxa"/>
          </w:tcPr>
          <w:p w:rsidR="00C76DB5" w:rsidRDefault="00C76DB5" w:rsidP="00C76DB5">
            <w:r>
              <w:rPr>
                <w:rFonts w:hint="eastAsia"/>
              </w:rPr>
              <w:t>基金代码</w:t>
            </w:r>
          </w:p>
        </w:tc>
        <w:tc>
          <w:tcPr>
            <w:tcW w:w="1559" w:type="dxa"/>
          </w:tcPr>
          <w:p w:rsidR="00C76DB5" w:rsidRDefault="00C76DB5" w:rsidP="00C76DB5">
            <w:r>
              <w:rPr>
                <w:rFonts w:hint="eastAsia"/>
              </w:rPr>
              <w:t>基金类型</w:t>
            </w:r>
          </w:p>
        </w:tc>
        <w:tc>
          <w:tcPr>
            <w:tcW w:w="3827" w:type="dxa"/>
          </w:tcPr>
          <w:p w:rsidR="00C76DB5" w:rsidRDefault="00C76DB5" w:rsidP="00C76DB5">
            <w:r>
              <w:rPr>
                <w:rFonts w:hint="eastAsia"/>
              </w:rPr>
              <w:t>基金名称</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1D1B49">
              <w:t>519002</w:t>
            </w:r>
          </w:p>
        </w:tc>
        <w:tc>
          <w:tcPr>
            <w:tcW w:w="1559" w:type="dxa"/>
          </w:tcPr>
          <w:p w:rsidR="00B232A6" w:rsidRDefault="008C5521" w:rsidP="00B232A6">
            <w:r>
              <w:rPr>
                <w:rFonts w:hint="eastAsia"/>
              </w:rPr>
              <w:t>灵活配置型</w:t>
            </w:r>
          </w:p>
        </w:tc>
        <w:tc>
          <w:tcPr>
            <w:tcW w:w="3827" w:type="dxa"/>
            <w:vAlign w:val="center"/>
          </w:tcPr>
          <w:p w:rsidR="00B232A6" w:rsidRDefault="00B232A6" w:rsidP="00B232A6">
            <w:pPr>
              <w:widowControl/>
              <w:jc w:val="left"/>
              <w:rPr>
                <w:rFonts w:ascii="DengXian" w:eastAsia="DengXian" w:hAnsi="DengXian"/>
                <w:color w:val="000000"/>
              </w:rPr>
            </w:pPr>
            <w:r>
              <w:rPr>
                <w:rFonts w:ascii="DengXian" w:eastAsia="DengXian" w:hAnsi="DengXian" w:hint="eastAsia"/>
                <w:color w:val="000000"/>
              </w:rPr>
              <w:t>华安安信消费服务混合A</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6C0011">
              <w:rPr>
                <w:highlight w:val="yellow"/>
              </w:rPr>
              <w:t>004685</w:t>
            </w:r>
          </w:p>
        </w:tc>
        <w:tc>
          <w:tcPr>
            <w:tcW w:w="1559" w:type="dxa"/>
          </w:tcPr>
          <w:p w:rsidR="00B232A6" w:rsidRDefault="008C5521" w:rsidP="00B232A6">
            <w:r>
              <w:rPr>
                <w:rFonts w:hint="eastAsia"/>
              </w:rPr>
              <w:t>标准混合型</w:t>
            </w:r>
          </w:p>
        </w:tc>
        <w:tc>
          <w:tcPr>
            <w:tcW w:w="3827" w:type="dxa"/>
            <w:vAlign w:val="center"/>
          </w:tcPr>
          <w:p w:rsidR="00B232A6" w:rsidRDefault="00B232A6" w:rsidP="00B232A6">
            <w:pPr>
              <w:rPr>
                <w:rFonts w:ascii="DengXian" w:eastAsia="DengXian" w:hAnsi="DengXian"/>
                <w:color w:val="000000"/>
              </w:rPr>
            </w:pPr>
            <w:r>
              <w:rPr>
                <w:rFonts w:ascii="DengXian" w:eastAsia="DengXian" w:hAnsi="DengXian" w:hint="eastAsia"/>
                <w:color w:val="000000"/>
              </w:rPr>
              <w:t>金元顺安元启灵活配置混合</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6C0011">
              <w:rPr>
                <w:highlight w:val="yellow"/>
              </w:rPr>
              <w:t>121010</w:t>
            </w:r>
          </w:p>
        </w:tc>
        <w:tc>
          <w:tcPr>
            <w:tcW w:w="1559" w:type="dxa"/>
          </w:tcPr>
          <w:p w:rsidR="00B232A6" w:rsidRDefault="008C5521" w:rsidP="00B232A6">
            <w:r>
              <w:rPr>
                <w:rFonts w:hint="eastAsia"/>
              </w:rPr>
              <w:t>灵活配置型</w:t>
            </w:r>
          </w:p>
        </w:tc>
        <w:tc>
          <w:tcPr>
            <w:tcW w:w="3827" w:type="dxa"/>
            <w:vAlign w:val="center"/>
          </w:tcPr>
          <w:p w:rsidR="00B232A6" w:rsidRDefault="00B232A6" w:rsidP="00B232A6">
            <w:pPr>
              <w:rPr>
                <w:rFonts w:ascii="DengXian" w:eastAsia="DengXian" w:hAnsi="DengXian"/>
                <w:color w:val="000000"/>
              </w:rPr>
            </w:pPr>
            <w:r>
              <w:rPr>
                <w:rFonts w:ascii="DengXian" w:eastAsia="DengXian" w:hAnsi="DengXian" w:hint="eastAsia"/>
                <w:color w:val="000000"/>
              </w:rPr>
              <w:t>国投瑞银瑞源灵活配置混合</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6C0011">
              <w:rPr>
                <w:highlight w:val="yellow"/>
              </w:rPr>
              <w:t>001532</w:t>
            </w:r>
          </w:p>
        </w:tc>
        <w:tc>
          <w:tcPr>
            <w:tcW w:w="1559" w:type="dxa"/>
          </w:tcPr>
          <w:p w:rsidR="00B232A6" w:rsidRDefault="008C5521" w:rsidP="00B232A6">
            <w:r>
              <w:rPr>
                <w:rFonts w:hint="eastAsia"/>
              </w:rPr>
              <w:t>灵活配置型</w:t>
            </w:r>
          </w:p>
        </w:tc>
        <w:tc>
          <w:tcPr>
            <w:tcW w:w="3827" w:type="dxa"/>
            <w:vAlign w:val="center"/>
          </w:tcPr>
          <w:p w:rsidR="00B232A6" w:rsidRDefault="00B232A6" w:rsidP="00B232A6">
            <w:pPr>
              <w:rPr>
                <w:rFonts w:ascii="DengXian" w:eastAsia="DengXian" w:hAnsi="DengXian"/>
                <w:color w:val="000000"/>
              </w:rPr>
            </w:pPr>
            <w:r>
              <w:rPr>
                <w:rFonts w:ascii="DengXian" w:eastAsia="DengXian" w:hAnsi="DengXian" w:hint="eastAsia"/>
                <w:color w:val="000000"/>
              </w:rPr>
              <w:t>华安文体健康主题灵活配置混合A</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1D1B49">
              <w:t>163412</w:t>
            </w:r>
          </w:p>
        </w:tc>
        <w:tc>
          <w:tcPr>
            <w:tcW w:w="1559" w:type="dxa"/>
          </w:tcPr>
          <w:p w:rsidR="00B232A6" w:rsidRDefault="008C5521" w:rsidP="00B232A6">
            <w:r>
              <w:rPr>
                <w:rFonts w:hint="eastAsia"/>
              </w:rPr>
              <w:t>偏股混合型</w:t>
            </w:r>
          </w:p>
        </w:tc>
        <w:tc>
          <w:tcPr>
            <w:tcW w:w="3827" w:type="dxa"/>
            <w:vAlign w:val="center"/>
          </w:tcPr>
          <w:p w:rsidR="00B232A6" w:rsidRDefault="00B232A6" w:rsidP="00B232A6">
            <w:pPr>
              <w:rPr>
                <w:rFonts w:ascii="DengXian" w:eastAsia="DengXian" w:hAnsi="DengXian"/>
                <w:color w:val="000000"/>
              </w:rPr>
            </w:pPr>
            <w:r>
              <w:rPr>
                <w:rFonts w:ascii="DengXian" w:eastAsia="DengXian" w:hAnsi="DengXian" w:hint="eastAsia"/>
                <w:color w:val="000000"/>
              </w:rPr>
              <w:t>兴全轻资产投资混合(LOF)</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6C0011">
              <w:rPr>
                <w:highlight w:val="yellow"/>
              </w:rPr>
              <w:t>501022</w:t>
            </w:r>
          </w:p>
        </w:tc>
        <w:tc>
          <w:tcPr>
            <w:tcW w:w="1559" w:type="dxa"/>
          </w:tcPr>
          <w:p w:rsidR="00B232A6" w:rsidRDefault="008C5521" w:rsidP="00B232A6">
            <w:r>
              <w:rPr>
                <w:rFonts w:hint="eastAsia"/>
              </w:rPr>
              <w:t>灵活配置型</w:t>
            </w:r>
          </w:p>
        </w:tc>
        <w:tc>
          <w:tcPr>
            <w:tcW w:w="3827" w:type="dxa"/>
            <w:vAlign w:val="center"/>
          </w:tcPr>
          <w:p w:rsidR="00B232A6" w:rsidRDefault="00B232A6" w:rsidP="00B232A6">
            <w:pPr>
              <w:rPr>
                <w:rFonts w:ascii="DengXian" w:eastAsia="DengXian" w:hAnsi="DengXian"/>
                <w:color w:val="000000"/>
              </w:rPr>
            </w:pPr>
            <w:r>
              <w:rPr>
                <w:rFonts w:ascii="DengXian" w:eastAsia="DengXian" w:hAnsi="DengXian" w:hint="eastAsia"/>
                <w:color w:val="000000"/>
              </w:rPr>
              <w:t>银华鑫盛灵活配置混合(LOF)A</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1D1B49">
              <w:t>001345</w:t>
            </w:r>
          </w:p>
        </w:tc>
        <w:tc>
          <w:tcPr>
            <w:tcW w:w="1559" w:type="dxa"/>
          </w:tcPr>
          <w:p w:rsidR="00B232A6" w:rsidRDefault="008C5521" w:rsidP="00B232A6">
            <w:r>
              <w:rPr>
                <w:rFonts w:hint="eastAsia"/>
              </w:rPr>
              <w:t>大类资产配置</w:t>
            </w:r>
          </w:p>
        </w:tc>
        <w:tc>
          <w:tcPr>
            <w:tcW w:w="3827" w:type="dxa"/>
            <w:vAlign w:val="center"/>
          </w:tcPr>
          <w:p w:rsidR="00B232A6" w:rsidRDefault="00B232A6" w:rsidP="00B232A6">
            <w:pPr>
              <w:rPr>
                <w:rFonts w:ascii="DengXian" w:eastAsia="DengXian" w:hAnsi="DengXian"/>
                <w:color w:val="000000"/>
              </w:rPr>
            </w:pPr>
            <w:r>
              <w:rPr>
                <w:rFonts w:ascii="DengXian" w:eastAsia="DengXian" w:hAnsi="DengXian" w:hint="eastAsia"/>
                <w:color w:val="000000"/>
              </w:rPr>
              <w:t>富国新收益灵活配置混合A</w:t>
            </w:r>
          </w:p>
        </w:tc>
      </w:tr>
      <w:tr w:rsidR="00B232A6" w:rsidTr="009A2F68">
        <w:tc>
          <w:tcPr>
            <w:tcW w:w="1129" w:type="dxa"/>
          </w:tcPr>
          <w:p w:rsidR="00B232A6" w:rsidRDefault="00B232A6" w:rsidP="00B232A6">
            <w:r>
              <w:rPr>
                <w:rFonts w:hint="eastAsia"/>
              </w:rPr>
              <w:t>优选池</w:t>
            </w:r>
          </w:p>
        </w:tc>
        <w:tc>
          <w:tcPr>
            <w:tcW w:w="1560" w:type="dxa"/>
          </w:tcPr>
          <w:p w:rsidR="00B232A6" w:rsidRPr="001D1B49" w:rsidRDefault="00B232A6" w:rsidP="00B232A6">
            <w:r w:rsidRPr="001D1B49">
              <w:t>002593</w:t>
            </w:r>
          </w:p>
        </w:tc>
        <w:tc>
          <w:tcPr>
            <w:tcW w:w="1559" w:type="dxa"/>
          </w:tcPr>
          <w:p w:rsidR="00B232A6" w:rsidRDefault="008C5521" w:rsidP="00B232A6">
            <w:r>
              <w:rPr>
                <w:rFonts w:hint="eastAsia"/>
              </w:rPr>
              <w:t>偏股混合型</w:t>
            </w:r>
          </w:p>
        </w:tc>
        <w:tc>
          <w:tcPr>
            <w:tcW w:w="3827" w:type="dxa"/>
            <w:vAlign w:val="center"/>
          </w:tcPr>
          <w:p w:rsidR="00B232A6" w:rsidRDefault="008C5521" w:rsidP="00B232A6">
            <w:pPr>
              <w:rPr>
                <w:rFonts w:ascii="DengXian" w:eastAsia="DengXian" w:hAnsi="DengXian"/>
                <w:color w:val="000000"/>
              </w:rPr>
            </w:pPr>
            <w:r>
              <w:rPr>
                <w:rFonts w:ascii="DengXian" w:eastAsia="DengXian" w:hAnsi="DengXian" w:hint="eastAsia"/>
                <w:color w:val="000000"/>
              </w:rPr>
              <w:t>富国美丽中国混合A</w:t>
            </w:r>
          </w:p>
        </w:tc>
      </w:tr>
      <w:tr w:rsidR="008C5521" w:rsidTr="009A2F68">
        <w:tc>
          <w:tcPr>
            <w:tcW w:w="1129" w:type="dxa"/>
          </w:tcPr>
          <w:p w:rsidR="008C5521" w:rsidRDefault="008C5521" w:rsidP="008C5521">
            <w:r>
              <w:rPr>
                <w:rFonts w:hint="eastAsia"/>
              </w:rPr>
              <w:t>优选池</w:t>
            </w:r>
          </w:p>
        </w:tc>
        <w:tc>
          <w:tcPr>
            <w:tcW w:w="1560" w:type="dxa"/>
          </w:tcPr>
          <w:p w:rsidR="008C5521" w:rsidRPr="001D1B49" w:rsidRDefault="008C5521" w:rsidP="008C5521">
            <w:r w:rsidRPr="001D1B49">
              <w:t>006392</w:t>
            </w:r>
          </w:p>
        </w:tc>
        <w:tc>
          <w:tcPr>
            <w:tcW w:w="1559" w:type="dxa"/>
          </w:tcPr>
          <w:p w:rsidR="008C5521" w:rsidRDefault="002B24BD" w:rsidP="008C5521">
            <w:r>
              <w:rPr>
                <w:rFonts w:hint="eastAsia"/>
              </w:rPr>
              <w:t>偏股混合型</w:t>
            </w:r>
          </w:p>
        </w:tc>
        <w:tc>
          <w:tcPr>
            <w:tcW w:w="3827" w:type="dxa"/>
            <w:vAlign w:val="center"/>
          </w:tcPr>
          <w:p w:rsidR="008C5521" w:rsidRDefault="008C5521" w:rsidP="008C5521">
            <w:pPr>
              <w:rPr>
                <w:rFonts w:ascii="DengXian" w:eastAsia="DengXian" w:hAnsi="DengXian"/>
                <w:color w:val="000000"/>
              </w:rPr>
            </w:pPr>
            <w:r>
              <w:rPr>
                <w:rFonts w:ascii="DengXian" w:eastAsia="DengXian" w:hAnsi="DengXian" w:hint="eastAsia"/>
                <w:color w:val="000000"/>
              </w:rPr>
              <w:t>中信保诚创新成长灵活配置混合</w:t>
            </w:r>
          </w:p>
        </w:tc>
      </w:tr>
      <w:tr w:rsidR="008C5521" w:rsidTr="009A2F68">
        <w:tc>
          <w:tcPr>
            <w:tcW w:w="1129" w:type="dxa"/>
          </w:tcPr>
          <w:p w:rsidR="008C5521" w:rsidRDefault="008C5521" w:rsidP="008C5521">
            <w:r>
              <w:rPr>
                <w:rFonts w:hint="eastAsia"/>
              </w:rPr>
              <w:t>优选池</w:t>
            </w:r>
          </w:p>
        </w:tc>
        <w:tc>
          <w:tcPr>
            <w:tcW w:w="1560" w:type="dxa"/>
          </w:tcPr>
          <w:p w:rsidR="008C5521" w:rsidRPr="001D1B49" w:rsidRDefault="008C5521" w:rsidP="008C5521">
            <w:r w:rsidRPr="006C0011">
              <w:rPr>
                <w:highlight w:val="yellow"/>
              </w:rPr>
              <w:t>166019</w:t>
            </w:r>
          </w:p>
        </w:tc>
        <w:tc>
          <w:tcPr>
            <w:tcW w:w="1559" w:type="dxa"/>
          </w:tcPr>
          <w:p w:rsidR="008C5521" w:rsidRDefault="002B24BD" w:rsidP="008C5521">
            <w:r>
              <w:rPr>
                <w:rFonts w:hint="eastAsia"/>
              </w:rPr>
              <w:t>偏股混合型</w:t>
            </w:r>
          </w:p>
        </w:tc>
        <w:tc>
          <w:tcPr>
            <w:tcW w:w="3827" w:type="dxa"/>
            <w:vAlign w:val="center"/>
          </w:tcPr>
          <w:p w:rsidR="008C5521" w:rsidRDefault="008C5521" w:rsidP="008C5521">
            <w:pPr>
              <w:rPr>
                <w:rFonts w:ascii="DengXian" w:eastAsia="DengXian" w:hAnsi="DengXian"/>
                <w:color w:val="000000"/>
              </w:rPr>
            </w:pPr>
            <w:r>
              <w:rPr>
                <w:rFonts w:ascii="DengXian" w:eastAsia="DengXian" w:hAnsi="DengXian" w:hint="eastAsia"/>
                <w:color w:val="000000"/>
              </w:rPr>
              <w:t>中欧价值智选回报混合A</w:t>
            </w:r>
          </w:p>
        </w:tc>
      </w:tr>
      <w:tr w:rsidR="008C5521" w:rsidTr="009A2F68">
        <w:tc>
          <w:tcPr>
            <w:tcW w:w="1129" w:type="dxa"/>
          </w:tcPr>
          <w:p w:rsidR="008C5521" w:rsidRDefault="008C5521" w:rsidP="008C5521">
            <w:r>
              <w:rPr>
                <w:rFonts w:hint="eastAsia"/>
              </w:rPr>
              <w:t>优选池</w:t>
            </w:r>
          </w:p>
        </w:tc>
        <w:tc>
          <w:tcPr>
            <w:tcW w:w="1560" w:type="dxa"/>
          </w:tcPr>
          <w:p w:rsidR="008C5521" w:rsidRPr="001D1B49" w:rsidRDefault="008C5521" w:rsidP="008C5521">
            <w:r w:rsidRPr="006C0011">
              <w:rPr>
                <w:highlight w:val="yellow"/>
              </w:rPr>
              <w:t>005775</w:t>
            </w:r>
          </w:p>
        </w:tc>
        <w:tc>
          <w:tcPr>
            <w:tcW w:w="1559" w:type="dxa"/>
          </w:tcPr>
          <w:p w:rsidR="008C5521" w:rsidRDefault="002B24BD" w:rsidP="008C5521">
            <w:r>
              <w:rPr>
                <w:rFonts w:hint="eastAsia"/>
              </w:rPr>
              <w:t>灵活配置型</w:t>
            </w:r>
          </w:p>
        </w:tc>
        <w:tc>
          <w:tcPr>
            <w:tcW w:w="3827" w:type="dxa"/>
            <w:vAlign w:val="center"/>
          </w:tcPr>
          <w:p w:rsidR="008C5521" w:rsidRDefault="008C5521" w:rsidP="008C5521">
            <w:pPr>
              <w:rPr>
                <w:rFonts w:ascii="DengXian" w:eastAsia="DengXian" w:hAnsi="DengXian"/>
                <w:color w:val="000000"/>
              </w:rPr>
            </w:pPr>
            <w:r>
              <w:rPr>
                <w:rFonts w:ascii="DengXian" w:eastAsia="DengXian" w:hAnsi="DengXian" w:hint="eastAsia"/>
                <w:color w:val="000000"/>
              </w:rPr>
              <w:t>中加转型动力灵活配置混合A</w:t>
            </w:r>
          </w:p>
        </w:tc>
      </w:tr>
      <w:tr w:rsidR="008C5521" w:rsidTr="009A2F68">
        <w:tc>
          <w:tcPr>
            <w:tcW w:w="1129" w:type="dxa"/>
          </w:tcPr>
          <w:p w:rsidR="008C5521" w:rsidRDefault="008C5521" w:rsidP="008C5521">
            <w:r>
              <w:rPr>
                <w:rFonts w:hint="eastAsia"/>
              </w:rPr>
              <w:t>优选池</w:t>
            </w:r>
          </w:p>
        </w:tc>
        <w:tc>
          <w:tcPr>
            <w:tcW w:w="1560" w:type="dxa"/>
          </w:tcPr>
          <w:p w:rsidR="008C5521" w:rsidRPr="001D1B49" w:rsidRDefault="008C5521" w:rsidP="008C5521">
            <w:r w:rsidRPr="001D1B49">
              <w:t>001656</w:t>
            </w:r>
          </w:p>
        </w:tc>
        <w:tc>
          <w:tcPr>
            <w:tcW w:w="1559" w:type="dxa"/>
          </w:tcPr>
          <w:p w:rsidR="008C5521" w:rsidRDefault="002B24BD" w:rsidP="008C5521">
            <w:r>
              <w:rPr>
                <w:rFonts w:hint="eastAsia"/>
              </w:rPr>
              <w:t>灵活配置型</w:t>
            </w:r>
          </w:p>
        </w:tc>
        <w:tc>
          <w:tcPr>
            <w:tcW w:w="3827" w:type="dxa"/>
            <w:vAlign w:val="center"/>
          </w:tcPr>
          <w:p w:rsidR="008C5521" w:rsidRPr="008C5521" w:rsidRDefault="008C5521" w:rsidP="008C5521">
            <w:pPr>
              <w:widowControl/>
              <w:jc w:val="left"/>
              <w:rPr>
                <w:rFonts w:ascii="DengXian" w:eastAsia="DengXian" w:hAnsi="DengXian"/>
                <w:color w:val="000000"/>
              </w:rPr>
            </w:pPr>
            <w:r w:rsidRPr="008C5521">
              <w:rPr>
                <w:rFonts w:ascii="DengXian" w:eastAsia="DengXian" w:hAnsi="DengXian" w:hint="eastAsia"/>
                <w:color w:val="000000"/>
              </w:rPr>
              <w:t>农银汇理中国优势灵活配置混合</w:t>
            </w:r>
          </w:p>
        </w:tc>
      </w:tr>
      <w:tr w:rsidR="008C5521" w:rsidTr="009A2F68">
        <w:tc>
          <w:tcPr>
            <w:tcW w:w="1129" w:type="dxa"/>
          </w:tcPr>
          <w:p w:rsidR="008C5521" w:rsidRDefault="008C5521" w:rsidP="008C5521">
            <w:r>
              <w:rPr>
                <w:rFonts w:hint="eastAsia"/>
              </w:rPr>
              <w:t>优选池</w:t>
            </w:r>
          </w:p>
        </w:tc>
        <w:tc>
          <w:tcPr>
            <w:tcW w:w="1560" w:type="dxa"/>
          </w:tcPr>
          <w:p w:rsidR="008C5521" w:rsidRPr="001D1B49" w:rsidRDefault="008C5521" w:rsidP="008C5521">
            <w:r w:rsidRPr="001D1B49">
              <w:t>000327</w:t>
            </w:r>
          </w:p>
        </w:tc>
        <w:tc>
          <w:tcPr>
            <w:tcW w:w="1559" w:type="dxa"/>
          </w:tcPr>
          <w:p w:rsidR="008C5521" w:rsidRPr="008C5521" w:rsidRDefault="002B24BD" w:rsidP="008C5521">
            <w:pPr>
              <w:rPr>
                <w:rFonts w:ascii="DengXian" w:eastAsia="DengXian" w:hAnsi="DengXian"/>
                <w:color w:val="000000"/>
              </w:rPr>
            </w:pPr>
            <w:r>
              <w:rPr>
                <w:rFonts w:ascii="DengXian" w:eastAsia="DengXian" w:hAnsi="DengXian" w:hint="eastAsia"/>
                <w:color w:val="000000"/>
              </w:rPr>
              <w:t>偏股混合型</w:t>
            </w:r>
          </w:p>
        </w:tc>
        <w:tc>
          <w:tcPr>
            <w:tcW w:w="3827" w:type="dxa"/>
            <w:vAlign w:val="center"/>
          </w:tcPr>
          <w:p w:rsidR="008C5521" w:rsidRPr="008C5521" w:rsidRDefault="008C5521" w:rsidP="008C5521">
            <w:pPr>
              <w:widowControl/>
              <w:jc w:val="left"/>
              <w:rPr>
                <w:rFonts w:ascii="DengXian" w:eastAsia="DengXian" w:hAnsi="DengXian"/>
                <w:color w:val="000000"/>
              </w:rPr>
            </w:pPr>
            <w:r w:rsidRPr="008C5521">
              <w:rPr>
                <w:rFonts w:ascii="DengXian" w:eastAsia="DengXian" w:hAnsi="DengXian" w:hint="eastAsia"/>
                <w:color w:val="000000"/>
              </w:rPr>
              <w:t>南方潜力新蓝筹混合A</w:t>
            </w:r>
          </w:p>
        </w:tc>
      </w:tr>
      <w:tr w:rsidR="008C5521" w:rsidTr="009A2F68">
        <w:tc>
          <w:tcPr>
            <w:tcW w:w="1129" w:type="dxa"/>
          </w:tcPr>
          <w:p w:rsidR="008C5521" w:rsidRDefault="008C5521" w:rsidP="008C5521">
            <w:r>
              <w:rPr>
                <w:rFonts w:hint="eastAsia"/>
              </w:rPr>
              <w:t>优选池</w:t>
            </w:r>
          </w:p>
        </w:tc>
        <w:tc>
          <w:tcPr>
            <w:tcW w:w="1560" w:type="dxa"/>
          </w:tcPr>
          <w:p w:rsidR="008C5521" w:rsidRPr="001D1B49" w:rsidRDefault="008C5521" w:rsidP="008C5521">
            <w:r w:rsidRPr="001D1B49">
              <w:t>090018</w:t>
            </w:r>
          </w:p>
        </w:tc>
        <w:tc>
          <w:tcPr>
            <w:tcW w:w="1559" w:type="dxa"/>
          </w:tcPr>
          <w:p w:rsidR="008C5521" w:rsidRDefault="002B24BD" w:rsidP="008C5521">
            <w:r>
              <w:rPr>
                <w:rFonts w:hint="eastAsia"/>
              </w:rPr>
              <w:t>灵活配置型</w:t>
            </w:r>
          </w:p>
        </w:tc>
        <w:tc>
          <w:tcPr>
            <w:tcW w:w="3827" w:type="dxa"/>
            <w:vAlign w:val="center"/>
          </w:tcPr>
          <w:p w:rsidR="008C5521" w:rsidRDefault="008C5521" w:rsidP="008C5521">
            <w:pPr>
              <w:rPr>
                <w:rFonts w:ascii="DengXian" w:eastAsia="DengXian" w:hAnsi="DengXian"/>
                <w:color w:val="000000"/>
              </w:rPr>
            </w:pPr>
            <w:r>
              <w:rPr>
                <w:rFonts w:ascii="DengXian" w:eastAsia="DengXian" w:hAnsi="DengXian" w:hint="eastAsia"/>
                <w:color w:val="000000"/>
              </w:rPr>
              <w:t>大成新锐产业混合</w:t>
            </w:r>
          </w:p>
        </w:tc>
      </w:tr>
      <w:tr w:rsidR="00113DBA" w:rsidTr="009A2F68">
        <w:tc>
          <w:tcPr>
            <w:tcW w:w="1129" w:type="dxa"/>
          </w:tcPr>
          <w:p w:rsidR="00113DBA" w:rsidRDefault="00113DBA" w:rsidP="00113DBA">
            <w:r>
              <w:rPr>
                <w:rFonts w:hint="eastAsia"/>
              </w:rPr>
              <w:t>优选池</w:t>
            </w:r>
          </w:p>
        </w:tc>
        <w:tc>
          <w:tcPr>
            <w:tcW w:w="1560" w:type="dxa"/>
          </w:tcPr>
          <w:p w:rsidR="00113DBA" w:rsidRPr="00EB2754" w:rsidRDefault="00113DBA" w:rsidP="00113DBA">
            <w:r w:rsidRPr="00EB2754">
              <w:t>001499</w:t>
            </w:r>
          </w:p>
        </w:tc>
        <w:tc>
          <w:tcPr>
            <w:tcW w:w="1559" w:type="dxa"/>
          </w:tcPr>
          <w:p w:rsidR="00113DBA" w:rsidRDefault="00113DBA" w:rsidP="00113DBA">
            <w:r>
              <w:rPr>
                <w:rFonts w:hint="eastAsia"/>
              </w:rPr>
              <w:t>偏债混合型</w:t>
            </w:r>
          </w:p>
        </w:tc>
        <w:tc>
          <w:tcPr>
            <w:tcW w:w="3827" w:type="dxa"/>
            <w:vAlign w:val="center"/>
          </w:tcPr>
          <w:p w:rsidR="00113DBA" w:rsidRDefault="00113DBA" w:rsidP="00113DBA">
            <w:pPr>
              <w:widowControl/>
              <w:jc w:val="left"/>
              <w:rPr>
                <w:rFonts w:ascii="DengXian" w:eastAsia="DengXian" w:hAnsi="DengXian"/>
                <w:color w:val="000000"/>
              </w:rPr>
            </w:pPr>
            <w:r>
              <w:rPr>
                <w:rFonts w:ascii="DengXian" w:eastAsia="DengXian" w:hAnsi="DengXian" w:hint="eastAsia"/>
                <w:color w:val="000000"/>
              </w:rPr>
              <w:t>国投瑞银新增长灵活配置混合A</w:t>
            </w:r>
          </w:p>
        </w:tc>
      </w:tr>
      <w:tr w:rsidR="00113DBA" w:rsidTr="009A2F68">
        <w:tc>
          <w:tcPr>
            <w:tcW w:w="1129" w:type="dxa"/>
          </w:tcPr>
          <w:p w:rsidR="00113DBA" w:rsidRDefault="00113DBA" w:rsidP="00113DBA">
            <w:r>
              <w:rPr>
                <w:rFonts w:hint="eastAsia"/>
              </w:rPr>
              <w:t>优选池</w:t>
            </w:r>
          </w:p>
        </w:tc>
        <w:tc>
          <w:tcPr>
            <w:tcW w:w="1560" w:type="dxa"/>
          </w:tcPr>
          <w:p w:rsidR="00113DBA" w:rsidRPr="00EB2754" w:rsidRDefault="00113DBA" w:rsidP="00113DBA">
            <w:r w:rsidRPr="00EB2754">
              <w:t>002351</w:t>
            </w:r>
          </w:p>
        </w:tc>
        <w:tc>
          <w:tcPr>
            <w:tcW w:w="1559" w:type="dxa"/>
          </w:tcPr>
          <w:p w:rsidR="00113DBA" w:rsidRDefault="00113DBA" w:rsidP="00113DBA">
            <w:r>
              <w:rPr>
                <w:rFonts w:hint="eastAsia"/>
              </w:rPr>
              <w:t>债券型</w:t>
            </w:r>
          </w:p>
        </w:tc>
        <w:tc>
          <w:tcPr>
            <w:tcW w:w="3827" w:type="dxa"/>
            <w:vAlign w:val="center"/>
          </w:tcPr>
          <w:p w:rsidR="00113DBA" w:rsidRDefault="00113DBA" w:rsidP="00113DBA">
            <w:pPr>
              <w:rPr>
                <w:rFonts w:ascii="DengXian" w:eastAsia="DengXian" w:hAnsi="DengXian"/>
                <w:color w:val="000000"/>
              </w:rPr>
            </w:pPr>
            <w:r>
              <w:rPr>
                <w:rFonts w:ascii="DengXian" w:eastAsia="DengXian" w:hAnsi="DengXian" w:hint="eastAsia"/>
                <w:color w:val="000000"/>
              </w:rPr>
              <w:t>易方达裕祥回报债券</w:t>
            </w:r>
          </w:p>
        </w:tc>
      </w:tr>
      <w:tr w:rsidR="00113DBA" w:rsidTr="009A2F68">
        <w:tc>
          <w:tcPr>
            <w:tcW w:w="1129" w:type="dxa"/>
          </w:tcPr>
          <w:p w:rsidR="00113DBA" w:rsidRDefault="00113DBA" w:rsidP="00113DBA">
            <w:r>
              <w:rPr>
                <w:rFonts w:hint="eastAsia"/>
              </w:rPr>
              <w:t>优选池</w:t>
            </w:r>
          </w:p>
        </w:tc>
        <w:tc>
          <w:tcPr>
            <w:tcW w:w="1560" w:type="dxa"/>
          </w:tcPr>
          <w:p w:rsidR="00113DBA" w:rsidRPr="00EB2754" w:rsidRDefault="00113DBA" w:rsidP="00113DBA">
            <w:r w:rsidRPr="00EB2754">
              <w:t>001447</w:t>
            </w:r>
          </w:p>
        </w:tc>
        <w:tc>
          <w:tcPr>
            <w:tcW w:w="1559" w:type="dxa"/>
          </w:tcPr>
          <w:p w:rsidR="00113DBA" w:rsidRDefault="00B7008F" w:rsidP="00113DBA">
            <w:r>
              <w:rPr>
                <w:rFonts w:hint="eastAsia"/>
              </w:rPr>
              <w:t>偏债混合型</w:t>
            </w:r>
          </w:p>
        </w:tc>
        <w:tc>
          <w:tcPr>
            <w:tcW w:w="3827" w:type="dxa"/>
            <w:vAlign w:val="center"/>
          </w:tcPr>
          <w:p w:rsidR="00113DBA" w:rsidRDefault="00113DBA" w:rsidP="00113DBA">
            <w:pPr>
              <w:rPr>
                <w:rFonts w:ascii="DengXian" w:eastAsia="DengXian" w:hAnsi="DengXian"/>
                <w:color w:val="000000"/>
              </w:rPr>
            </w:pPr>
            <w:r>
              <w:rPr>
                <w:rFonts w:ascii="DengXian" w:eastAsia="DengXian" w:hAnsi="DengXian" w:hint="eastAsia"/>
                <w:color w:val="000000"/>
              </w:rPr>
              <w:t>天弘惠利灵活配置混合</w:t>
            </w:r>
          </w:p>
        </w:tc>
      </w:tr>
      <w:tr w:rsidR="00113DBA" w:rsidTr="009A2F68">
        <w:tc>
          <w:tcPr>
            <w:tcW w:w="1129" w:type="dxa"/>
          </w:tcPr>
          <w:p w:rsidR="00113DBA" w:rsidRDefault="00113DBA" w:rsidP="00113DBA">
            <w:r>
              <w:rPr>
                <w:rFonts w:hint="eastAsia"/>
              </w:rPr>
              <w:t>优选池</w:t>
            </w:r>
          </w:p>
        </w:tc>
        <w:tc>
          <w:tcPr>
            <w:tcW w:w="1560" w:type="dxa"/>
          </w:tcPr>
          <w:p w:rsidR="00113DBA" w:rsidRPr="00EB2754" w:rsidRDefault="00113DBA" w:rsidP="00113DBA">
            <w:r w:rsidRPr="00EB2754">
              <w:t>000556</w:t>
            </w:r>
          </w:p>
        </w:tc>
        <w:tc>
          <w:tcPr>
            <w:tcW w:w="1559" w:type="dxa"/>
          </w:tcPr>
          <w:p w:rsidR="00113DBA" w:rsidRDefault="00B7008F" w:rsidP="00113DBA">
            <w:r>
              <w:rPr>
                <w:rFonts w:hint="eastAsia"/>
              </w:rPr>
              <w:t>偏债混合型</w:t>
            </w:r>
          </w:p>
        </w:tc>
        <w:tc>
          <w:tcPr>
            <w:tcW w:w="3827" w:type="dxa"/>
            <w:vAlign w:val="center"/>
          </w:tcPr>
          <w:p w:rsidR="00113DBA" w:rsidRDefault="00113DBA" w:rsidP="00113DBA">
            <w:pPr>
              <w:rPr>
                <w:rFonts w:ascii="DengXian" w:eastAsia="DengXian" w:hAnsi="DengXian"/>
                <w:color w:val="000000"/>
              </w:rPr>
            </w:pPr>
            <w:r>
              <w:rPr>
                <w:rFonts w:ascii="DengXian" w:eastAsia="DengXian" w:hAnsi="DengXian" w:hint="eastAsia"/>
                <w:color w:val="000000"/>
              </w:rPr>
              <w:t>国投瑞银新机遇灵活配置混合A</w:t>
            </w:r>
          </w:p>
        </w:tc>
      </w:tr>
      <w:tr w:rsidR="00B7008F" w:rsidTr="009A2F68">
        <w:tc>
          <w:tcPr>
            <w:tcW w:w="1129" w:type="dxa"/>
          </w:tcPr>
          <w:p w:rsidR="00B7008F" w:rsidRDefault="00B7008F" w:rsidP="00B7008F">
            <w:r>
              <w:rPr>
                <w:rFonts w:hint="eastAsia"/>
              </w:rPr>
              <w:t>优选池</w:t>
            </w:r>
          </w:p>
        </w:tc>
        <w:tc>
          <w:tcPr>
            <w:tcW w:w="1560" w:type="dxa"/>
          </w:tcPr>
          <w:p w:rsidR="00B7008F" w:rsidRPr="00EB2754" w:rsidRDefault="00B7008F" w:rsidP="00B7008F">
            <w:r w:rsidRPr="00EB2754">
              <w:t>001249</w:t>
            </w:r>
          </w:p>
        </w:tc>
        <w:tc>
          <w:tcPr>
            <w:tcW w:w="1559" w:type="dxa"/>
          </w:tcPr>
          <w:p w:rsidR="00B7008F" w:rsidRDefault="00B7008F" w:rsidP="00B7008F">
            <w:r>
              <w:rPr>
                <w:rFonts w:hint="eastAsia"/>
              </w:rPr>
              <w:t>偏债混合型</w:t>
            </w:r>
          </w:p>
        </w:tc>
        <w:tc>
          <w:tcPr>
            <w:tcW w:w="3827" w:type="dxa"/>
            <w:vAlign w:val="center"/>
          </w:tcPr>
          <w:p w:rsidR="00B7008F" w:rsidRDefault="00B7008F" w:rsidP="00B7008F">
            <w:pPr>
              <w:rPr>
                <w:rFonts w:ascii="DengXian" w:eastAsia="DengXian" w:hAnsi="DengXian"/>
                <w:color w:val="000000"/>
              </w:rPr>
            </w:pPr>
            <w:r>
              <w:rPr>
                <w:rFonts w:ascii="DengXian" w:eastAsia="DengXian" w:hAnsi="DengXian" w:hint="eastAsia"/>
                <w:color w:val="000000"/>
              </w:rPr>
              <w:t>易方达新利灵活配置混合</w:t>
            </w:r>
          </w:p>
        </w:tc>
      </w:tr>
      <w:tr w:rsidR="00B7008F" w:rsidTr="009A2F68">
        <w:tc>
          <w:tcPr>
            <w:tcW w:w="1129" w:type="dxa"/>
          </w:tcPr>
          <w:p w:rsidR="00B7008F" w:rsidRDefault="00B7008F" w:rsidP="00B7008F">
            <w:r>
              <w:rPr>
                <w:rFonts w:hint="eastAsia"/>
              </w:rPr>
              <w:t>优选池</w:t>
            </w:r>
          </w:p>
        </w:tc>
        <w:tc>
          <w:tcPr>
            <w:tcW w:w="1560" w:type="dxa"/>
          </w:tcPr>
          <w:p w:rsidR="00B7008F" w:rsidRPr="00EB2754" w:rsidRDefault="00B7008F" w:rsidP="00B7008F">
            <w:r w:rsidRPr="00EB2754">
              <w:t>002057</w:t>
            </w:r>
          </w:p>
        </w:tc>
        <w:tc>
          <w:tcPr>
            <w:tcW w:w="1559" w:type="dxa"/>
          </w:tcPr>
          <w:p w:rsidR="00B7008F" w:rsidRDefault="00B7008F" w:rsidP="00B7008F">
            <w:r>
              <w:rPr>
                <w:rFonts w:hint="eastAsia"/>
              </w:rPr>
              <w:t>偏债混合型</w:t>
            </w:r>
          </w:p>
        </w:tc>
        <w:tc>
          <w:tcPr>
            <w:tcW w:w="3827" w:type="dxa"/>
            <w:vAlign w:val="center"/>
          </w:tcPr>
          <w:p w:rsidR="00B7008F" w:rsidRDefault="00B7008F" w:rsidP="00B7008F">
            <w:pPr>
              <w:rPr>
                <w:rFonts w:ascii="DengXian" w:eastAsia="DengXian" w:hAnsi="DengXian"/>
                <w:color w:val="000000"/>
              </w:rPr>
            </w:pPr>
            <w:r>
              <w:rPr>
                <w:rFonts w:ascii="DengXian" w:eastAsia="DengXian" w:hAnsi="DengXian" w:hint="eastAsia"/>
                <w:color w:val="000000"/>
              </w:rPr>
              <w:t>中银新机遇灵活配置混合A</w:t>
            </w:r>
          </w:p>
        </w:tc>
      </w:tr>
      <w:tr w:rsidR="00B7008F" w:rsidTr="009A2F68">
        <w:tc>
          <w:tcPr>
            <w:tcW w:w="1129" w:type="dxa"/>
          </w:tcPr>
          <w:p w:rsidR="00B7008F" w:rsidRDefault="00B7008F" w:rsidP="00B7008F">
            <w:r>
              <w:rPr>
                <w:rFonts w:hint="eastAsia"/>
              </w:rPr>
              <w:t>优选池</w:t>
            </w:r>
          </w:p>
        </w:tc>
        <w:tc>
          <w:tcPr>
            <w:tcW w:w="1560" w:type="dxa"/>
          </w:tcPr>
          <w:p w:rsidR="00B7008F" w:rsidRPr="00EB2754" w:rsidRDefault="00B7008F" w:rsidP="00B7008F">
            <w:r w:rsidRPr="00EB2754">
              <w:t>002222</w:t>
            </w:r>
          </w:p>
        </w:tc>
        <w:tc>
          <w:tcPr>
            <w:tcW w:w="1559" w:type="dxa"/>
          </w:tcPr>
          <w:p w:rsidR="00B7008F" w:rsidRDefault="00B7008F" w:rsidP="00B7008F">
            <w:r>
              <w:rPr>
                <w:rFonts w:hint="eastAsia"/>
              </w:rPr>
              <w:t>偏债混合型</w:t>
            </w:r>
          </w:p>
        </w:tc>
        <w:tc>
          <w:tcPr>
            <w:tcW w:w="3827" w:type="dxa"/>
            <w:vAlign w:val="center"/>
          </w:tcPr>
          <w:p w:rsidR="00B7008F" w:rsidRDefault="00B7008F" w:rsidP="00B7008F">
            <w:pPr>
              <w:widowControl/>
              <w:jc w:val="left"/>
              <w:rPr>
                <w:rFonts w:ascii="DengXian" w:eastAsia="DengXian" w:hAnsi="DengXian"/>
                <w:color w:val="000000"/>
              </w:rPr>
            </w:pPr>
            <w:r>
              <w:rPr>
                <w:rFonts w:ascii="DengXian" w:eastAsia="DengXian" w:hAnsi="DengXian" w:hint="eastAsia"/>
                <w:color w:val="000000"/>
              </w:rPr>
              <w:t>嘉实新趋势灵活配置混合</w:t>
            </w:r>
          </w:p>
        </w:tc>
      </w:tr>
      <w:tr w:rsidR="00B7008F" w:rsidTr="009A2F68">
        <w:tc>
          <w:tcPr>
            <w:tcW w:w="1129" w:type="dxa"/>
          </w:tcPr>
          <w:p w:rsidR="00B7008F" w:rsidRDefault="00B7008F" w:rsidP="00B7008F">
            <w:r>
              <w:rPr>
                <w:rFonts w:hint="eastAsia"/>
              </w:rPr>
              <w:t>优选池</w:t>
            </w:r>
          </w:p>
        </w:tc>
        <w:tc>
          <w:tcPr>
            <w:tcW w:w="1560" w:type="dxa"/>
          </w:tcPr>
          <w:p w:rsidR="00B7008F" w:rsidRPr="00EB2754" w:rsidRDefault="00B7008F" w:rsidP="00B7008F">
            <w:r w:rsidRPr="00EB2754">
              <w:t>5197</w:t>
            </w:r>
            <w:r>
              <w:t>38</w:t>
            </w:r>
          </w:p>
        </w:tc>
        <w:tc>
          <w:tcPr>
            <w:tcW w:w="1559" w:type="dxa"/>
          </w:tcPr>
          <w:p w:rsidR="00B7008F" w:rsidRDefault="00B7008F" w:rsidP="00B7008F">
            <w:r>
              <w:rPr>
                <w:rFonts w:hint="eastAsia"/>
              </w:rPr>
              <w:t>偏债混合型</w:t>
            </w:r>
          </w:p>
        </w:tc>
        <w:tc>
          <w:tcPr>
            <w:tcW w:w="3827" w:type="dxa"/>
            <w:vAlign w:val="center"/>
          </w:tcPr>
          <w:p w:rsidR="00B7008F" w:rsidRDefault="00B7008F" w:rsidP="00B7008F">
            <w:pPr>
              <w:rPr>
                <w:rFonts w:ascii="DengXian" w:eastAsia="DengXian" w:hAnsi="DengXian"/>
                <w:color w:val="000000"/>
              </w:rPr>
            </w:pPr>
            <w:r>
              <w:rPr>
                <w:rFonts w:ascii="DengXian" w:eastAsia="DengXian" w:hAnsi="DengXian" w:hint="eastAsia"/>
                <w:color w:val="000000"/>
              </w:rPr>
              <w:t>交银施罗德周期回报灵活配置混合A</w:t>
            </w:r>
          </w:p>
        </w:tc>
      </w:tr>
    </w:tbl>
    <w:p w:rsidR="00C76DB5" w:rsidRPr="00C76DB5" w:rsidRDefault="00B7008F" w:rsidP="00C76DB5">
      <w:r>
        <w:rPr>
          <w:rFonts w:hint="eastAsia"/>
        </w:rPr>
        <w:t>最终，我们选择</w:t>
      </w:r>
      <w:r w:rsidR="000A1728">
        <w:rPr>
          <w:rFonts w:ascii="DengXian" w:eastAsia="DengXian" w:hAnsi="DengXian" w:hint="eastAsia"/>
          <w:color w:val="000000"/>
        </w:rPr>
        <w:t>银华鑫盛灵活配置混合(LOF)A</w:t>
      </w:r>
      <w:r w:rsidR="000A1728">
        <w:rPr>
          <w:rFonts w:ascii="DengXian" w:eastAsia="DengXian" w:hAnsi="DengXian"/>
          <w:color w:val="000000"/>
        </w:rPr>
        <w:t xml:space="preserve"> </w:t>
      </w:r>
      <w:r w:rsidR="000A1728">
        <w:t>(</w:t>
      </w:r>
      <w:r w:rsidR="000A1728" w:rsidRPr="000A1728">
        <w:t>501022</w:t>
      </w:r>
      <w:r w:rsidR="000A1728">
        <w:t xml:space="preserve">) </w:t>
      </w:r>
      <w:r w:rsidR="00C132C5">
        <w:rPr>
          <w:rFonts w:hint="eastAsia"/>
        </w:rPr>
        <w:t>（下称银华鑫盛）</w:t>
      </w:r>
      <w:r w:rsidR="000A1728">
        <w:rPr>
          <w:rFonts w:hint="eastAsia"/>
        </w:rPr>
        <w:t>这只基金。</w:t>
      </w:r>
    </w:p>
    <w:p w:rsidR="00085A82" w:rsidRPr="004D71C9" w:rsidRDefault="00E6105A">
      <w:pPr>
        <w:rPr>
          <w:b/>
          <w:sz w:val="28"/>
        </w:rPr>
      </w:pPr>
      <w:r w:rsidRPr="004D71C9">
        <w:rPr>
          <w:rFonts w:hint="eastAsia"/>
          <w:b/>
          <w:sz w:val="28"/>
        </w:rPr>
        <w:lastRenderedPageBreak/>
        <w:t>二、</w:t>
      </w:r>
      <w:r w:rsidR="000765E8" w:rsidRPr="004D71C9">
        <w:rPr>
          <w:rFonts w:hint="eastAsia"/>
          <w:b/>
          <w:sz w:val="28"/>
        </w:rPr>
        <w:t>基金</w:t>
      </w:r>
      <w:r w:rsidR="00B81562" w:rsidRPr="004D71C9">
        <w:rPr>
          <w:rFonts w:hint="eastAsia"/>
          <w:b/>
          <w:sz w:val="28"/>
        </w:rPr>
        <w:t>表现</w:t>
      </w:r>
    </w:p>
    <w:p w:rsidR="00F95E39" w:rsidRPr="00F95E39" w:rsidRDefault="00F95E39" w:rsidP="00F95E39">
      <w:pPr>
        <w:rPr>
          <w:b/>
        </w:rPr>
      </w:pPr>
      <w:r w:rsidRPr="00F95E39">
        <w:rPr>
          <w:rFonts w:hint="eastAsia"/>
          <w:b/>
        </w:rPr>
        <w:t>（1）收益风险指标</w:t>
      </w:r>
    </w:p>
    <w:p w:rsidR="00E6105A" w:rsidRDefault="00C132C5" w:rsidP="00420DFC">
      <w:pPr>
        <w:ind w:firstLineChars="200" w:firstLine="420"/>
      </w:pPr>
      <w:r>
        <w:rPr>
          <w:rFonts w:hint="eastAsia"/>
        </w:rPr>
        <w:t>自2</w:t>
      </w:r>
      <w:r>
        <w:t>018</w:t>
      </w:r>
      <w:r>
        <w:rPr>
          <w:rFonts w:hint="eastAsia"/>
        </w:rPr>
        <w:t>年1</w:t>
      </w:r>
      <w:r>
        <w:t>0</w:t>
      </w:r>
      <w:r>
        <w:rPr>
          <w:rFonts w:hint="eastAsia"/>
        </w:rPr>
        <w:t>月1</w:t>
      </w:r>
      <w:r>
        <w:t>5</w:t>
      </w:r>
      <w:r>
        <w:rPr>
          <w:rFonts w:hint="eastAsia"/>
        </w:rPr>
        <w:t>日王海峰基金经理上任以来，银华鑫盛累计收益2</w:t>
      </w:r>
      <w:r w:rsidR="00A71EEE">
        <w:t>30.65</w:t>
      </w:r>
      <w:r>
        <w:t>%</w:t>
      </w:r>
      <w:r>
        <w:rPr>
          <w:rFonts w:hint="eastAsia"/>
        </w:rPr>
        <w:t>的累计收益</w:t>
      </w:r>
      <w:r w:rsidR="00A71EEE">
        <w:rPr>
          <w:rFonts w:hint="eastAsia"/>
        </w:rPr>
        <w:t>，超额比较基准为1</w:t>
      </w:r>
      <w:r w:rsidR="00A71EEE">
        <w:t>92.19%</w:t>
      </w:r>
      <w:r w:rsidR="00A71EEE">
        <w:rPr>
          <w:rFonts w:hint="eastAsia"/>
        </w:rPr>
        <w:t>，与沪深3</w:t>
      </w:r>
      <w:r w:rsidR="00A71EEE">
        <w:t>00</w:t>
      </w:r>
      <w:r w:rsidR="00A71EEE">
        <w:rPr>
          <w:rFonts w:hint="eastAsia"/>
        </w:rPr>
        <w:t>比较的累计超额收益为1</w:t>
      </w:r>
      <w:r w:rsidR="00A71EEE">
        <w:t>72.63%</w:t>
      </w:r>
      <w:r w:rsidR="00A71EEE">
        <w:rPr>
          <w:rFonts w:hint="eastAsia"/>
        </w:rPr>
        <w:t>，期间最大回撤为1</w:t>
      </w:r>
      <w:r w:rsidR="00A71EEE">
        <w:t>6.35%</w:t>
      </w:r>
      <w:r w:rsidR="00A71EEE">
        <w:rPr>
          <w:rFonts w:hint="eastAsia"/>
        </w:rPr>
        <w:t>，主要的两个回撤区间为2</w:t>
      </w:r>
      <w:r w:rsidR="00A71EEE">
        <w:t>019.04.17-2019.10.25</w:t>
      </w:r>
      <w:r w:rsidR="00A71EEE">
        <w:rPr>
          <w:rFonts w:hint="eastAsia"/>
        </w:rPr>
        <w:t>和2</w:t>
      </w:r>
      <w:r w:rsidR="00A71EEE">
        <w:t>020</w:t>
      </w:r>
      <w:r w:rsidR="00A71EEE">
        <w:rPr>
          <w:rFonts w:hint="eastAsia"/>
        </w:rPr>
        <w:t>.0</w:t>
      </w:r>
      <w:r w:rsidR="00A71EEE">
        <w:t>2.18-2020.06.04</w:t>
      </w:r>
      <w:r w:rsidR="00420DFC">
        <w:rPr>
          <w:rFonts w:hint="eastAsia"/>
        </w:rPr>
        <w:t>，同期沪深3</w:t>
      </w:r>
      <w:r w:rsidR="00420DFC">
        <w:t>00</w:t>
      </w:r>
      <w:r w:rsidR="00420DFC">
        <w:rPr>
          <w:rFonts w:hint="eastAsia"/>
        </w:rPr>
        <w:t>的最大回撤是1</w:t>
      </w:r>
      <w:r w:rsidR="00420DFC">
        <w:t>8.19%</w:t>
      </w:r>
      <w:r w:rsidR="00420DFC">
        <w:rPr>
          <w:rFonts w:hint="eastAsia"/>
        </w:rPr>
        <w:t>。但是基金在年化收益、夏普比率、最大回撤月份数、最大回撤修复月份数都比沪深3</w:t>
      </w:r>
      <w:r w:rsidR="00420DFC">
        <w:t>00</w:t>
      </w:r>
      <w:r w:rsidR="00420DFC">
        <w:rPr>
          <w:rFonts w:hint="eastAsia"/>
        </w:rPr>
        <w:t>优越了很多：</w:t>
      </w:r>
    </w:p>
    <w:p w:rsidR="00420DFC" w:rsidRDefault="00420DFC">
      <w:r w:rsidRPr="00420DFC">
        <w:rPr>
          <w:noProof/>
        </w:rPr>
        <w:drawing>
          <wp:inline distT="0" distB="0" distL="0" distR="0" wp14:anchorId="2840336E" wp14:editId="0853D1F9">
            <wp:extent cx="5270500" cy="1794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794510"/>
                    </a:xfrm>
                    <a:prstGeom prst="rect">
                      <a:avLst/>
                    </a:prstGeom>
                  </pic:spPr>
                </pic:pic>
              </a:graphicData>
            </a:graphic>
          </wp:inline>
        </w:drawing>
      </w:r>
    </w:p>
    <w:p w:rsidR="00F95E39" w:rsidRPr="00F95E39" w:rsidRDefault="00F95E39" w:rsidP="00F95E39">
      <w:pPr>
        <w:rPr>
          <w:b/>
        </w:rPr>
      </w:pPr>
      <w:r w:rsidRPr="00F95E39">
        <w:rPr>
          <w:rFonts w:hint="eastAsia"/>
          <w:b/>
        </w:rPr>
        <w:t>（2）月度收益及分布</w:t>
      </w:r>
    </w:p>
    <w:p w:rsidR="00420DFC" w:rsidRDefault="00462FF6" w:rsidP="00462FF6">
      <w:pPr>
        <w:ind w:firstLineChars="200" w:firstLine="420"/>
      </w:pPr>
      <w:r>
        <w:rPr>
          <w:rFonts w:hint="eastAsia"/>
        </w:rPr>
        <w:t>月度收益上</w:t>
      </w:r>
      <w:r w:rsidR="00D920BA">
        <w:rPr>
          <w:rFonts w:hint="eastAsia"/>
        </w:rPr>
        <w:t>，该基金胜率达到7</w:t>
      </w:r>
      <w:r w:rsidR="00D920BA">
        <w:t>7%</w:t>
      </w:r>
      <w:r w:rsidR="00542647">
        <w:rPr>
          <w:rFonts w:hint="eastAsia"/>
        </w:rPr>
        <w:t>，</w:t>
      </w:r>
      <w:r>
        <w:rPr>
          <w:rFonts w:hint="eastAsia"/>
        </w:rPr>
        <w:t>其</w:t>
      </w:r>
      <w:r w:rsidR="00542647">
        <w:rPr>
          <w:rFonts w:hint="eastAsia"/>
        </w:rPr>
        <w:t>月度收益较沪深3</w:t>
      </w:r>
      <w:r w:rsidR="00542647">
        <w:t>00</w:t>
      </w:r>
      <w:r w:rsidR="00542647">
        <w:rPr>
          <w:rFonts w:hint="eastAsia"/>
        </w:rPr>
        <w:t>的月度收益分布明显右偏：</w:t>
      </w:r>
    </w:p>
    <w:p w:rsidR="00542647" w:rsidRDefault="00542647">
      <w:r w:rsidRPr="00542647">
        <w:rPr>
          <w:noProof/>
        </w:rPr>
        <w:drawing>
          <wp:inline distT="0" distB="0" distL="0" distR="0" wp14:anchorId="2318A817" wp14:editId="7DD4319B">
            <wp:extent cx="5270500" cy="2046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046605"/>
                    </a:xfrm>
                    <a:prstGeom prst="rect">
                      <a:avLst/>
                    </a:prstGeom>
                  </pic:spPr>
                </pic:pic>
              </a:graphicData>
            </a:graphic>
          </wp:inline>
        </w:drawing>
      </w:r>
    </w:p>
    <w:p w:rsidR="00542647" w:rsidRPr="00F95E39" w:rsidRDefault="00F95E39">
      <w:pPr>
        <w:rPr>
          <w:b/>
        </w:rPr>
      </w:pPr>
      <w:r w:rsidRPr="00F95E39">
        <w:rPr>
          <w:rFonts w:hint="eastAsia"/>
          <w:b/>
        </w:rPr>
        <w:t>（3）滚动收益</w:t>
      </w:r>
      <w:r>
        <w:rPr>
          <w:rFonts w:hint="eastAsia"/>
          <w:b/>
        </w:rPr>
        <w:t>及胜率</w:t>
      </w:r>
    </w:p>
    <w:p w:rsidR="00542647" w:rsidRDefault="00542647" w:rsidP="00462FF6">
      <w:pPr>
        <w:ind w:firstLineChars="200" w:firstLine="420"/>
      </w:pPr>
      <w:r>
        <w:rPr>
          <w:rFonts w:hint="eastAsia"/>
        </w:rPr>
        <w:t>滚动收益概率</w:t>
      </w:r>
      <w:r w:rsidR="00462FF6">
        <w:rPr>
          <w:rFonts w:hint="eastAsia"/>
        </w:rPr>
        <w:t>上</w:t>
      </w:r>
      <w:r>
        <w:rPr>
          <w:rFonts w:hint="eastAsia"/>
        </w:rPr>
        <w:t>，近三年来，</w:t>
      </w:r>
      <w:r w:rsidR="004645E5">
        <w:rPr>
          <w:rFonts w:hint="eastAsia"/>
        </w:rPr>
        <w:t>任意一天开始</w:t>
      </w:r>
      <w:r>
        <w:rPr>
          <w:rFonts w:hint="eastAsia"/>
        </w:rPr>
        <w:t>持有6个月的滚动收益胜率高达9</w:t>
      </w:r>
      <w:r>
        <w:t>7%</w:t>
      </w:r>
      <w:r>
        <w:rPr>
          <w:rFonts w:hint="eastAsia"/>
        </w:rPr>
        <w:t>，收益率超过1</w:t>
      </w:r>
      <w:r>
        <w:t>0%</w:t>
      </w:r>
      <w:r>
        <w:rPr>
          <w:rFonts w:hint="eastAsia"/>
        </w:rPr>
        <w:t>的概率也超过了8</w:t>
      </w:r>
      <w:r>
        <w:t>0%</w:t>
      </w:r>
      <w:r w:rsidR="004645E5">
        <w:rPr>
          <w:rFonts w:hint="eastAsia"/>
        </w:rPr>
        <w:t>；持有3个月的滚动收益胜率就超过了9</w:t>
      </w:r>
      <w:r w:rsidR="004645E5">
        <w:t>0%</w:t>
      </w:r>
      <w:r w:rsidR="004645E5">
        <w:rPr>
          <w:rFonts w:hint="eastAsia"/>
        </w:rPr>
        <w:t>，而持有1年的滚动收益胜率高达1</w:t>
      </w:r>
      <w:r w:rsidR="004645E5">
        <w:t>00%</w:t>
      </w:r>
      <w:r w:rsidR="004645E5">
        <w:rPr>
          <w:rFonts w:hint="eastAsia"/>
        </w:rPr>
        <w:t>。投资体验非常好。</w:t>
      </w:r>
    </w:p>
    <w:p w:rsidR="00542647" w:rsidRDefault="00542647">
      <w:r w:rsidRPr="00542647">
        <w:rPr>
          <w:noProof/>
        </w:rPr>
        <w:drawing>
          <wp:inline distT="0" distB="0" distL="0" distR="0" wp14:anchorId="618E6707" wp14:editId="51E5493A">
            <wp:extent cx="5270500" cy="1537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537970"/>
                    </a:xfrm>
                    <a:prstGeom prst="rect">
                      <a:avLst/>
                    </a:prstGeom>
                  </pic:spPr>
                </pic:pic>
              </a:graphicData>
            </a:graphic>
          </wp:inline>
        </w:drawing>
      </w:r>
    </w:p>
    <w:p w:rsidR="002B2E3F" w:rsidRDefault="00542647" w:rsidP="00462FF6">
      <w:pPr>
        <w:ind w:firstLineChars="200" w:firstLine="420"/>
      </w:pPr>
      <w:r>
        <w:rPr>
          <w:rFonts w:hint="eastAsia"/>
        </w:rPr>
        <w:t>该基金与混合型基金比较风险较低，是典型的高收益低风险</w:t>
      </w:r>
      <w:r w:rsidR="00362E16">
        <w:rPr>
          <w:rFonts w:hint="eastAsia"/>
        </w:rPr>
        <w:t>基金</w:t>
      </w:r>
      <w:r w:rsidR="0030538B">
        <w:rPr>
          <w:rFonts w:hint="eastAsia"/>
        </w:rPr>
        <w:t>。</w:t>
      </w:r>
    </w:p>
    <w:p w:rsidR="00B81562" w:rsidRPr="004D71C9" w:rsidRDefault="00E6105A">
      <w:pPr>
        <w:rPr>
          <w:b/>
          <w:sz w:val="28"/>
        </w:rPr>
      </w:pPr>
      <w:r w:rsidRPr="004D71C9">
        <w:rPr>
          <w:rFonts w:hint="eastAsia"/>
          <w:b/>
          <w:sz w:val="28"/>
        </w:rPr>
        <w:lastRenderedPageBreak/>
        <w:t>三、</w:t>
      </w:r>
      <w:r w:rsidR="00B81562" w:rsidRPr="004D71C9">
        <w:rPr>
          <w:rFonts w:hint="eastAsia"/>
          <w:b/>
          <w:sz w:val="28"/>
        </w:rPr>
        <w:t>基金绩效归因</w:t>
      </w:r>
    </w:p>
    <w:p w:rsidR="001A7857" w:rsidRPr="001A7857" w:rsidRDefault="001A7857" w:rsidP="001A7857">
      <w:pPr>
        <w:rPr>
          <w:b/>
        </w:rPr>
      </w:pPr>
      <w:r w:rsidRPr="001A7857">
        <w:rPr>
          <w:rFonts w:hint="eastAsia"/>
          <w:b/>
        </w:rPr>
        <w:t>1</w:t>
      </w:r>
      <w:r>
        <w:rPr>
          <w:b/>
        </w:rPr>
        <w:t xml:space="preserve">. </w:t>
      </w:r>
      <w:r w:rsidRPr="001A7857">
        <w:rPr>
          <w:rFonts w:hint="eastAsia"/>
          <w:b/>
        </w:rPr>
        <w:t>概述</w:t>
      </w:r>
    </w:p>
    <w:p w:rsidR="00462FF6" w:rsidRDefault="00FF3880" w:rsidP="00462FF6">
      <w:pPr>
        <w:ind w:firstLineChars="200" w:firstLine="420"/>
      </w:pPr>
      <w:r>
        <w:rPr>
          <w:rFonts w:hint="eastAsia"/>
        </w:rPr>
        <w:t>基金绩效归因</w:t>
      </w:r>
      <w:r w:rsidR="00462FF6">
        <w:rPr>
          <w:rFonts w:hint="eastAsia"/>
        </w:rPr>
        <w:t>作为</w:t>
      </w:r>
      <w:r>
        <w:rPr>
          <w:rFonts w:hint="eastAsia"/>
        </w:rPr>
        <w:t>分析基金的收益来源</w:t>
      </w:r>
      <w:r w:rsidR="000D1C6C">
        <w:rPr>
          <w:rFonts w:hint="eastAsia"/>
        </w:rPr>
        <w:t>，</w:t>
      </w:r>
      <w:r w:rsidR="00462FF6">
        <w:rPr>
          <w:rFonts w:hint="eastAsia"/>
        </w:rPr>
        <w:t>其目的是</w:t>
      </w:r>
      <w:r w:rsidR="000D1C6C">
        <w:rPr>
          <w:rFonts w:hint="eastAsia"/>
        </w:rPr>
        <w:t>判断基金的操作水平</w:t>
      </w:r>
      <w:r w:rsidR="00D9223B">
        <w:rPr>
          <w:rFonts w:hint="eastAsia"/>
        </w:rPr>
        <w:t>。</w:t>
      </w:r>
      <w:r w:rsidR="00A20C40">
        <w:rPr>
          <w:rFonts w:hint="eastAsia"/>
        </w:rPr>
        <w:t>一方面，</w:t>
      </w:r>
      <w:r w:rsidR="002A1D64">
        <w:rPr>
          <w:rFonts w:hint="eastAsia"/>
        </w:rPr>
        <w:t>可以</w:t>
      </w:r>
      <w:r w:rsidR="00462FF6">
        <w:rPr>
          <w:rFonts w:hint="eastAsia"/>
        </w:rPr>
        <w:t>从基金经理的绝对收益情况整体了解了基金经理</w:t>
      </w:r>
      <w:r w:rsidR="00D64053">
        <w:rPr>
          <w:rFonts w:hint="eastAsia"/>
        </w:rPr>
        <w:t>过去</w:t>
      </w:r>
      <w:r w:rsidR="00462FF6">
        <w:rPr>
          <w:rFonts w:hint="eastAsia"/>
        </w:rPr>
        <w:t>的收益水平</w:t>
      </w:r>
      <w:r w:rsidR="00D64053">
        <w:rPr>
          <w:rFonts w:hint="eastAsia"/>
        </w:rPr>
        <w:t>；另一方面，仍需从基金的绩效归因出发，将操作能力</w:t>
      </w:r>
      <w:r w:rsidR="00462FF6">
        <w:rPr>
          <w:rFonts w:hint="eastAsia"/>
        </w:rPr>
        <w:t>外延到</w:t>
      </w:r>
      <w:r w:rsidR="00D64053">
        <w:rPr>
          <w:rFonts w:hint="eastAsia"/>
        </w:rPr>
        <w:t>对</w:t>
      </w:r>
      <w:r w:rsidR="00462FF6">
        <w:rPr>
          <w:rFonts w:hint="eastAsia"/>
        </w:rPr>
        <w:t>基金未来收益</w:t>
      </w:r>
      <w:r w:rsidR="00D64053">
        <w:rPr>
          <w:rFonts w:hint="eastAsia"/>
        </w:rPr>
        <w:t>的</w:t>
      </w:r>
      <w:r w:rsidR="00462FF6">
        <w:rPr>
          <w:rFonts w:hint="eastAsia"/>
        </w:rPr>
        <w:t>预期。</w:t>
      </w:r>
    </w:p>
    <w:p w:rsidR="00E6105A" w:rsidRDefault="00D9223B" w:rsidP="00462FF6">
      <w:pPr>
        <w:ind w:firstLineChars="200" w:firstLine="420"/>
      </w:pPr>
      <w:r>
        <w:rPr>
          <w:rFonts w:hint="eastAsia"/>
        </w:rPr>
        <w:t>因此，我们从基金持仓、基金报告、基金访谈三方面，对基金</w:t>
      </w:r>
      <w:r w:rsidR="00462FF6">
        <w:rPr>
          <w:rFonts w:hint="eastAsia"/>
        </w:rPr>
        <w:t>经理的收益进行归因，观察其在多种策略上的获利能力。</w:t>
      </w:r>
    </w:p>
    <w:p w:rsidR="001A7857" w:rsidRPr="001A7857" w:rsidRDefault="001A7857" w:rsidP="001A7857">
      <w:pPr>
        <w:rPr>
          <w:b/>
        </w:rPr>
      </w:pPr>
      <w:r w:rsidRPr="001A7857">
        <w:rPr>
          <w:rFonts w:hint="eastAsia"/>
          <w:b/>
        </w:rPr>
        <w:t>2</w:t>
      </w:r>
      <w:r>
        <w:rPr>
          <w:rFonts w:hint="eastAsia"/>
          <w:b/>
        </w:rPr>
        <w:t>.</w:t>
      </w:r>
      <w:r>
        <w:rPr>
          <w:b/>
        </w:rPr>
        <w:t xml:space="preserve"> </w:t>
      </w:r>
      <w:r w:rsidRPr="001A7857">
        <w:rPr>
          <w:rFonts w:hint="eastAsia"/>
          <w:b/>
        </w:rPr>
        <w:t>结构性行情表</w:t>
      </w:r>
    </w:p>
    <w:p w:rsidR="00D82295" w:rsidRDefault="00D82295" w:rsidP="002237B4">
      <w:pPr>
        <w:ind w:firstLineChars="200" w:firstLine="420"/>
      </w:pPr>
      <w:r>
        <w:rPr>
          <w:rFonts w:hint="eastAsia"/>
        </w:rPr>
        <w:t>首先需要明确基金经理接手该基金以来，市场上重大结构性行情</w:t>
      </w:r>
      <w:r w:rsidR="00EA236F">
        <w:rPr>
          <w:rFonts w:hint="eastAsia"/>
        </w:rPr>
        <w:t>，该表是系统长期维护的一张结构行情表</w:t>
      </w:r>
      <w:r>
        <w:rPr>
          <w:rFonts w:hint="eastAsia"/>
        </w:rPr>
        <w:t>：</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34"/>
        <w:gridCol w:w="1134"/>
        <w:gridCol w:w="1985"/>
        <w:gridCol w:w="4536"/>
      </w:tblGrid>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b/>
                <w:color w:val="000000"/>
                <w:kern w:val="0"/>
                <w:sz w:val="18"/>
                <w:szCs w:val="21"/>
              </w:rPr>
            </w:pPr>
            <w:r w:rsidRPr="00EA236F">
              <w:rPr>
                <w:rFonts w:ascii="DengXian" w:eastAsia="DengXian" w:hAnsi="DengXian" w:cs="宋体" w:hint="eastAsia"/>
                <w:b/>
                <w:color w:val="000000"/>
                <w:kern w:val="0"/>
                <w:sz w:val="18"/>
                <w:szCs w:val="21"/>
              </w:rPr>
              <w:t>开始时间</w:t>
            </w:r>
          </w:p>
        </w:tc>
        <w:tc>
          <w:tcPr>
            <w:tcW w:w="1134" w:type="dxa"/>
            <w:shd w:val="clear" w:color="auto" w:fill="auto"/>
            <w:vAlign w:val="center"/>
            <w:hideMark/>
          </w:tcPr>
          <w:p w:rsidR="00EA236F" w:rsidRPr="00EA236F" w:rsidRDefault="00EA236F" w:rsidP="00EA236F">
            <w:pPr>
              <w:widowControl/>
              <w:rPr>
                <w:rFonts w:ascii="DengXian" w:eastAsia="DengXian" w:hAnsi="DengXian" w:cs="宋体"/>
                <w:b/>
                <w:color w:val="000000"/>
                <w:kern w:val="0"/>
                <w:sz w:val="18"/>
                <w:szCs w:val="21"/>
              </w:rPr>
            </w:pPr>
            <w:r w:rsidRPr="00EA236F">
              <w:rPr>
                <w:rFonts w:ascii="DengXian" w:eastAsia="DengXian" w:hAnsi="DengXian" w:cs="宋体" w:hint="eastAsia"/>
                <w:b/>
                <w:color w:val="000000"/>
                <w:kern w:val="0"/>
                <w:sz w:val="18"/>
                <w:szCs w:val="21"/>
              </w:rPr>
              <w:t>结束时间</w:t>
            </w:r>
          </w:p>
        </w:tc>
        <w:tc>
          <w:tcPr>
            <w:tcW w:w="1134" w:type="dxa"/>
            <w:shd w:val="clear" w:color="auto" w:fill="auto"/>
            <w:vAlign w:val="center"/>
            <w:hideMark/>
          </w:tcPr>
          <w:p w:rsidR="00EA236F" w:rsidRPr="00EA236F" w:rsidRDefault="00EA236F" w:rsidP="00EA236F">
            <w:pPr>
              <w:widowControl/>
              <w:rPr>
                <w:rFonts w:ascii="DengXian" w:eastAsia="DengXian" w:hAnsi="DengXian" w:cs="宋体"/>
                <w:b/>
                <w:color w:val="000000"/>
                <w:kern w:val="0"/>
                <w:sz w:val="18"/>
                <w:szCs w:val="21"/>
              </w:rPr>
            </w:pPr>
            <w:r w:rsidRPr="00EA236F">
              <w:rPr>
                <w:rFonts w:ascii="DengXian" w:eastAsia="DengXian" w:hAnsi="DengXian" w:cs="宋体" w:hint="eastAsia"/>
                <w:b/>
                <w:color w:val="000000"/>
                <w:kern w:val="0"/>
                <w:sz w:val="18"/>
                <w:szCs w:val="21"/>
              </w:rPr>
              <w:t>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b/>
                <w:color w:val="000000"/>
                <w:kern w:val="0"/>
                <w:sz w:val="18"/>
                <w:szCs w:val="21"/>
              </w:rPr>
            </w:pPr>
            <w:r w:rsidRPr="00EA236F">
              <w:rPr>
                <w:rFonts w:ascii="DengXian" w:eastAsia="DengXian" w:hAnsi="DengXian" w:cs="宋体" w:hint="eastAsia"/>
                <w:b/>
                <w:color w:val="000000"/>
                <w:kern w:val="0"/>
                <w:sz w:val="18"/>
                <w:szCs w:val="21"/>
              </w:rPr>
              <w:t>涨幅</w:t>
            </w:r>
          </w:p>
        </w:tc>
        <w:tc>
          <w:tcPr>
            <w:tcW w:w="4536" w:type="dxa"/>
            <w:shd w:val="clear" w:color="auto" w:fill="auto"/>
            <w:vAlign w:val="center"/>
            <w:hideMark/>
          </w:tcPr>
          <w:p w:rsidR="00EA236F" w:rsidRPr="00EA236F" w:rsidRDefault="00EA236F" w:rsidP="00EA236F">
            <w:pPr>
              <w:widowControl/>
              <w:rPr>
                <w:rFonts w:ascii="DengXian" w:eastAsia="DengXian" w:hAnsi="DengXian" w:cs="宋体"/>
                <w:b/>
                <w:color w:val="000000"/>
                <w:kern w:val="0"/>
                <w:sz w:val="18"/>
                <w:szCs w:val="21"/>
              </w:rPr>
            </w:pPr>
            <w:r w:rsidRPr="00EA236F">
              <w:rPr>
                <w:rFonts w:ascii="DengXian" w:eastAsia="DengXian" w:hAnsi="DengXian" w:cs="宋体" w:hint="eastAsia"/>
                <w:b/>
                <w:color w:val="000000"/>
                <w:kern w:val="0"/>
                <w:sz w:val="18"/>
                <w:szCs w:val="21"/>
              </w:rPr>
              <w:t>备注</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2019.01.02</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农牧饲鱼</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7300-11800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非洲猪瘟</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2019.04.26</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2019.12.15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农牧饲鱼</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11800-9600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行情回调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2019.12.16</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农牧饲鱼</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9600-15700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非洲猪瘟和疫情</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2021.07.31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农牧饲鱼</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15700-11500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行情回调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2021.08.01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农牧饲鱼</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11500-14500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货币政策偏宽松</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2019.01.02</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2019.03.15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文化传媒</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6500-9000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传媒商誉减值完毕，营收增速</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文化传媒</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8800-6500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市场回调带动估值回调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文化传媒</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6500-9000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5G带动市场</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文化传媒</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宽幅震荡</w:t>
            </w:r>
            <w:r>
              <w:rPr>
                <w:rFonts w:ascii="DengXian" w:eastAsia="DengXian" w:hAnsi="DengXian" w:cs="宋体" w:hint="eastAsia"/>
                <w:color w:val="000000"/>
                <w:kern w:val="0"/>
                <w:sz w:val="18"/>
                <w:szCs w:val="21"/>
              </w:rPr>
              <w:t>，</w:t>
            </w:r>
            <w:r w:rsidRPr="00EA236F">
              <w:rPr>
                <w:rFonts w:ascii="DengXian" w:eastAsia="DengXian" w:hAnsi="DengXian" w:cs="宋体" w:hint="eastAsia"/>
                <w:color w:val="000000"/>
                <w:kern w:val="0"/>
                <w:sz w:val="18"/>
                <w:szCs w:val="21"/>
              </w:rPr>
              <w:t>疫情反复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纺织服装</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行情同文化传媒类似</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航天航空</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27000-50000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普涨行情，南海紧张，军工行情</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航天航空</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50000-34000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军工估值回调，市场行情回调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航天航空</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34000-45000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军工估值中枢上调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贸易行业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7200-10500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市场普涨， 2018年贸易战</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2020.05.25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贸易行业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10500-6250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无业绩支撑，疫情影响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2020.05.25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贸易行业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6250-8500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逐步恢复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房地产开发</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10000-16000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普涨行情，政策宽松</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房地产开发</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16000-12000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房地产融资受限，三条红线</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房地产开发</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12000-15000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政策放松，需要房地产支撑经济</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2022.01.01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游戏</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1200-850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游戏政策收紧</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银行</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2400-3500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普涨行情</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银行</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3500-2700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无</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银行</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2700-3300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银行</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3300-2700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包装材料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381-1000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绿色消费</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2020.05.01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2022.01.01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光学光电子</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震荡上行，VR，mini LED</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2022.01.01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光学光电子</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1300-1000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市场普跌，估值较高</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水泥建材</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16000-23500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市场普涨，</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水泥建材</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23500-18000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市场回调带动股指回调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lastRenderedPageBreak/>
              <w:t>2019.08.20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水泥建材</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18000-31500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货币政策宽松，疫情影响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水泥建材</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24000-30000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高位震荡</w:t>
            </w:r>
            <w:r>
              <w:rPr>
                <w:rFonts w:ascii="DengXian" w:eastAsia="DengXian" w:hAnsi="DengXian" w:cs="宋体" w:hint="eastAsia"/>
                <w:color w:val="000000"/>
                <w:kern w:val="0"/>
                <w:sz w:val="18"/>
                <w:szCs w:val="21"/>
              </w:rPr>
              <w:t>，</w:t>
            </w:r>
            <w:r w:rsidRPr="00EA236F">
              <w:rPr>
                <w:rFonts w:ascii="DengXian" w:eastAsia="DengXian" w:hAnsi="DengXian" w:cs="宋体" w:hint="eastAsia"/>
                <w:color w:val="000000"/>
                <w:kern w:val="0"/>
                <w:sz w:val="18"/>
                <w:szCs w:val="21"/>
              </w:rPr>
              <w:t>受房地产政策影响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家用轻工</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同房地产，水泥建材相似周期</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2021.12.01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电机</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驱动电机，新能源行情</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2021.12.01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电机</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1700-1250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板块回调，新能源回调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石油行业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3700-3200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延续双控目标，油价下跌</w:t>
            </w:r>
          </w:p>
        </w:tc>
      </w:tr>
      <w:tr w:rsidR="00EA236F" w:rsidRPr="00EA236F" w:rsidTr="00EA236F">
        <w:trPr>
          <w:trHeight w:val="66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石油行业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3200-5000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双控转双碳，油价回暖，俄乌战争，下游行业的优质板块带动板块分化</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2021.02.04</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铁路公路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5300-4300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估值回调，疫情</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2021.02.04</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铁路公路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4300-5800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市场恢复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交运设备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同铁路公路类似，近期上涨不如铁路公路好</w:t>
            </w:r>
          </w:p>
        </w:tc>
      </w:tr>
      <w:tr w:rsidR="00EA236F" w:rsidRPr="00EA236F" w:rsidTr="00EA236F">
        <w:trPr>
          <w:trHeight w:val="98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化纤行业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2021年9月过后随新能源行情下跌而下跌</w:t>
            </w:r>
            <w:r w:rsidRPr="00EA236F">
              <w:rPr>
                <w:rFonts w:ascii="DengXian" w:eastAsia="DengXian" w:hAnsi="DengXian" w:cs="宋体" w:hint="eastAsia"/>
                <w:color w:val="000000"/>
                <w:kern w:val="0"/>
                <w:sz w:val="18"/>
                <w:szCs w:val="21"/>
              </w:rPr>
              <w:br/>
              <w:t>化纤行业中恒力石化，桐昆股份这批传统化纤行业2021年进入下行通道；</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2021.10.01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2021.12.22</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汽车服务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单边上涨</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2021.12.22</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汽车服务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1200-920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局部回调，同能源节奏同步</w:t>
            </w:r>
          </w:p>
        </w:tc>
      </w:tr>
      <w:tr w:rsidR="00EA236F" w:rsidRPr="00EA236F" w:rsidTr="00EA236F">
        <w:trPr>
          <w:trHeight w:val="66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2021.10.01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公用事业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5200-8100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单边上行，双碳目标，短期节奏明显，其余时间均处于震荡或调整</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2021.09.24</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燃气</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1000-1600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双碳清洁能源，和公用事业类似</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化肥行业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520-1750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强单边上行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化肥行业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1750-1400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调整-&gt;震荡，近期上涨受俄乌影响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保险</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2019年初和2020年年中行情，其余下跌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多元金融</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同上</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商业百货</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同上</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珠宝首饰</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同上</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证券</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同上</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钢铁行业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4500-10676</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强单边上行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钢铁行业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10676-7316</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教育</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装修装饰</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旅游酒店</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美容护理</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1000-1250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美容护理</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1250-800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单边下行</w:t>
            </w:r>
          </w:p>
        </w:tc>
      </w:tr>
      <w:tr w:rsidR="00EA236F" w:rsidRPr="00EA236F" w:rsidTr="00EA236F">
        <w:trPr>
          <w:trHeight w:val="66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2020.04.01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物流行业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4200-6400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震荡上行（其中包含2020年9月到2021年2月单边下行5600-4700）</w:t>
            </w:r>
          </w:p>
        </w:tc>
      </w:tr>
      <w:tr w:rsidR="00EA236F" w:rsidRPr="00EA236F" w:rsidTr="00EA236F">
        <w:trPr>
          <w:trHeight w:val="130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贵金属</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600(2019.01.01)-800(2019.04.10)-550(2020.03.15)-850(2020.08.10)-550(2021.02.05)-750(2022.03.01)</w:t>
            </w:r>
            <w:r w:rsidRPr="00EA236F">
              <w:rPr>
                <w:rFonts w:ascii="DengXian" w:eastAsia="DengXian" w:hAnsi="DengXian" w:cs="宋体" w:hint="eastAsia"/>
                <w:color w:val="000000"/>
                <w:kern w:val="0"/>
                <w:sz w:val="18"/>
                <w:szCs w:val="21"/>
              </w:rPr>
              <w:br/>
              <w:t>宏观经济和国际政治的反复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2021.05.15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电子化学品</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900-1300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半导体上游</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lastRenderedPageBreak/>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仪器仪表</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5100-11600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震荡持续上行（小而美行业）</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造纸印刷</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4500-8300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震荡持续上行（造纸业有点白酒风格）</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农药兽药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625-1100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塑料制品</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5500-13000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装修材料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9200-16000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综合行业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工程机械</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450-1200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玻璃玻纤</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14300-45600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单边上行至2021.09.17，之后震荡</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2021.10.01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能源金属</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局部高点，仍可上涨，宽幅震荡</w:t>
            </w:r>
          </w:p>
        </w:tc>
      </w:tr>
      <w:tr w:rsidR="00EA236F" w:rsidRPr="00EA236F" w:rsidTr="00EA236F">
        <w:trPr>
          <w:trHeight w:val="66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小金属</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1000-1960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同能源金属类似，2021年9月和2021年12月分别出现两个高点</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电源设备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1000-1900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2021年11月25日-2021年12月25日处在高点</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2021.12.25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电源设备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1900-1500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震荡调整下行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工程咨询服务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r>
      <w:tr w:rsidR="00EA236F" w:rsidRPr="00EA236F" w:rsidTr="00EA236F">
        <w:trPr>
          <w:trHeight w:val="98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航空机场</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3500(2019.01.01)-5000(2019.04.10)-3500(2020.03.15)-5000(至今)</w:t>
            </w:r>
            <w:r w:rsidRPr="00EA236F">
              <w:rPr>
                <w:rFonts w:ascii="DengXian" w:eastAsia="DengXian" w:hAnsi="DengXian" w:cs="宋体" w:hint="eastAsia"/>
                <w:color w:val="000000"/>
                <w:kern w:val="0"/>
                <w:sz w:val="18"/>
                <w:szCs w:val="21"/>
              </w:rPr>
              <w:br/>
              <w:t>疫情关联明显</w:t>
            </w:r>
          </w:p>
        </w:tc>
      </w:tr>
      <w:tr w:rsidR="00EA236F" w:rsidRPr="00EA236F" w:rsidTr="00EA236F">
        <w:trPr>
          <w:trHeight w:val="98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食品饮料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10750-16000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食品饮料2018年下半年杀跌明显，15000下跌到10750；2018.10.25至2919.04.20单边上涨实现估值修复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2019.12.15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食品饮料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窄幅震荡</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2019.12.15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食品饮料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16000-29000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单边上涨，货币政策宽松+基本面不景气</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食品饮料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23000-29000高位宽幅震荡</w:t>
            </w:r>
          </w:p>
        </w:tc>
      </w:tr>
      <w:tr w:rsidR="00EA236F" w:rsidRPr="00EA236F" w:rsidTr="00EA236F">
        <w:trPr>
          <w:trHeight w:val="66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2020.09.04</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计算机设备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600-1200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震荡上行，2020年2月1100下跌至850，而后上涨至1200，说明其兼具价值和成长特性</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2020.09.04</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计算机设备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900-1200宽幅震荡</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煤炭行业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4000横盘</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煤炭行业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4000-11250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双控，能源带动板块连续单边上涨</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2021.11.11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煤炭行业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7700-9700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稳增长</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非金属材料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同能源、新能源、锂电、材料类似</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通信服务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700-1475</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通信服务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1475-800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5G限制和疫情影响单边下行（今年震荡）</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通用设备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2021.04.01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2021.08.01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半导体</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900-1800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单边上行，成长股行情</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2021.08.01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半导体</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1800-1200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震荡下行，未企稳</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航运港口</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5500-8300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估值修复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航运港口</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8300-6000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震荡下行，回调+疫情导致出口下降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航运港口</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6000-7700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医药商业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900-1100震荡</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lastRenderedPageBreak/>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医疗服务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600-1850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行情同食品饮料类似，</w:t>
            </w:r>
            <w:proofErr w:type="spellStart"/>
            <w:r w:rsidRPr="00EA236F">
              <w:rPr>
                <w:rFonts w:ascii="DengXian" w:eastAsia="DengXian" w:hAnsi="DengXian" w:cs="宋体" w:hint="eastAsia"/>
                <w:color w:val="000000"/>
                <w:kern w:val="0"/>
                <w:sz w:val="18"/>
                <w:szCs w:val="21"/>
              </w:rPr>
              <w:t>cxo</w:t>
            </w:r>
            <w:proofErr w:type="spellEnd"/>
            <w:r w:rsidRPr="00EA236F">
              <w:rPr>
                <w:rFonts w:ascii="DengXian" w:eastAsia="DengXian" w:hAnsi="DengXian" w:cs="宋体" w:hint="eastAsia"/>
                <w:color w:val="000000"/>
                <w:kern w:val="0"/>
                <w:sz w:val="18"/>
                <w:szCs w:val="21"/>
              </w:rPr>
              <w:t>大爆发</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医疗服务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1850-1350-1800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回调到2021年2月份过后二次达到高点</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医疗服务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1800-1300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再次回调，近期有企稳迹象</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电子元件</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7250-23120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震荡持续向上，年后回调明显至18000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家电行业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7200-17300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震荡持续向上，年后回调明显至14000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汽车零部件</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12000-30000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震荡持续向上，年后回调明显至24000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2021.04.01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消费电子</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900-1200宽幅震荡（具有较强的消费属性）</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化学原料</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900-1050窄幅震荡（具有较强的消费属性）</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工程建设</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11500-18000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估值修复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2021.02.18</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工程建设</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18000-13500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估值回调</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2021.02.18</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工程建设</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13500-21600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震荡上行，疫情恢复，新基建</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风电设备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830-1950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清洁能源单边上行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风电设备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1950-1300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震荡下行行情</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2019.04.20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通信设备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5750-11000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单边上行估值修复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2020.07.13</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2021.02.08</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通信设备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11000-7500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单边下行行情，疫情+国际贸易环境恶化</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2021.02.08</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通信设备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7500-10000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缓慢恢复</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电网设备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8146-24500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震荡持续向上，年后回调明显至19000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2021.04.01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2021.07.01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中药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950-1200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单边上行，各省将中药纳入新冠治疗药物</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2022.01.10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中药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1100-1600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业绩回升，估值相对较低</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2022.01.10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中药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跌至2月8日的1250，又重新涨至1550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软件开发</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470-1000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2021.05.15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软件开发</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2021.05.15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软件开发</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700-900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震荡上行，年后持续下跌至750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专用设备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750-2200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震荡持续上行，年后有所下滑至1850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有色金属</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7400-17700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单边上行，双控双碳</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有色金属</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17700-14000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震荡下行，加息预期</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2022.01.01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电池</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1000-1900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单边上行，双控双碳</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2022.01.01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电池</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1900-1450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单边下行，加息预期</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电力行业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同有色金属类似</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2021.12.01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生物制品</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1000-850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汽车整车</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920-1400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汽车整车</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1400-1000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化学制品</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9260-27500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前期震荡上行，2020.07.01后单边上行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2021.09.17</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化学制品</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27500-23000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2018.10.25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互联网服务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8700-20200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2020.07.15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2021.05.15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互联网服务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20200-14500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2021.05.15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互联网服务</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14500-20000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震荡上行，年后震荡下跌至17000</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2019.12.01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化学制药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20000-32000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2020.08.10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2021.02.05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化学制药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32000-24500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lastRenderedPageBreak/>
              <w:t>2021.02.05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化学制药</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24500-32000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医疗器械</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 xml:space="preserve">　</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900-1250宽幅震荡</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2021.05.15</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光伏设备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875-2200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2021.11.30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光伏设备</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2200-1700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2020.03.23</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2020.12.31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酿酒行业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24500-60000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2021.01.01</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酿酒行业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60000-45000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单边下行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2021.03.10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酿酒行业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45000-73000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单边上行</w:t>
            </w:r>
          </w:p>
        </w:tc>
      </w:tr>
      <w:tr w:rsidR="00EA236F" w:rsidRPr="00EA236F" w:rsidTr="00EA236F">
        <w:trPr>
          <w:trHeight w:val="340"/>
          <w:jc w:val="center"/>
        </w:trPr>
        <w:tc>
          <w:tcPr>
            <w:tcW w:w="1129"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2021.06.10</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至今</w:t>
            </w:r>
          </w:p>
        </w:tc>
        <w:tc>
          <w:tcPr>
            <w:tcW w:w="1134"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酿酒行业</w:t>
            </w:r>
          </w:p>
        </w:tc>
        <w:tc>
          <w:tcPr>
            <w:tcW w:w="1985"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73000-55000</w:t>
            </w:r>
          </w:p>
        </w:tc>
        <w:tc>
          <w:tcPr>
            <w:tcW w:w="4536" w:type="dxa"/>
            <w:shd w:val="clear" w:color="auto" w:fill="auto"/>
            <w:vAlign w:val="center"/>
            <w:hideMark/>
          </w:tcPr>
          <w:p w:rsidR="00EA236F" w:rsidRPr="00EA236F" w:rsidRDefault="00EA236F" w:rsidP="00EA236F">
            <w:pPr>
              <w:widowControl/>
              <w:rPr>
                <w:rFonts w:ascii="DengXian" w:eastAsia="DengXian" w:hAnsi="DengXian" w:cs="宋体"/>
                <w:color w:val="000000"/>
                <w:kern w:val="0"/>
                <w:sz w:val="18"/>
                <w:szCs w:val="21"/>
              </w:rPr>
            </w:pPr>
            <w:r w:rsidRPr="00EA236F">
              <w:rPr>
                <w:rFonts w:ascii="DengXian" w:eastAsia="DengXian" w:hAnsi="DengXian" w:cs="宋体" w:hint="eastAsia"/>
                <w:color w:val="000000"/>
                <w:kern w:val="0"/>
                <w:sz w:val="18"/>
                <w:szCs w:val="21"/>
              </w:rPr>
              <w:t>震荡下行</w:t>
            </w:r>
          </w:p>
        </w:tc>
      </w:tr>
    </w:tbl>
    <w:p w:rsidR="00F25226" w:rsidRPr="001A7857" w:rsidRDefault="001A7857" w:rsidP="00D82295">
      <w:pPr>
        <w:rPr>
          <w:b/>
        </w:rPr>
      </w:pPr>
      <w:r w:rsidRPr="001A7857">
        <w:rPr>
          <w:rFonts w:hint="eastAsia"/>
          <w:b/>
        </w:rPr>
        <w:t>3</w:t>
      </w:r>
      <w:r w:rsidRPr="001A7857">
        <w:rPr>
          <w:b/>
        </w:rPr>
        <w:t xml:space="preserve">. </w:t>
      </w:r>
      <w:r w:rsidRPr="001A7857">
        <w:rPr>
          <w:rFonts w:hint="eastAsia"/>
          <w:b/>
        </w:rPr>
        <w:t>分年度绩效归因</w:t>
      </w:r>
    </w:p>
    <w:p w:rsidR="00D82295" w:rsidRDefault="00B63D91" w:rsidP="001A7857">
      <w:pPr>
        <w:ind w:firstLineChars="200" w:firstLine="420"/>
      </w:pPr>
      <w:r>
        <w:rPr>
          <w:rFonts w:hint="eastAsia"/>
        </w:rPr>
        <w:t>结合基金持仓数据、基金</w:t>
      </w:r>
      <w:r w:rsidR="00F25226">
        <w:rPr>
          <w:rFonts w:hint="eastAsia"/>
        </w:rPr>
        <w:t>报告</w:t>
      </w:r>
      <w:r w:rsidR="0018650A">
        <w:rPr>
          <w:rFonts w:hint="eastAsia"/>
        </w:rPr>
        <w:t>、基金访谈</w:t>
      </w:r>
      <w:r>
        <w:rPr>
          <w:rFonts w:hint="eastAsia"/>
        </w:rPr>
        <w:t>数据</w:t>
      </w:r>
      <w:r w:rsidR="0018650A">
        <w:rPr>
          <w:rFonts w:hint="eastAsia"/>
        </w:rPr>
        <w:t>，我们分年度来分析基金经理的绩效归因</w:t>
      </w:r>
      <w:r>
        <w:rPr>
          <w:rFonts w:hint="eastAsia"/>
        </w:rPr>
        <w:t>：</w:t>
      </w:r>
    </w:p>
    <w:p w:rsidR="000E17A8" w:rsidRPr="001A7857" w:rsidRDefault="001A7857" w:rsidP="001A7857">
      <w:pPr>
        <w:rPr>
          <w:b/>
        </w:rPr>
      </w:pPr>
      <w:r w:rsidRPr="001A7857">
        <w:rPr>
          <w:rFonts w:hint="eastAsia"/>
          <w:b/>
        </w:rPr>
        <w:t>（1）</w:t>
      </w:r>
      <w:r w:rsidR="000E17A8" w:rsidRPr="001A7857">
        <w:rPr>
          <w:rFonts w:hint="eastAsia"/>
          <w:b/>
        </w:rPr>
        <w:t>2</w:t>
      </w:r>
      <w:r w:rsidR="000E17A8" w:rsidRPr="001A7857">
        <w:rPr>
          <w:b/>
        </w:rPr>
        <w:t>019</w:t>
      </w:r>
      <w:r w:rsidR="000E17A8" w:rsidRPr="001A7857">
        <w:rPr>
          <w:rFonts w:hint="eastAsia"/>
          <w:b/>
        </w:rPr>
        <w:t>年：</w:t>
      </w:r>
    </w:p>
    <w:p w:rsidR="001E5F78" w:rsidRDefault="001E5F78" w:rsidP="001A7857">
      <w:pPr>
        <w:pStyle w:val="a4"/>
        <w:numPr>
          <w:ilvl w:val="0"/>
          <w:numId w:val="3"/>
        </w:numPr>
        <w:ind w:firstLineChars="0"/>
      </w:pPr>
      <w:r>
        <w:rPr>
          <w:rFonts w:hint="eastAsia"/>
        </w:rPr>
        <w:t>收益情况：</w:t>
      </w:r>
    </w:p>
    <w:p w:rsidR="00107D02" w:rsidRDefault="0018650A" w:rsidP="001A7857">
      <w:pPr>
        <w:ind w:firstLineChars="200" w:firstLine="420"/>
      </w:pPr>
      <w:r>
        <w:rPr>
          <w:rFonts w:hint="eastAsia"/>
        </w:rPr>
        <w:t>市场在</w:t>
      </w:r>
      <w:r w:rsidR="00B63D91">
        <w:t>2019</w:t>
      </w:r>
      <w:r w:rsidR="00B63D91">
        <w:rPr>
          <w:rFonts w:hint="eastAsia"/>
        </w:rPr>
        <w:t>年</w:t>
      </w:r>
      <w:r>
        <w:rPr>
          <w:rFonts w:hint="eastAsia"/>
        </w:rPr>
        <w:t>基本都实现了正收益</w:t>
      </w:r>
      <w:r w:rsidR="00107D02">
        <w:rPr>
          <w:rFonts w:hint="eastAsia"/>
        </w:rPr>
        <w:t>，</w:t>
      </w:r>
      <w:r>
        <w:rPr>
          <w:rFonts w:hint="eastAsia"/>
        </w:rPr>
        <w:t>一季度全市场基本都实现了普涨，本基金在这一时期博取收益能力强，</w:t>
      </w:r>
      <w:r w:rsidR="000E17A8">
        <w:rPr>
          <w:rFonts w:hint="eastAsia"/>
        </w:rPr>
        <w:t>基本与大盘相当，</w:t>
      </w:r>
      <w:r>
        <w:rPr>
          <w:rFonts w:hint="eastAsia"/>
        </w:rPr>
        <w:t>随后的第二季度出现了1</w:t>
      </w:r>
      <w:r>
        <w:t>0%</w:t>
      </w:r>
      <w:r>
        <w:rPr>
          <w:rFonts w:hint="eastAsia"/>
        </w:rPr>
        <w:t>左右的回撤，小于市场的1</w:t>
      </w:r>
      <w:r>
        <w:t>3.5%</w:t>
      </w:r>
      <w:r w:rsidR="000E17A8">
        <w:rPr>
          <w:rFonts w:hint="eastAsia"/>
        </w:rPr>
        <w:t>；而后在下半年，本基金的收益稳步超过沪深3</w:t>
      </w:r>
      <w:r w:rsidR="000E17A8">
        <w:t>00</w:t>
      </w:r>
      <w:r w:rsidR="000E17A8">
        <w:rPr>
          <w:rFonts w:hint="eastAsia"/>
        </w:rPr>
        <w:t>和混合型基金平均水平。</w:t>
      </w:r>
    </w:p>
    <w:p w:rsidR="00CA4D2E" w:rsidRDefault="00CA4D2E" w:rsidP="00CA4D2E">
      <w:pPr>
        <w:rPr>
          <w:rFonts w:hint="eastAsia"/>
        </w:rPr>
      </w:pPr>
      <w:r w:rsidRPr="00CA4D2E">
        <w:drawing>
          <wp:inline distT="0" distB="0" distL="0" distR="0" wp14:anchorId="3118A239" wp14:editId="19142872">
            <wp:extent cx="5270500" cy="16141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614170"/>
                    </a:xfrm>
                    <a:prstGeom prst="rect">
                      <a:avLst/>
                    </a:prstGeom>
                  </pic:spPr>
                </pic:pic>
              </a:graphicData>
            </a:graphic>
          </wp:inline>
        </w:drawing>
      </w:r>
    </w:p>
    <w:p w:rsidR="00107D02" w:rsidRDefault="000E17A8" w:rsidP="001A7857">
      <w:pPr>
        <w:pStyle w:val="a4"/>
        <w:numPr>
          <w:ilvl w:val="0"/>
          <w:numId w:val="3"/>
        </w:numPr>
        <w:ind w:firstLineChars="0"/>
      </w:pPr>
      <w:r>
        <w:rPr>
          <w:rFonts w:hint="eastAsia"/>
        </w:rPr>
        <w:t>业绩归因</w:t>
      </w:r>
      <w:r w:rsidR="001E5F78">
        <w:rPr>
          <w:rFonts w:hint="eastAsia"/>
        </w:rPr>
        <w:t>情况</w:t>
      </w:r>
      <w:r w:rsidR="009045E4">
        <w:rPr>
          <w:rFonts w:hint="eastAsia"/>
        </w:rPr>
        <w:t>：</w:t>
      </w:r>
    </w:p>
    <w:p w:rsidR="0003289A" w:rsidRDefault="009045E4" w:rsidP="001A7857">
      <w:pPr>
        <w:ind w:firstLineChars="200" w:firstLine="420"/>
      </w:pPr>
      <w:r>
        <w:rPr>
          <w:rFonts w:hint="eastAsia"/>
        </w:rPr>
        <w:t>2</w:t>
      </w:r>
      <w:r>
        <w:t>019</w:t>
      </w:r>
      <w:r>
        <w:rPr>
          <w:rFonts w:hint="eastAsia"/>
        </w:rPr>
        <w:t>年基金靠</w:t>
      </w:r>
      <w:r w:rsidR="001D4C33">
        <w:t>50-</w:t>
      </w:r>
      <w:r w:rsidR="00F466AA">
        <w:t>7</w:t>
      </w:r>
      <w:r w:rsidR="001D4C33">
        <w:t>0</w:t>
      </w:r>
      <w:r>
        <w:t>%</w:t>
      </w:r>
      <w:r>
        <w:rPr>
          <w:rFonts w:hint="eastAsia"/>
        </w:rPr>
        <w:t>的仓位全年实现了近5</w:t>
      </w:r>
      <w:r>
        <w:t>0%</w:t>
      </w:r>
      <w:r>
        <w:rPr>
          <w:rFonts w:hint="eastAsia"/>
        </w:rPr>
        <w:t>的收益，其股票</w:t>
      </w:r>
      <w:r w:rsidR="00107D02">
        <w:rPr>
          <w:rFonts w:hint="eastAsia"/>
        </w:rPr>
        <w:t>持仓</w:t>
      </w:r>
      <w:r>
        <w:rPr>
          <w:rFonts w:hint="eastAsia"/>
        </w:rPr>
        <w:t>收益博取能力强。</w:t>
      </w:r>
    </w:p>
    <w:p w:rsidR="008204E7" w:rsidRDefault="008204E7" w:rsidP="008204E7">
      <w:pPr>
        <w:ind w:firstLineChars="200" w:firstLine="420"/>
        <w:rPr>
          <w:b/>
        </w:rPr>
      </w:pPr>
      <w:r w:rsidRPr="008204E7">
        <w:rPr>
          <w:rFonts w:hint="eastAsia"/>
          <w:b/>
        </w:rPr>
        <w:t>分季度：</w:t>
      </w:r>
    </w:p>
    <w:p w:rsidR="000E17A8" w:rsidRPr="008204E7" w:rsidRDefault="009045E4" w:rsidP="008204E7">
      <w:pPr>
        <w:ind w:firstLineChars="200" w:firstLine="420"/>
        <w:rPr>
          <w:b/>
        </w:rPr>
      </w:pPr>
      <w:r>
        <w:rPr>
          <w:rFonts w:hint="eastAsia"/>
        </w:rPr>
        <w:t>一季度</w:t>
      </w:r>
      <w:r w:rsidR="00F83A01">
        <w:rPr>
          <w:rFonts w:hint="eastAsia"/>
        </w:rPr>
        <w:t>初</w:t>
      </w:r>
      <w:r>
        <w:rPr>
          <w:rFonts w:hint="eastAsia"/>
        </w:rPr>
        <w:t>就调整到了比较</w:t>
      </w:r>
      <w:r w:rsidRPr="001A7857">
        <w:rPr>
          <w:rFonts w:hint="eastAsia"/>
        </w:rPr>
        <w:t>激进的仓位</w:t>
      </w:r>
      <w:r>
        <w:rPr>
          <w:rFonts w:hint="eastAsia"/>
        </w:rPr>
        <w:t>，减持了采掘</w:t>
      </w:r>
      <w:r w:rsidR="00107D02">
        <w:rPr>
          <w:rFonts w:hint="eastAsia"/>
        </w:rPr>
        <w:t>、</w:t>
      </w:r>
      <w:r>
        <w:rPr>
          <w:rFonts w:hint="eastAsia"/>
        </w:rPr>
        <w:t>有色</w:t>
      </w:r>
      <w:r w:rsidR="00107D02">
        <w:rPr>
          <w:rFonts w:hint="eastAsia"/>
        </w:rPr>
        <w:t>、公用事业等</w:t>
      </w:r>
      <w:r w:rsidR="00107D02" w:rsidRPr="00CA4D2E">
        <w:rPr>
          <w:rFonts w:hint="eastAsia"/>
          <w:b/>
        </w:rPr>
        <w:t>防御板块</w:t>
      </w:r>
      <w:r>
        <w:rPr>
          <w:rFonts w:hint="eastAsia"/>
        </w:rPr>
        <w:t>，增持了</w:t>
      </w:r>
      <w:r w:rsidR="008204E7">
        <w:rPr>
          <w:rFonts w:hint="eastAsia"/>
        </w:rPr>
        <w:t>金融、周期、</w:t>
      </w:r>
      <w:r w:rsidR="00107D02">
        <w:rPr>
          <w:rFonts w:hint="eastAsia"/>
        </w:rPr>
        <w:t>科技与医药股</w:t>
      </w:r>
      <w:r w:rsidR="008204E7">
        <w:rPr>
          <w:rFonts w:hint="eastAsia"/>
        </w:rPr>
        <w:t>这类</w:t>
      </w:r>
      <w:r w:rsidR="008204E7" w:rsidRPr="00CA4D2E">
        <w:rPr>
          <w:rFonts w:hint="eastAsia"/>
          <w:b/>
        </w:rPr>
        <w:t>beta较大的股票</w:t>
      </w:r>
      <w:r w:rsidR="00107D02">
        <w:rPr>
          <w:rFonts w:hint="eastAsia"/>
        </w:rPr>
        <w:t>，月末增配了银行以应对后续可能出现的回调。</w:t>
      </w:r>
      <w:r w:rsidR="001E2685">
        <w:rPr>
          <w:rFonts w:hint="eastAsia"/>
        </w:rPr>
        <w:t>这个季度依靠</w:t>
      </w:r>
      <w:r w:rsidR="001D4C33">
        <w:t>5</w:t>
      </w:r>
      <w:r w:rsidR="005C2079">
        <w:t>0</w:t>
      </w:r>
      <w:r w:rsidR="001D4C33">
        <w:t>-60</w:t>
      </w:r>
      <w:r w:rsidR="001E2685">
        <w:t>%</w:t>
      </w:r>
      <w:r w:rsidR="001E2685">
        <w:rPr>
          <w:rFonts w:hint="eastAsia"/>
        </w:rPr>
        <w:t>的仓位获取近4</w:t>
      </w:r>
      <w:r w:rsidR="001E2685">
        <w:t>0%</w:t>
      </w:r>
      <w:r w:rsidR="001E2685">
        <w:rPr>
          <w:rFonts w:hint="eastAsia"/>
        </w:rPr>
        <w:t>的收益，股票平均的区间收益</w:t>
      </w:r>
      <w:r w:rsidR="005C2079">
        <w:rPr>
          <w:rFonts w:hint="eastAsia"/>
        </w:rPr>
        <w:t>超过</w:t>
      </w:r>
      <w:r w:rsidR="001D4C33">
        <w:t>65</w:t>
      </w:r>
      <w:r w:rsidR="001E2685">
        <w:t>%</w:t>
      </w:r>
      <w:r w:rsidR="001E2685">
        <w:rPr>
          <w:rFonts w:hint="eastAsia"/>
        </w:rPr>
        <w:t>，据经理介绍，其在期间持有过的</w:t>
      </w:r>
      <w:r w:rsidR="001E2685">
        <w:t>禽类养殖股</w:t>
      </w:r>
      <w:r w:rsidR="001E2685">
        <w:rPr>
          <w:rFonts w:hint="eastAsia"/>
        </w:rPr>
        <w:t>、医药股、科技股</w:t>
      </w:r>
      <w:r w:rsidR="00B33DD5">
        <w:rPr>
          <w:rFonts w:hint="eastAsia"/>
        </w:rPr>
        <w:t>的收益贡献超过6</w:t>
      </w:r>
      <w:r w:rsidR="00B33DD5">
        <w:t>0%</w:t>
      </w:r>
      <w:r w:rsidR="001E2685">
        <w:rPr>
          <w:rFonts w:hint="eastAsia"/>
        </w:rPr>
        <w:t>。</w:t>
      </w:r>
    </w:p>
    <w:p w:rsidR="00012C1F" w:rsidRDefault="00107D02" w:rsidP="001A7857">
      <w:pPr>
        <w:ind w:firstLineChars="200" w:firstLine="420"/>
      </w:pPr>
      <w:r>
        <w:rPr>
          <w:rFonts w:hint="eastAsia"/>
        </w:rPr>
        <w:t>二季度</w:t>
      </w:r>
      <w:r w:rsidR="008204E7">
        <w:rPr>
          <w:rFonts w:hint="eastAsia"/>
        </w:rPr>
        <w:t>，</w:t>
      </w:r>
      <w:r>
        <w:rPr>
          <w:rFonts w:hint="eastAsia"/>
        </w:rPr>
        <w:t>经理</w:t>
      </w:r>
      <w:r w:rsidR="001E2685">
        <w:rPr>
          <w:rFonts w:hint="eastAsia"/>
        </w:rPr>
        <w:t>在市场第一次出现高点的4月8日就开始有序减持</w:t>
      </w:r>
      <w:r>
        <w:rPr>
          <w:rFonts w:hint="eastAsia"/>
        </w:rPr>
        <w:t>化工、交运、房地产和非银金融板块，开始更换</w:t>
      </w:r>
      <w:r w:rsidR="0003289A">
        <w:rPr>
          <w:rFonts w:hint="eastAsia"/>
        </w:rPr>
        <w:t>策略为均衡配置</w:t>
      </w:r>
      <w:r w:rsidR="00FD2F9C">
        <w:rPr>
          <w:rFonts w:hint="eastAsia"/>
        </w:rPr>
        <w:t>，以</w:t>
      </w:r>
      <w:r w:rsidR="0003289A">
        <w:rPr>
          <w:rFonts w:hint="eastAsia"/>
        </w:rPr>
        <w:t>降低组合波动</w:t>
      </w:r>
      <w:r w:rsidR="001E2685">
        <w:rPr>
          <w:rFonts w:hint="eastAsia"/>
        </w:rPr>
        <w:t>。</w:t>
      </w:r>
      <w:r w:rsidR="008204E7">
        <w:rPr>
          <w:rFonts w:hint="eastAsia"/>
        </w:rPr>
        <w:t>在之后的几个季度，银行一直作为稳定的底仓</w:t>
      </w:r>
      <w:r w:rsidR="004D1801">
        <w:rPr>
          <w:rFonts w:hint="eastAsia"/>
        </w:rPr>
        <w:t>，</w:t>
      </w:r>
      <w:r w:rsidR="008204E7">
        <w:rPr>
          <w:rFonts w:hint="eastAsia"/>
        </w:rPr>
        <w:t>以应对可能出现的风险。同时，</w:t>
      </w:r>
      <w:r w:rsidR="00B33DD5">
        <w:rPr>
          <w:rFonts w:hint="eastAsia"/>
        </w:rPr>
        <w:t>期间持有的大多数行业及个股都具有非常强的防御性，跌幅均在1</w:t>
      </w:r>
      <w:r w:rsidR="00B33DD5">
        <w:t>0%</w:t>
      </w:r>
      <w:r w:rsidR="00B33DD5">
        <w:rPr>
          <w:rFonts w:hint="eastAsia"/>
        </w:rPr>
        <w:t>以内</w:t>
      </w:r>
      <w:r w:rsidR="004D1801">
        <w:rPr>
          <w:rFonts w:hint="eastAsia"/>
        </w:rPr>
        <w:t>。</w:t>
      </w:r>
      <w:r w:rsidR="00DB4032">
        <w:rPr>
          <w:rFonts w:hint="eastAsia"/>
        </w:rPr>
        <w:t>化工和交运板块在4月2</w:t>
      </w:r>
      <w:r w:rsidR="00DB4032">
        <w:t>0</w:t>
      </w:r>
      <w:r w:rsidR="00DB4032">
        <w:rPr>
          <w:rFonts w:hint="eastAsia"/>
        </w:rPr>
        <w:t>日后迅速回调，</w:t>
      </w:r>
      <w:r w:rsidR="00B33DD5">
        <w:rPr>
          <w:rFonts w:hint="eastAsia"/>
        </w:rPr>
        <w:t>而</w:t>
      </w:r>
      <w:r w:rsidR="00DB4032">
        <w:rPr>
          <w:rFonts w:hint="eastAsia"/>
        </w:rPr>
        <w:t>这部分负贡献是二季度</w:t>
      </w:r>
      <w:r w:rsidR="00B33DD5">
        <w:rPr>
          <w:rFonts w:hint="eastAsia"/>
        </w:rPr>
        <w:t>回撤的主要</w:t>
      </w:r>
      <w:r w:rsidR="001A71C9">
        <w:rPr>
          <w:rFonts w:hint="eastAsia"/>
        </w:rPr>
        <w:t>原因</w:t>
      </w:r>
      <w:r w:rsidR="00B33DD5">
        <w:rPr>
          <w:rFonts w:hint="eastAsia"/>
        </w:rPr>
        <w:t>。</w:t>
      </w:r>
    </w:p>
    <w:p w:rsidR="00CA4D2E" w:rsidRDefault="001E2685" w:rsidP="00CA4D2E">
      <w:pPr>
        <w:ind w:firstLineChars="200" w:firstLine="420"/>
        <w:rPr>
          <w:rFonts w:hint="eastAsia"/>
        </w:rPr>
      </w:pPr>
      <w:r>
        <w:rPr>
          <w:rFonts w:hint="eastAsia"/>
        </w:rPr>
        <w:t>三四季度基金的整体</w:t>
      </w:r>
      <w:r w:rsidR="00B33DD5">
        <w:rPr>
          <w:rFonts w:hint="eastAsia"/>
        </w:rPr>
        <w:t>仓位变动不大，以低波动为主，稳步增配高端制造业配套</w:t>
      </w:r>
      <w:r w:rsidR="004103F2">
        <w:rPr>
          <w:rFonts w:hint="eastAsia"/>
        </w:rPr>
        <w:t>行业</w:t>
      </w:r>
      <w:r w:rsidR="00B33DD5">
        <w:rPr>
          <w:rFonts w:hint="eastAsia"/>
        </w:rPr>
        <w:t>，以应对贸易战之后的“国产化进程”</w:t>
      </w:r>
      <w:r w:rsidR="001E5F78">
        <w:rPr>
          <w:rFonts w:hint="eastAsia"/>
        </w:rPr>
        <w:t>；下半年流动性十分宽松，加之经济复苏明显，PMI在年末已回到荣枯线之上，社融、库存均处于较为良好的状态，</w:t>
      </w:r>
      <w:r w:rsidR="004103F2">
        <w:rPr>
          <w:rFonts w:hint="eastAsia"/>
        </w:rPr>
        <w:t>一直持有的</w:t>
      </w:r>
      <w:r w:rsidR="001E5F78">
        <w:rPr>
          <w:rFonts w:hint="eastAsia"/>
        </w:rPr>
        <w:t>医药、消费等白马的估值开始复苏</w:t>
      </w:r>
      <w:r w:rsidR="004103F2">
        <w:rPr>
          <w:rFonts w:hint="eastAsia"/>
        </w:rPr>
        <w:t>。</w:t>
      </w:r>
      <w:r w:rsidR="001E5F78">
        <w:rPr>
          <w:rFonts w:hint="eastAsia"/>
        </w:rPr>
        <w:t>这成为四季度收益贡献的两条主线。</w:t>
      </w:r>
    </w:p>
    <w:p w:rsidR="00D6707B" w:rsidRDefault="00D6707B" w:rsidP="00D82295"/>
    <w:p w:rsidR="00CA4D2E" w:rsidRDefault="00CA4D2E" w:rsidP="00D82295"/>
    <w:p w:rsidR="00CA4D2E" w:rsidRDefault="00CA4D2E" w:rsidP="00D82295">
      <w:pPr>
        <w:rPr>
          <w:rFonts w:hint="eastAsia"/>
        </w:rPr>
      </w:pPr>
    </w:p>
    <w:p w:rsidR="001E5F78" w:rsidRPr="004103F2" w:rsidRDefault="008204E7" w:rsidP="008204E7">
      <w:pPr>
        <w:rPr>
          <w:b/>
        </w:rPr>
      </w:pPr>
      <w:r w:rsidRPr="004103F2">
        <w:rPr>
          <w:rFonts w:hint="eastAsia"/>
          <w:b/>
        </w:rPr>
        <w:lastRenderedPageBreak/>
        <w:t>（2）</w:t>
      </w:r>
      <w:r w:rsidR="001E5F78" w:rsidRPr="004103F2">
        <w:rPr>
          <w:rFonts w:hint="eastAsia"/>
          <w:b/>
        </w:rPr>
        <w:t>2</w:t>
      </w:r>
      <w:r w:rsidR="001E5F78" w:rsidRPr="004103F2">
        <w:rPr>
          <w:b/>
        </w:rPr>
        <w:t>020</w:t>
      </w:r>
      <w:r w:rsidR="001E5F78" w:rsidRPr="004103F2">
        <w:rPr>
          <w:rFonts w:hint="eastAsia"/>
          <w:b/>
        </w:rPr>
        <w:t>年：</w:t>
      </w:r>
    </w:p>
    <w:p w:rsidR="001E5F78" w:rsidRDefault="001E5F78" w:rsidP="004103F2">
      <w:pPr>
        <w:pStyle w:val="a4"/>
        <w:numPr>
          <w:ilvl w:val="0"/>
          <w:numId w:val="3"/>
        </w:numPr>
        <w:ind w:firstLineChars="0"/>
      </w:pPr>
      <w:r>
        <w:rPr>
          <w:rFonts w:hint="eastAsia"/>
        </w:rPr>
        <w:t>收益情况：</w:t>
      </w:r>
    </w:p>
    <w:p w:rsidR="001E5F78" w:rsidRDefault="001E5F78" w:rsidP="004103F2">
      <w:pPr>
        <w:ind w:firstLineChars="200" w:firstLine="420"/>
      </w:pPr>
      <w:r>
        <w:rPr>
          <w:rFonts w:hint="eastAsia"/>
        </w:rPr>
        <w:t>市场在2</w:t>
      </w:r>
      <w:r>
        <w:t>020</w:t>
      </w:r>
      <w:r>
        <w:rPr>
          <w:rFonts w:hint="eastAsia"/>
        </w:rPr>
        <w:t>年</w:t>
      </w:r>
      <w:r w:rsidR="00FD2F9C">
        <w:rPr>
          <w:rFonts w:hint="eastAsia"/>
        </w:rPr>
        <w:t>累计</w:t>
      </w:r>
      <w:r>
        <w:rPr>
          <w:rFonts w:hint="eastAsia"/>
        </w:rPr>
        <w:t>实现了正收益，因为疫情原因</w:t>
      </w:r>
      <w:r w:rsidR="00FD2F9C">
        <w:rPr>
          <w:rFonts w:hint="eastAsia"/>
        </w:rPr>
        <w:t>，全年的</w:t>
      </w:r>
      <w:r>
        <w:rPr>
          <w:rFonts w:hint="eastAsia"/>
        </w:rPr>
        <w:t>流动性十分宽松</w:t>
      </w:r>
      <w:r w:rsidR="00FD2F9C">
        <w:rPr>
          <w:rFonts w:hint="eastAsia"/>
        </w:rPr>
        <w:t>。</w:t>
      </w:r>
      <w:r>
        <w:rPr>
          <w:rFonts w:hint="eastAsia"/>
        </w:rPr>
        <w:t>本基金2</w:t>
      </w:r>
      <w:r>
        <w:t>020</w:t>
      </w:r>
      <w:r>
        <w:rPr>
          <w:rFonts w:hint="eastAsia"/>
        </w:rPr>
        <w:t>年</w:t>
      </w:r>
      <w:r w:rsidR="00FC37C0">
        <w:rPr>
          <w:rFonts w:hint="eastAsia"/>
        </w:rPr>
        <w:t>实现</w:t>
      </w:r>
      <w:r w:rsidR="00FD2F9C">
        <w:rPr>
          <w:rFonts w:hint="eastAsia"/>
        </w:rPr>
        <w:t>绝对收益超过7</w:t>
      </w:r>
      <w:r w:rsidR="00FD2F9C">
        <w:t>0%</w:t>
      </w:r>
      <w:r w:rsidR="00FD2F9C">
        <w:rPr>
          <w:rFonts w:hint="eastAsia"/>
        </w:rPr>
        <w:t>，</w:t>
      </w:r>
      <w:r w:rsidR="00FC37C0">
        <w:rPr>
          <w:rFonts w:hint="eastAsia"/>
        </w:rPr>
        <w:t>超额收益超过4</w:t>
      </w:r>
      <w:r w:rsidR="00FC37C0">
        <w:t>0%</w:t>
      </w:r>
      <w:r w:rsidR="00FD2F9C">
        <w:rPr>
          <w:rFonts w:hint="eastAsia"/>
        </w:rPr>
        <w:t>。</w:t>
      </w:r>
      <w:r w:rsidR="00FC37C0">
        <w:rPr>
          <w:rFonts w:hint="eastAsia"/>
        </w:rPr>
        <w:t>与</w:t>
      </w:r>
      <w:r w:rsidR="00FD2F9C">
        <w:rPr>
          <w:rFonts w:hint="eastAsia"/>
        </w:rPr>
        <w:t>混合型基金平均水平</w:t>
      </w:r>
      <w:r w:rsidR="00FC37C0">
        <w:rPr>
          <w:rFonts w:hint="eastAsia"/>
        </w:rPr>
        <w:t>拉开收益差距主要在</w:t>
      </w:r>
      <w:r w:rsidR="00FD2F9C">
        <w:rPr>
          <w:rFonts w:hint="eastAsia"/>
        </w:rPr>
        <w:t>后三个</w:t>
      </w:r>
      <w:r w:rsidR="00FC37C0">
        <w:rPr>
          <w:rFonts w:hint="eastAsia"/>
        </w:rPr>
        <w:t>季度</w:t>
      </w:r>
      <w:r w:rsidR="00FD2F9C">
        <w:rPr>
          <w:rFonts w:hint="eastAsia"/>
        </w:rPr>
        <w:t>。</w:t>
      </w:r>
      <w:r w:rsidR="00FC37C0">
        <w:rPr>
          <w:rFonts w:hint="eastAsia"/>
        </w:rPr>
        <w:t>回撤上，本基金依然不能避免在重大风险期间回撤偏大的缺点，</w:t>
      </w:r>
      <w:r w:rsidR="00FD2F9C">
        <w:rPr>
          <w:rFonts w:hint="eastAsia"/>
        </w:rPr>
        <w:t>同期</w:t>
      </w:r>
      <w:r w:rsidR="00D6707B">
        <w:rPr>
          <w:rFonts w:hint="eastAsia"/>
        </w:rPr>
        <w:t>基金和市场最大回撤基本都在1</w:t>
      </w:r>
      <w:r w:rsidR="00D6707B">
        <w:t>6%</w:t>
      </w:r>
      <w:r w:rsidR="00D6707B">
        <w:rPr>
          <w:rFonts w:hint="eastAsia"/>
        </w:rPr>
        <w:t>左右</w:t>
      </w:r>
      <w:r w:rsidR="00FC37C0">
        <w:rPr>
          <w:rFonts w:hint="eastAsia"/>
        </w:rPr>
        <w:t>。除了3月，本基金在其他月份均实现了正收益。</w:t>
      </w:r>
    </w:p>
    <w:p w:rsidR="00D6707B" w:rsidRDefault="00D6707B" w:rsidP="00D6707B">
      <w:pPr>
        <w:rPr>
          <w:rFonts w:hint="eastAsia"/>
        </w:rPr>
      </w:pPr>
      <w:r w:rsidRPr="00D6707B">
        <w:drawing>
          <wp:inline distT="0" distB="0" distL="0" distR="0" wp14:anchorId="41634902" wp14:editId="5474681B">
            <wp:extent cx="5270500" cy="1619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619250"/>
                    </a:xfrm>
                    <a:prstGeom prst="rect">
                      <a:avLst/>
                    </a:prstGeom>
                  </pic:spPr>
                </pic:pic>
              </a:graphicData>
            </a:graphic>
          </wp:inline>
        </w:drawing>
      </w:r>
    </w:p>
    <w:p w:rsidR="001E5F78" w:rsidRDefault="001E5F78" w:rsidP="004103F2">
      <w:pPr>
        <w:pStyle w:val="a4"/>
        <w:numPr>
          <w:ilvl w:val="0"/>
          <w:numId w:val="3"/>
        </w:numPr>
        <w:ind w:firstLineChars="0"/>
      </w:pPr>
      <w:r>
        <w:rPr>
          <w:rFonts w:hint="eastAsia"/>
        </w:rPr>
        <w:t>业绩归因情况：</w:t>
      </w:r>
    </w:p>
    <w:p w:rsidR="00F466AA" w:rsidRDefault="00F466AA" w:rsidP="00B27EC0">
      <w:pPr>
        <w:ind w:firstLineChars="200" w:firstLine="420"/>
      </w:pPr>
      <w:r>
        <w:rPr>
          <w:rFonts w:hint="eastAsia"/>
        </w:rPr>
        <w:t>全年股票仓位稳定在</w:t>
      </w:r>
      <w:r>
        <w:t>65-80%</w:t>
      </w:r>
      <w:r>
        <w:rPr>
          <w:rFonts w:hint="eastAsia"/>
        </w:rPr>
        <w:t>左右，共实现超过7</w:t>
      </w:r>
      <w:r>
        <w:t>0%</w:t>
      </w:r>
      <w:r>
        <w:rPr>
          <w:rFonts w:hint="eastAsia"/>
        </w:rPr>
        <w:t>的绝对收益和4</w:t>
      </w:r>
      <w:r>
        <w:t>0%</w:t>
      </w:r>
      <w:r>
        <w:rPr>
          <w:rFonts w:hint="eastAsia"/>
        </w:rPr>
        <w:t>的超额收益。收益博取能力仍十分强。</w:t>
      </w:r>
    </w:p>
    <w:p w:rsidR="005C2079" w:rsidRDefault="00FC37C0" w:rsidP="00B27EC0">
      <w:pPr>
        <w:ind w:firstLineChars="200" w:firstLine="420"/>
      </w:pPr>
      <w:r>
        <w:rPr>
          <w:rFonts w:hint="eastAsia"/>
        </w:rPr>
        <w:t>本基金在一季度预期国内流动性会因为疫情十分宽松，因此超配消费电子、芯片等板块，但是遇到</w:t>
      </w:r>
      <w:r w:rsidR="005C2079">
        <w:rPr>
          <w:rFonts w:hint="eastAsia"/>
        </w:rPr>
        <w:t>的疫情引起外部市场流动性危机，从而带动国内股市崩盘，本基金做出的调整较少。</w:t>
      </w:r>
    </w:p>
    <w:p w:rsidR="00FC37C0" w:rsidRDefault="005C2079" w:rsidP="00B27EC0">
      <w:pPr>
        <w:ind w:firstLineChars="200" w:firstLine="420"/>
      </w:pPr>
      <w:r>
        <w:rPr>
          <w:rFonts w:hint="eastAsia"/>
        </w:rPr>
        <w:t>经理在3月初及时调整策略，以</w:t>
      </w:r>
      <w:r>
        <w:t>PB-ROE</w:t>
      </w:r>
      <w:r>
        <w:rPr>
          <w:rFonts w:hint="eastAsia"/>
        </w:rPr>
        <w:t>方法为主，在市场宽松条件下获取价值成长股的alpha策略，该策略效果十分明显，二季度和三季度分别获取1</w:t>
      </w:r>
      <w:r>
        <w:t>5%</w:t>
      </w:r>
      <w:r>
        <w:rPr>
          <w:rFonts w:hint="eastAsia"/>
        </w:rPr>
        <w:t>和5</w:t>
      </w:r>
      <w:r>
        <w:t>%</w:t>
      </w:r>
      <w:r>
        <w:rPr>
          <w:rFonts w:hint="eastAsia"/>
        </w:rPr>
        <w:t>的超额收益，并在后三个季度一共实现2</w:t>
      </w:r>
      <w:r>
        <w:t>5%</w:t>
      </w:r>
      <w:r>
        <w:rPr>
          <w:rFonts w:hint="eastAsia"/>
        </w:rPr>
        <w:t>左右的超额收益。</w:t>
      </w:r>
    </w:p>
    <w:p w:rsidR="00452090" w:rsidRDefault="0057121A" w:rsidP="00B27EC0">
      <w:pPr>
        <w:ind w:firstLineChars="200" w:firstLine="420"/>
      </w:pPr>
      <w:r>
        <w:rPr>
          <w:rFonts w:hint="eastAsia"/>
        </w:rPr>
        <w:t>持仓行业方面，主要以</w:t>
      </w:r>
      <w:r w:rsidRPr="00CA4D2E">
        <w:rPr>
          <w:rFonts w:hint="eastAsia"/>
          <w:b/>
        </w:rPr>
        <w:t>新能源及相关行业和大消费</w:t>
      </w:r>
      <w:r>
        <w:rPr>
          <w:rFonts w:hint="eastAsia"/>
        </w:rPr>
        <w:t>为主，化工、电力设备、有色金属、电子元件</w:t>
      </w:r>
      <w:r w:rsidR="00CA4D2E">
        <w:rPr>
          <w:rFonts w:hint="eastAsia"/>
        </w:rPr>
        <w:t>等</w:t>
      </w:r>
      <w:r w:rsidR="00CA4D2E" w:rsidRPr="00CA4D2E">
        <w:rPr>
          <w:rFonts w:hint="eastAsia"/>
        </w:rPr>
        <w:t>科技风格</w:t>
      </w:r>
      <w:r>
        <w:rPr>
          <w:rFonts w:hint="eastAsia"/>
        </w:rPr>
        <w:t>在二、三季度都增持明显，而减少了建筑材料、商贸零售、银行等</w:t>
      </w:r>
      <w:r w:rsidRPr="00CA4D2E">
        <w:rPr>
          <w:rFonts w:hint="eastAsia"/>
          <w:b/>
        </w:rPr>
        <w:t>防御性较强</w:t>
      </w:r>
      <w:r>
        <w:rPr>
          <w:rFonts w:hint="eastAsia"/>
        </w:rPr>
        <w:t>的板块。</w:t>
      </w:r>
      <w:r w:rsidR="00E2578C">
        <w:rPr>
          <w:rFonts w:hint="eastAsia"/>
        </w:rPr>
        <w:t>本基金</w:t>
      </w:r>
      <w:r w:rsidR="00206928">
        <w:rPr>
          <w:rFonts w:hint="eastAsia"/>
        </w:rPr>
        <w:t>有一定的择时行为，但主要的收入来源是选股能力，相较于收入来源最主要的两个行业——白酒、新能源所对应的行业指数，本基金都实现了显著的选股效应。同时，相比于我们所熟知的2</w:t>
      </w:r>
      <w:r w:rsidR="00206928">
        <w:t>020</w:t>
      </w:r>
      <w:r w:rsidR="00206928">
        <w:rPr>
          <w:rFonts w:hint="eastAsia"/>
        </w:rPr>
        <w:t>年选股能力强的基金，如易方达中小盘、交银定期支付双息平衡混合、中欧医疗健康混合等行业主题型基金，本基金的选股能力毫不逊色</w:t>
      </w:r>
      <w:r w:rsidR="00E2578C">
        <w:rPr>
          <w:rFonts w:hint="eastAsia"/>
        </w:rPr>
        <w:t>。并且分散行业分布也保证了基金收益的稳健性。</w:t>
      </w:r>
    </w:p>
    <w:p w:rsidR="00E2578C" w:rsidRDefault="00E2578C" w:rsidP="001E5F78">
      <w:r w:rsidRPr="00E2578C">
        <w:rPr>
          <w:noProof/>
        </w:rPr>
        <w:drawing>
          <wp:inline distT="0" distB="0" distL="0" distR="0" wp14:anchorId="5A98B930" wp14:editId="7E004130">
            <wp:extent cx="5270500" cy="13550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355090"/>
                    </a:xfrm>
                    <a:prstGeom prst="rect">
                      <a:avLst/>
                    </a:prstGeom>
                  </pic:spPr>
                </pic:pic>
              </a:graphicData>
            </a:graphic>
          </wp:inline>
        </w:drawing>
      </w:r>
    </w:p>
    <w:p w:rsidR="00CA4D2E" w:rsidRDefault="00CA4D2E" w:rsidP="008204E7">
      <w:pPr>
        <w:rPr>
          <w:b/>
        </w:rPr>
      </w:pPr>
    </w:p>
    <w:p w:rsidR="001E5F78" w:rsidRPr="00B27EC0" w:rsidRDefault="008204E7" w:rsidP="008204E7">
      <w:pPr>
        <w:rPr>
          <w:b/>
        </w:rPr>
      </w:pPr>
      <w:r w:rsidRPr="00B27EC0">
        <w:rPr>
          <w:rFonts w:hint="eastAsia"/>
          <w:b/>
        </w:rPr>
        <w:t>（3）</w:t>
      </w:r>
      <w:r w:rsidR="00452090" w:rsidRPr="00B27EC0">
        <w:rPr>
          <w:rFonts w:hint="eastAsia"/>
          <w:b/>
        </w:rPr>
        <w:t>2</w:t>
      </w:r>
      <w:r w:rsidR="00452090" w:rsidRPr="00B27EC0">
        <w:rPr>
          <w:b/>
        </w:rPr>
        <w:t>021</w:t>
      </w:r>
      <w:r w:rsidR="00452090" w:rsidRPr="00B27EC0">
        <w:rPr>
          <w:rFonts w:hint="eastAsia"/>
          <w:b/>
        </w:rPr>
        <w:t>年：</w:t>
      </w:r>
    </w:p>
    <w:p w:rsidR="00452090" w:rsidRDefault="00452090" w:rsidP="00B27EC0">
      <w:pPr>
        <w:pStyle w:val="a4"/>
        <w:numPr>
          <w:ilvl w:val="0"/>
          <w:numId w:val="3"/>
        </w:numPr>
        <w:ind w:firstLineChars="0"/>
      </w:pPr>
      <w:r>
        <w:rPr>
          <w:rFonts w:hint="eastAsia"/>
        </w:rPr>
        <w:t>收益情况：</w:t>
      </w:r>
    </w:p>
    <w:p w:rsidR="005F4C36" w:rsidRDefault="00452090" w:rsidP="00B27EC0">
      <w:pPr>
        <w:ind w:firstLineChars="200" w:firstLine="420"/>
      </w:pPr>
      <w:r>
        <w:rPr>
          <w:rFonts w:hint="eastAsia"/>
        </w:rPr>
        <w:t>市场在2</w:t>
      </w:r>
      <w:r>
        <w:t>021</w:t>
      </w:r>
      <w:r>
        <w:rPr>
          <w:rFonts w:hint="eastAsia"/>
        </w:rPr>
        <w:t>年出现了结构化行情</w:t>
      </w:r>
      <w:r w:rsidR="0021514B">
        <w:rPr>
          <w:rFonts w:hint="eastAsia"/>
        </w:rPr>
        <w:t>：</w:t>
      </w:r>
      <w:r w:rsidR="00CA4D2E">
        <w:rPr>
          <w:rFonts w:hint="eastAsia"/>
        </w:rPr>
        <w:t>去</w:t>
      </w:r>
      <w:r w:rsidR="00E2578C">
        <w:rPr>
          <w:rFonts w:hint="eastAsia"/>
        </w:rPr>
        <w:t>年</w:t>
      </w:r>
      <w:r w:rsidR="0021514B">
        <w:rPr>
          <w:rFonts w:hint="eastAsia"/>
        </w:rPr>
        <w:t>，以大消费为核心</w:t>
      </w:r>
      <w:r w:rsidR="00CA4D2E">
        <w:rPr>
          <w:rFonts w:hint="eastAsia"/>
        </w:rPr>
        <w:t>、</w:t>
      </w:r>
      <w:r w:rsidR="00C43CB8">
        <w:rPr>
          <w:rFonts w:hint="eastAsia"/>
        </w:rPr>
        <w:t>盈利</w:t>
      </w:r>
      <w:r w:rsidR="0021514B">
        <w:rPr>
          <w:rFonts w:hint="eastAsia"/>
        </w:rPr>
        <w:t>高速成长且可预期的成长价值股</w:t>
      </w:r>
      <w:r w:rsidR="00C43CB8">
        <w:rPr>
          <w:rFonts w:hint="eastAsia"/>
        </w:rPr>
        <w:t>被机构长期追捧，今年年初这样的抱团现象迅速被瓦解。而</w:t>
      </w:r>
      <w:r>
        <w:rPr>
          <w:rFonts w:hint="eastAsia"/>
        </w:rPr>
        <w:t>以能源、新能源为主的业绩确定性较强的高端制造成为新的价值成长股，在一季度前半段的调整过后进入景气周期，</w:t>
      </w:r>
      <w:r w:rsidR="00C43CB8">
        <w:rPr>
          <w:rFonts w:hint="eastAsia"/>
        </w:rPr>
        <w:t>持续到了9月中旬</w:t>
      </w:r>
      <w:r w:rsidR="00B87294">
        <w:rPr>
          <w:rFonts w:hint="eastAsia"/>
        </w:rPr>
        <w:t>。</w:t>
      </w:r>
      <w:r w:rsidR="00C43CB8">
        <w:rPr>
          <w:rFonts w:hint="eastAsia"/>
        </w:rPr>
        <w:t>以新能源，绿色能源为核心的行业组合包括电池、电机、小金属、</w:t>
      </w:r>
      <w:r w:rsidR="00C43CB8">
        <w:rPr>
          <w:rFonts w:hint="eastAsia"/>
        </w:rPr>
        <w:lastRenderedPageBreak/>
        <w:t>能源金属、电源设备、汽车整车，汽车服务，以</w:t>
      </w:r>
      <w:r w:rsidR="00B87294">
        <w:rPr>
          <w:rFonts w:hint="eastAsia"/>
        </w:rPr>
        <w:t>清洁</w:t>
      </w:r>
      <w:r w:rsidR="00C43CB8">
        <w:rPr>
          <w:rFonts w:hint="eastAsia"/>
        </w:rPr>
        <w:t>能源为核心的行业组合包括</w:t>
      </w:r>
      <w:r w:rsidR="00B87294">
        <w:rPr>
          <w:rFonts w:hint="eastAsia"/>
        </w:rPr>
        <w:t>燃气、公用事业、煤炭、风电、电网设备等，这两个行业组合都先后</w:t>
      </w:r>
      <w:r w:rsidR="00257E0B">
        <w:rPr>
          <w:rFonts w:hint="eastAsia"/>
        </w:rPr>
        <w:t>都实现了超过1</w:t>
      </w:r>
      <w:r w:rsidR="00257E0B">
        <w:t>50%</w:t>
      </w:r>
      <w:r w:rsidR="00257E0B">
        <w:rPr>
          <w:rFonts w:hint="eastAsia"/>
        </w:rPr>
        <w:t>的收益。</w:t>
      </w:r>
    </w:p>
    <w:p w:rsidR="00452090" w:rsidRDefault="00257E0B" w:rsidP="00B27EC0">
      <w:pPr>
        <w:ind w:firstLineChars="200" w:firstLine="420"/>
      </w:pPr>
      <w:r>
        <w:rPr>
          <w:rFonts w:hint="eastAsia"/>
        </w:rPr>
        <w:t>基金因此实现了较混合型基金平均收益2</w:t>
      </w:r>
      <w:r>
        <w:t>0%</w:t>
      </w:r>
      <w:r>
        <w:rPr>
          <w:rFonts w:hint="eastAsia"/>
        </w:rPr>
        <w:t>的超额收益。回撤方面，无论是市场还是同类型基金最大回撤都在1</w:t>
      </w:r>
      <w:r>
        <w:t>0-15%</w:t>
      </w:r>
      <w:r>
        <w:rPr>
          <w:rFonts w:hint="eastAsia"/>
        </w:rPr>
        <w:t>，而本基金2</w:t>
      </w:r>
      <w:r>
        <w:t>021</w:t>
      </w:r>
      <w:r>
        <w:rPr>
          <w:rFonts w:hint="eastAsia"/>
        </w:rPr>
        <w:t>年度最大回撤仅5</w:t>
      </w:r>
      <w:r>
        <w:t>%</w:t>
      </w:r>
      <w:r>
        <w:rPr>
          <w:rFonts w:hint="eastAsia"/>
        </w:rPr>
        <w:t>左右</w:t>
      </w:r>
      <w:r w:rsidR="001D4C33">
        <w:rPr>
          <w:rFonts w:hint="eastAsia"/>
        </w:rPr>
        <w:t>。</w:t>
      </w:r>
    </w:p>
    <w:p w:rsidR="00452090" w:rsidRDefault="00452090" w:rsidP="00B27EC0">
      <w:pPr>
        <w:pStyle w:val="a4"/>
        <w:numPr>
          <w:ilvl w:val="0"/>
          <w:numId w:val="3"/>
        </w:numPr>
        <w:ind w:firstLineChars="0"/>
      </w:pPr>
      <w:r>
        <w:rPr>
          <w:rFonts w:hint="eastAsia"/>
        </w:rPr>
        <w:t>业绩归因情况：</w:t>
      </w:r>
    </w:p>
    <w:p w:rsidR="00670741" w:rsidRDefault="00E2578C" w:rsidP="005F4C36">
      <w:pPr>
        <w:ind w:firstLineChars="200" w:firstLine="420"/>
      </w:pPr>
      <w:r>
        <w:rPr>
          <w:rFonts w:hint="eastAsia"/>
        </w:rPr>
        <w:t>全年股票仓位稳定在</w:t>
      </w:r>
      <w:r>
        <w:t>70-80%</w:t>
      </w:r>
      <w:r>
        <w:rPr>
          <w:rFonts w:hint="eastAsia"/>
        </w:rPr>
        <w:t>左右，共实现超过</w:t>
      </w:r>
      <w:r>
        <w:t>25%</w:t>
      </w:r>
      <w:r>
        <w:rPr>
          <w:rFonts w:hint="eastAsia"/>
        </w:rPr>
        <w:t>的绝对收益和</w:t>
      </w:r>
      <w:r>
        <w:t>30%</w:t>
      </w:r>
      <w:r>
        <w:rPr>
          <w:rFonts w:hint="eastAsia"/>
        </w:rPr>
        <w:t>的超额收益。收益博取能力仍十分强。</w:t>
      </w:r>
      <w:r w:rsidR="00670741">
        <w:rPr>
          <w:rFonts w:hint="eastAsia"/>
        </w:rPr>
        <w:t>本基金在2</w:t>
      </w:r>
      <w:r w:rsidR="00670741">
        <w:t>021</w:t>
      </w:r>
      <w:r w:rsidR="00670741">
        <w:rPr>
          <w:rFonts w:hint="eastAsia"/>
        </w:rPr>
        <w:t>年全年以</w:t>
      </w:r>
      <w:r w:rsidR="00670741" w:rsidRPr="005F4C36">
        <w:rPr>
          <w:rFonts w:hint="eastAsia"/>
          <w:b/>
        </w:rPr>
        <w:t>稳健为主</w:t>
      </w:r>
      <w:r w:rsidR="00670741">
        <w:rPr>
          <w:rFonts w:hint="eastAsia"/>
        </w:rPr>
        <w:t>的总体策略，这相比于市场上大多数灵活配置型基金和打着灵活配置型基金旗号的选股型基金来说，显著避开了2月</w:t>
      </w:r>
      <w:r w:rsidR="005F4C36">
        <w:rPr>
          <w:rFonts w:hint="eastAsia"/>
        </w:rPr>
        <w:t>和</w:t>
      </w:r>
      <w:r w:rsidR="00670741">
        <w:rPr>
          <w:rFonts w:hint="eastAsia"/>
        </w:rPr>
        <w:t>9月的下跌，实现了较好的投资体验。</w:t>
      </w:r>
    </w:p>
    <w:p w:rsidR="00452090" w:rsidRDefault="00204556" w:rsidP="00B27EC0">
      <w:pPr>
        <w:ind w:firstLineChars="200" w:firstLine="420"/>
      </w:pPr>
      <w:r>
        <w:rPr>
          <w:rFonts w:hint="eastAsia"/>
        </w:rPr>
        <w:t>本基金在一季度根据过去一年的市场行情，</w:t>
      </w:r>
      <w:r w:rsidR="00E2532C">
        <w:rPr>
          <w:rFonts w:hint="eastAsia"/>
        </w:rPr>
        <w:t>以及边际收紧的货币政策，</w:t>
      </w:r>
      <w:r>
        <w:rPr>
          <w:rFonts w:hint="eastAsia"/>
        </w:rPr>
        <w:t>集中减持了估值较高的基金以布局估值低且业绩良好的投资标的，仍以选股策略为主，本季度避开了“抱团解散”的单边下跌行情，以仓位降低换取收益的稳定性，买入较多的银行、保险、采掘、化工等估值偏低的股票，同时布局较多的新能源相关</w:t>
      </w:r>
      <w:r w:rsidR="000D450C">
        <w:rPr>
          <w:rFonts w:hint="eastAsia"/>
        </w:rPr>
        <w:t>行业，如精选有色金属、电气设备、交运。</w:t>
      </w:r>
    </w:p>
    <w:p w:rsidR="000D450C" w:rsidRDefault="00545DB8" w:rsidP="00B27EC0">
      <w:pPr>
        <w:ind w:firstLineChars="200" w:firstLine="420"/>
      </w:pPr>
      <w:r>
        <w:rPr>
          <w:rFonts w:hint="eastAsia"/>
        </w:rPr>
        <w:t>在二季度新能源及相关行业的行情下，同类混合型基金与本基金实现相近的收益，而本基金的选股能力在三季度和四季度集中体现，由于行业和风格的分散，本基金有能够持续获取alpha的能力。</w:t>
      </w:r>
    </w:p>
    <w:p w:rsidR="00545DB8" w:rsidRDefault="0076676C" w:rsidP="00B27EC0">
      <w:pPr>
        <w:ind w:firstLineChars="200" w:firstLine="420"/>
      </w:pPr>
      <w:r>
        <w:rPr>
          <w:rFonts w:hint="eastAsia"/>
        </w:rPr>
        <w:t>宏观方面，</w:t>
      </w:r>
      <w:r w:rsidR="00D5013D">
        <w:rPr>
          <w:rFonts w:hint="eastAsia"/>
        </w:rPr>
        <w:t>二季度</w:t>
      </w:r>
      <w:r w:rsidR="00D5013D">
        <w:t>经济持续复苏，工业增加值，社会消费品零售总额，进出口情况和固定资产投资情况等各项经济指标都维持较高位置</w:t>
      </w:r>
      <w:r w:rsidR="00D5013D">
        <w:rPr>
          <w:rFonts w:hint="eastAsia"/>
        </w:rPr>
        <w:t>。</w:t>
      </w:r>
      <w:r w:rsidR="00D5013D">
        <w:t>大宗商品价格持续走强，PPI 强劲上涨</w:t>
      </w:r>
      <w:r w:rsidR="00D5013D">
        <w:rPr>
          <w:rFonts w:hint="eastAsia"/>
        </w:rPr>
        <w:t>，</w:t>
      </w:r>
      <w:r w:rsidR="00D5013D">
        <w:t>CPI</w:t>
      </w:r>
      <w:r w:rsidR="00D5013D">
        <w:rPr>
          <w:rFonts w:hint="eastAsia"/>
        </w:rPr>
        <w:t>也</w:t>
      </w:r>
      <w:r w:rsidR="00D5013D">
        <w:t>持续上涨</w:t>
      </w:r>
      <w:r w:rsidR="00D5013D">
        <w:rPr>
          <w:rFonts w:hint="eastAsia"/>
        </w:rPr>
        <w:t>，先行指标社融存量规模</w:t>
      </w:r>
      <w:r w:rsidR="00D5013D">
        <w:t>增速出现明显</w:t>
      </w:r>
      <w:r w:rsidR="00D5013D">
        <w:rPr>
          <w:rFonts w:hint="eastAsia"/>
        </w:rPr>
        <w:t>下滑。本基金在三季度中期实现较多的股票减仓，面对主流资产行情在三季度的回撤，</w:t>
      </w:r>
      <w:r w:rsidR="006E35F5">
        <w:rPr>
          <w:rFonts w:hint="eastAsia"/>
        </w:rPr>
        <w:t>本基金同时还增加了银行、非银金融、建筑材料、公用事业等防御性板块的配置。防止基金业绩的下滑。</w:t>
      </w:r>
    </w:p>
    <w:p w:rsidR="006E35F5" w:rsidRDefault="006E35F5" w:rsidP="00B27EC0">
      <w:pPr>
        <w:ind w:firstLineChars="200" w:firstLine="420"/>
      </w:pPr>
      <w:r>
        <w:rPr>
          <w:rFonts w:hint="eastAsia"/>
        </w:rPr>
        <w:t>四季度本基金继续保持稳健的选股策略，基金适当小幅参与周期和能源板块——煤炭和石油石化的结构行情，但仓位基本控制在1</w:t>
      </w:r>
      <w:r>
        <w:t>0%</w:t>
      </w:r>
      <w:r>
        <w:rPr>
          <w:rFonts w:hint="eastAsia"/>
        </w:rPr>
        <w:t>以内。</w:t>
      </w:r>
    </w:p>
    <w:p w:rsidR="0076676C" w:rsidRPr="00545DB8" w:rsidRDefault="0076676C" w:rsidP="0076676C">
      <w:pPr>
        <w:rPr>
          <w:rFonts w:hint="eastAsia"/>
        </w:rPr>
      </w:pPr>
      <w:r w:rsidRPr="0076676C">
        <w:drawing>
          <wp:inline distT="0" distB="0" distL="0" distR="0" wp14:anchorId="62E2B712" wp14:editId="2ADC7987">
            <wp:extent cx="5270500" cy="15836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583690"/>
                    </a:xfrm>
                    <a:prstGeom prst="rect">
                      <a:avLst/>
                    </a:prstGeom>
                  </pic:spPr>
                </pic:pic>
              </a:graphicData>
            </a:graphic>
          </wp:inline>
        </w:drawing>
      </w:r>
    </w:p>
    <w:p w:rsidR="00452090" w:rsidRPr="00B27EC0" w:rsidRDefault="008204E7" w:rsidP="008204E7">
      <w:pPr>
        <w:rPr>
          <w:b/>
        </w:rPr>
      </w:pPr>
      <w:r w:rsidRPr="00B27EC0">
        <w:rPr>
          <w:rFonts w:hint="eastAsia"/>
          <w:b/>
        </w:rPr>
        <w:t>（4）</w:t>
      </w:r>
      <w:r w:rsidR="00452090" w:rsidRPr="00B27EC0">
        <w:rPr>
          <w:rFonts w:hint="eastAsia"/>
          <w:b/>
        </w:rPr>
        <w:t>2</w:t>
      </w:r>
      <w:r w:rsidR="00452090" w:rsidRPr="00B27EC0">
        <w:rPr>
          <w:b/>
        </w:rPr>
        <w:t>022</w:t>
      </w:r>
      <w:r w:rsidR="00452090" w:rsidRPr="00B27EC0">
        <w:rPr>
          <w:rFonts w:hint="eastAsia"/>
          <w:b/>
        </w:rPr>
        <w:t>年：</w:t>
      </w:r>
    </w:p>
    <w:p w:rsidR="00CB6512" w:rsidRDefault="00CB6512" w:rsidP="00B27EC0">
      <w:pPr>
        <w:pStyle w:val="a4"/>
        <w:numPr>
          <w:ilvl w:val="0"/>
          <w:numId w:val="3"/>
        </w:numPr>
        <w:ind w:firstLineChars="0"/>
      </w:pPr>
      <w:r>
        <w:rPr>
          <w:rFonts w:hint="eastAsia"/>
        </w:rPr>
        <w:t>收益情况：</w:t>
      </w:r>
    </w:p>
    <w:p w:rsidR="005A7911" w:rsidRDefault="005A7911" w:rsidP="0076676C">
      <w:pPr>
        <w:ind w:firstLineChars="200" w:firstLine="420"/>
      </w:pPr>
      <w:r>
        <w:rPr>
          <w:rFonts w:hint="eastAsia"/>
        </w:rPr>
        <w:t>宏观方面，PMI在荣枯线附近徘徊，社融同比增速止跌，工业增加值和固定资产累计增速均有所回调，由于四季度双控政策导致出现“拉闸限电”现象，</w:t>
      </w:r>
      <w:r w:rsidR="002A1223">
        <w:rPr>
          <w:rFonts w:hint="eastAsia"/>
        </w:rPr>
        <w:t>同时PPI回调明显，货币政策在一季度有较为明显的宽松，LPR逐渐进入下行通道。</w:t>
      </w:r>
    </w:p>
    <w:p w:rsidR="00656AED" w:rsidRDefault="002A1223" w:rsidP="0076676C">
      <w:pPr>
        <w:ind w:firstLineChars="200" w:firstLine="420"/>
      </w:pPr>
      <w:r>
        <w:rPr>
          <w:rFonts w:hint="eastAsia"/>
        </w:rPr>
        <w:t>2</w:t>
      </w:r>
      <w:r>
        <w:t>022</w:t>
      </w:r>
      <w:r w:rsidR="00CB6512">
        <w:rPr>
          <w:rFonts w:hint="eastAsia"/>
        </w:rPr>
        <w:t>年初的市场行情出现了持续的下滑，并在俄乌战争、中概股被严重抛售、港股下跌、美联储加息预期的内外政治金融的综合作用下演变成技术性熊市，在3月1</w:t>
      </w:r>
      <w:r w:rsidR="00CB6512">
        <w:t>5</w:t>
      </w:r>
      <w:r w:rsidR="00CB6512">
        <w:rPr>
          <w:rFonts w:hint="eastAsia"/>
        </w:rPr>
        <w:t>日金融稳定会后</w:t>
      </w:r>
      <w:r w:rsidR="00656AED">
        <w:rPr>
          <w:rFonts w:hint="eastAsia"/>
        </w:rPr>
        <w:t>市场止跌企稳。</w:t>
      </w:r>
    </w:p>
    <w:p w:rsidR="00656AED" w:rsidRDefault="00656AED" w:rsidP="0076676C">
      <w:pPr>
        <w:ind w:firstLineChars="200" w:firstLine="420"/>
      </w:pPr>
      <w:r>
        <w:rPr>
          <w:rFonts w:hint="eastAsia"/>
        </w:rPr>
        <w:t>年初至今，全市场、混合型基金、本基金都出现了下跌，各自实现-1</w:t>
      </w:r>
      <w:r>
        <w:t>5.64%</w:t>
      </w:r>
      <w:r>
        <w:rPr>
          <w:rFonts w:hint="eastAsia"/>
        </w:rPr>
        <w:t>，-</w:t>
      </w:r>
      <w:r>
        <w:t>12.56%</w:t>
      </w:r>
      <w:r>
        <w:rPr>
          <w:rFonts w:hint="eastAsia"/>
        </w:rPr>
        <w:t>，-</w:t>
      </w:r>
      <w:r>
        <w:t>8.44%</w:t>
      </w:r>
      <w:r>
        <w:rPr>
          <w:rFonts w:hint="eastAsia"/>
        </w:rPr>
        <w:t>的收益，全市场最大回撤约为1</w:t>
      </w:r>
      <w:r>
        <w:t>9%</w:t>
      </w:r>
      <w:r>
        <w:rPr>
          <w:rFonts w:hint="eastAsia"/>
        </w:rPr>
        <w:t>，而</w:t>
      </w:r>
      <w:r w:rsidR="005A7911">
        <w:rPr>
          <w:rFonts w:hint="eastAsia"/>
        </w:rPr>
        <w:t>本基金的最大回撤仅为1</w:t>
      </w:r>
      <w:r w:rsidR="005A7911">
        <w:t>1%</w:t>
      </w:r>
      <w:r w:rsidR="005A7911">
        <w:rPr>
          <w:rFonts w:hint="eastAsia"/>
        </w:rPr>
        <w:t>，同时也显著优于混合型基金市场平均水平。</w:t>
      </w:r>
    </w:p>
    <w:p w:rsidR="00656AED" w:rsidRDefault="00656AED" w:rsidP="00B27EC0">
      <w:pPr>
        <w:pStyle w:val="a4"/>
        <w:numPr>
          <w:ilvl w:val="0"/>
          <w:numId w:val="3"/>
        </w:numPr>
        <w:ind w:firstLineChars="0"/>
      </w:pPr>
      <w:r>
        <w:rPr>
          <w:rFonts w:hint="eastAsia"/>
        </w:rPr>
        <w:t>业绩归因情况：</w:t>
      </w:r>
    </w:p>
    <w:p w:rsidR="00656AED" w:rsidRDefault="005A7911" w:rsidP="00D338CB">
      <w:pPr>
        <w:ind w:firstLineChars="200" w:firstLine="420"/>
      </w:pPr>
      <w:r>
        <w:rPr>
          <w:rFonts w:hint="eastAsia"/>
        </w:rPr>
        <w:lastRenderedPageBreak/>
        <w:t>本基金继续稳健投资的alpha策略，通过精选个股，降低持仓来实现超额收益，同时，判断基金经理还采用了低波动均衡配置策略，这可以从3月之前的业绩走势可以看出。而后的急跌由于全市场的普跌导致。</w:t>
      </w:r>
    </w:p>
    <w:p w:rsidR="00B81562" w:rsidRPr="004D71C9" w:rsidRDefault="00E6105A">
      <w:pPr>
        <w:rPr>
          <w:b/>
          <w:sz w:val="28"/>
        </w:rPr>
      </w:pPr>
      <w:r w:rsidRPr="004D71C9">
        <w:rPr>
          <w:rFonts w:hint="eastAsia"/>
          <w:b/>
          <w:sz w:val="28"/>
        </w:rPr>
        <w:t>四、</w:t>
      </w:r>
      <w:r w:rsidR="00B81562" w:rsidRPr="004D71C9">
        <w:rPr>
          <w:rFonts w:hint="eastAsia"/>
          <w:b/>
          <w:sz w:val="28"/>
        </w:rPr>
        <w:t>基金其他信息</w:t>
      </w:r>
    </w:p>
    <w:p w:rsidR="00E6105A" w:rsidRDefault="002A1223" w:rsidP="00D338CB">
      <w:pPr>
        <w:ind w:firstLineChars="200" w:firstLine="420"/>
      </w:pPr>
      <w:r>
        <w:rPr>
          <w:rFonts w:hint="eastAsia"/>
        </w:rPr>
        <w:t>基金的其他信息分为基金经理和基金公司：</w:t>
      </w:r>
    </w:p>
    <w:p w:rsidR="002A1223" w:rsidRPr="0063090E" w:rsidRDefault="002A1223" w:rsidP="0063090E">
      <w:pPr>
        <w:pStyle w:val="a4"/>
        <w:numPr>
          <w:ilvl w:val="0"/>
          <w:numId w:val="4"/>
        </w:numPr>
        <w:ind w:firstLineChars="0"/>
        <w:rPr>
          <w:b/>
        </w:rPr>
      </w:pPr>
      <w:r w:rsidRPr="0063090E">
        <w:rPr>
          <w:rFonts w:hint="eastAsia"/>
          <w:b/>
        </w:rPr>
        <w:t>基金经理</w:t>
      </w:r>
    </w:p>
    <w:p w:rsidR="002A1223" w:rsidRDefault="002A1223" w:rsidP="00D338CB">
      <w:pPr>
        <w:ind w:firstLineChars="200" w:firstLine="420"/>
      </w:pPr>
      <w:r>
        <w:rPr>
          <w:rFonts w:hint="eastAsia"/>
        </w:rPr>
        <w:t>注意到基金经理近几年的策略变化</w:t>
      </w:r>
      <w:r w:rsidR="0063090E">
        <w:rPr>
          <w:rFonts w:hint="eastAsia"/>
        </w:rPr>
        <w:t>：</w:t>
      </w:r>
    </w:p>
    <w:p w:rsidR="002A1223" w:rsidRDefault="002A1223">
      <w:r>
        <w:rPr>
          <w:rFonts w:hint="eastAsia"/>
        </w:rPr>
        <w:t>2</w:t>
      </w:r>
      <w:r>
        <w:t>019</w:t>
      </w:r>
      <w:r>
        <w:rPr>
          <w:rFonts w:hint="eastAsia"/>
        </w:rPr>
        <w:t>一季度：配置医药、科技、养殖、化工、交运，获取事件驱动收益+高beta收益；</w:t>
      </w:r>
    </w:p>
    <w:p w:rsidR="002A1223" w:rsidRDefault="002A1223">
      <w:r>
        <w:rPr>
          <w:rFonts w:hint="eastAsia"/>
        </w:rPr>
        <w:t>2</w:t>
      </w:r>
      <w:r>
        <w:t>019</w:t>
      </w:r>
      <w:r>
        <w:rPr>
          <w:rFonts w:hint="eastAsia"/>
        </w:rPr>
        <w:t>二季度：显著回调后，配置低波动组合抵御继续下行风险，获取</w:t>
      </w:r>
      <w:r w:rsidR="00EC67B9">
        <w:rPr>
          <w:rFonts w:hint="eastAsia"/>
        </w:rPr>
        <w:t>投资组合分散收益；</w:t>
      </w:r>
    </w:p>
    <w:p w:rsidR="00EC67B9" w:rsidRDefault="00EC67B9">
      <w:r>
        <w:rPr>
          <w:rFonts w:hint="eastAsia"/>
        </w:rPr>
        <w:t>2</w:t>
      </w:r>
      <w:r>
        <w:t>019</w:t>
      </w:r>
      <w:r>
        <w:rPr>
          <w:rFonts w:hint="eastAsia"/>
        </w:rPr>
        <w:t>三四季度：配置消费白马和科技，稳步拉开基准，获取投资组合分散+alpha收益；</w:t>
      </w:r>
    </w:p>
    <w:p w:rsidR="00EC67B9" w:rsidRDefault="00EC67B9">
      <w:r>
        <w:rPr>
          <w:rFonts w:hint="eastAsia"/>
        </w:rPr>
        <w:t>2</w:t>
      </w:r>
      <w:r>
        <w:t>020</w:t>
      </w:r>
      <w:r>
        <w:rPr>
          <w:rFonts w:hint="eastAsia"/>
        </w:rPr>
        <w:t>一季度：配置消费电子、芯片等科技股，获取beta收益并承担较大风险；</w:t>
      </w:r>
    </w:p>
    <w:p w:rsidR="00EC67B9" w:rsidRDefault="00EC67B9">
      <w:r>
        <w:rPr>
          <w:rFonts w:hint="eastAsia"/>
        </w:rPr>
        <w:t>2</w:t>
      </w:r>
      <w:r>
        <w:t>020</w:t>
      </w:r>
      <w:r>
        <w:rPr>
          <w:rFonts w:hint="eastAsia"/>
        </w:rPr>
        <w:t>二三四季度：通过配置消费白马和科技白马，持续稳定获取alpha超额收益；</w:t>
      </w:r>
    </w:p>
    <w:p w:rsidR="00EC67B9" w:rsidRDefault="00EC67B9">
      <w:r>
        <w:rPr>
          <w:rFonts w:hint="eastAsia"/>
        </w:rPr>
        <w:t>2</w:t>
      </w:r>
      <w:r>
        <w:t>021</w:t>
      </w:r>
      <w:r>
        <w:rPr>
          <w:rFonts w:hint="eastAsia"/>
        </w:rPr>
        <w:t>一季度：配置低波动组合抵御继续下行风险，获取投资组合分散收益；</w:t>
      </w:r>
    </w:p>
    <w:p w:rsidR="00EC67B9" w:rsidRDefault="00EC67B9">
      <w:r>
        <w:rPr>
          <w:rFonts w:hint="eastAsia"/>
        </w:rPr>
        <w:t>2</w:t>
      </w:r>
      <w:r>
        <w:t>021</w:t>
      </w:r>
      <w:r>
        <w:rPr>
          <w:rFonts w:hint="eastAsia"/>
        </w:rPr>
        <w:t>二季度：分散稳健配置，获取alpha收益和市场上涨所带来的beta收益；</w:t>
      </w:r>
    </w:p>
    <w:p w:rsidR="00EC67B9" w:rsidRDefault="00EC67B9">
      <w:r>
        <w:rPr>
          <w:rFonts w:hint="eastAsia"/>
        </w:rPr>
        <w:t>2</w:t>
      </w:r>
      <w:r>
        <w:t>021</w:t>
      </w:r>
      <w:r>
        <w:rPr>
          <w:rFonts w:hint="eastAsia"/>
        </w:rPr>
        <w:t>三四季度：市场表现明显波动的情况下，仍能够实现收益稳步增长，获取纯alpha收益和分散配置收益；</w:t>
      </w:r>
    </w:p>
    <w:p w:rsidR="00EC67B9" w:rsidRDefault="00EC67B9">
      <w:r>
        <w:rPr>
          <w:rFonts w:hint="eastAsia"/>
        </w:rPr>
        <w:t>2</w:t>
      </w:r>
      <w:r>
        <w:t>022</w:t>
      </w:r>
      <w:r>
        <w:rPr>
          <w:rFonts w:hint="eastAsia"/>
        </w:rPr>
        <w:t>一季度：市场下滑带动基金</w:t>
      </w:r>
      <w:r w:rsidR="000334DF">
        <w:rPr>
          <w:rFonts w:hint="eastAsia"/>
        </w:rPr>
        <w:t>业绩</w:t>
      </w:r>
      <w:r>
        <w:rPr>
          <w:rFonts w:hint="eastAsia"/>
        </w:rPr>
        <w:t>下滑</w:t>
      </w:r>
      <w:r w:rsidR="000334DF">
        <w:rPr>
          <w:rFonts w:hint="eastAsia"/>
        </w:rPr>
        <w:t>，但下滑速度明显较市场更缓，获取配置低估值+大类资产配置收益；</w:t>
      </w:r>
    </w:p>
    <w:p w:rsidR="000334DF" w:rsidRDefault="000334DF" w:rsidP="00D338CB">
      <w:pPr>
        <w:ind w:firstLineChars="200" w:firstLine="420"/>
      </w:pPr>
      <w:r>
        <w:rPr>
          <w:rFonts w:hint="eastAsia"/>
        </w:rPr>
        <w:t>由于基金经理旗下基金走势基本相同，故基金经理的策略容量就是基金经理的管理规模，在2</w:t>
      </w:r>
      <w:r>
        <w:t>021</w:t>
      </w:r>
      <w:r>
        <w:rPr>
          <w:rFonts w:hint="eastAsia"/>
        </w:rPr>
        <w:t>年6月3</w:t>
      </w:r>
      <w:r>
        <w:t>0</w:t>
      </w:r>
      <w:r>
        <w:rPr>
          <w:rFonts w:hint="eastAsia"/>
        </w:rPr>
        <w:t>日之前基金经理的管理规模都在1</w:t>
      </w:r>
      <w:r>
        <w:t>0</w:t>
      </w:r>
      <w:r>
        <w:rPr>
          <w:rFonts w:hint="eastAsia"/>
        </w:rPr>
        <w:t>亿以内，这给了基金经理灵活选取策略的较大空间，基金经理的大幅换仓也不会导致相关个股的波动；而之后基金经理的管理规模大幅增加，在2</w:t>
      </w:r>
      <w:r>
        <w:t>021</w:t>
      </w:r>
      <w:r>
        <w:rPr>
          <w:rFonts w:hint="eastAsia"/>
        </w:rPr>
        <w:t>年底已</w:t>
      </w:r>
      <w:r w:rsidR="00275FF2">
        <w:rPr>
          <w:rFonts w:hint="eastAsia"/>
        </w:rPr>
        <w:t>有</w:t>
      </w:r>
      <w:r>
        <w:rPr>
          <w:rFonts w:hint="eastAsia"/>
        </w:rPr>
        <w:t>8</w:t>
      </w:r>
      <w:r>
        <w:t>2</w:t>
      </w:r>
      <w:r>
        <w:rPr>
          <w:rFonts w:hint="eastAsia"/>
        </w:rPr>
        <w:t>亿的管理规模</w:t>
      </w:r>
      <w:r w:rsidR="00275FF2">
        <w:rPr>
          <w:rFonts w:hint="eastAsia"/>
        </w:rPr>
        <w:t>，故基金经理的策略有向获取稳定alpha收益的方向偏。但总体上，本基金在不同的市场行情下，依然会做出一定的策略偏好。</w:t>
      </w:r>
    </w:p>
    <w:p w:rsidR="00275FF2" w:rsidRPr="00D338CB" w:rsidRDefault="00275FF2" w:rsidP="00D338CB">
      <w:pPr>
        <w:pStyle w:val="a4"/>
        <w:numPr>
          <w:ilvl w:val="0"/>
          <w:numId w:val="4"/>
        </w:numPr>
        <w:ind w:firstLineChars="0"/>
        <w:rPr>
          <w:b/>
        </w:rPr>
      </w:pPr>
      <w:r w:rsidRPr="00D338CB">
        <w:rPr>
          <w:rFonts w:hint="eastAsia"/>
          <w:b/>
        </w:rPr>
        <w:t>基金公司：</w:t>
      </w:r>
    </w:p>
    <w:p w:rsidR="00275FF2" w:rsidRDefault="00275FF2" w:rsidP="00D338CB">
      <w:pPr>
        <w:ind w:firstLineChars="200" w:firstLine="420"/>
      </w:pPr>
      <w:r>
        <w:rPr>
          <w:rFonts w:hint="eastAsia"/>
        </w:rPr>
        <w:t>银华基金作为</w:t>
      </w:r>
      <w:r w:rsidR="00D338CB">
        <w:rPr>
          <w:rFonts w:hint="eastAsia"/>
        </w:rPr>
        <w:t>大型</w:t>
      </w:r>
      <w:r>
        <w:rPr>
          <w:rFonts w:hint="eastAsia"/>
        </w:rPr>
        <w:t>公募基金，其管理规模近年来稳步增长，已经达到5</w:t>
      </w:r>
      <w:r>
        <w:t>000</w:t>
      </w:r>
      <w:r>
        <w:rPr>
          <w:rFonts w:hint="eastAsia"/>
        </w:rPr>
        <w:t>亿左右。基金公司的个股研究实力十分强劲，旗下共有基金1</w:t>
      </w:r>
      <w:r>
        <w:t>73</w:t>
      </w:r>
      <w:r>
        <w:rPr>
          <w:rFonts w:hint="eastAsia"/>
        </w:rPr>
        <w:t>只，分别为混合型基金7</w:t>
      </w:r>
      <w:r>
        <w:t>5</w:t>
      </w:r>
      <w:r>
        <w:rPr>
          <w:rFonts w:hint="eastAsia"/>
        </w:rPr>
        <w:t>只，指数型基金3</w:t>
      </w:r>
      <w:r>
        <w:t>9</w:t>
      </w:r>
      <w:r>
        <w:rPr>
          <w:rFonts w:hint="eastAsia"/>
        </w:rPr>
        <w:t>只，</w:t>
      </w:r>
      <w:r w:rsidR="001B2D5B">
        <w:rPr>
          <w:rFonts w:hint="eastAsia"/>
        </w:rPr>
        <w:t>债券型基金2</w:t>
      </w:r>
      <w:r w:rsidR="001B2D5B">
        <w:t>8</w:t>
      </w:r>
      <w:r w:rsidR="001B2D5B">
        <w:rPr>
          <w:rFonts w:hint="eastAsia"/>
        </w:rPr>
        <w:t>只，股票型基金1</w:t>
      </w:r>
      <w:r w:rsidR="001B2D5B">
        <w:t>1</w:t>
      </w:r>
      <w:r w:rsidR="001B2D5B">
        <w:rPr>
          <w:rFonts w:hint="eastAsia"/>
        </w:rPr>
        <w:t>只，FOF，货币型，QDII各有8只，6只，6只。属于规模靠前的基金公司。</w:t>
      </w:r>
    </w:p>
    <w:p w:rsidR="00100200" w:rsidRDefault="001B2D5B" w:rsidP="00D338CB">
      <w:pPr>
        <w:ind w:firstLineChars="200" w:firstLine="420"/>
      </w:pPr>
      <w:r>
        <w:rPr>
          <w:rFonts w:hint="eastAsia"/>
        </w:rPr>
        <w:t>公司的股票池十分优越，普遍的股票型基金和混合型基金都有显著的选股能力</w:t>
      </w:r>
      <w:r w:rsidR="00985380">
        <w:rPr>
          <w:rFonts w:hint="eastAsia"/>
        </w:rPr>
        <w:t>。</w:t>
      </w:r>
      <w:r w:rsidR="00100200">
        <w:rPr>
          <w:rFonts w:hint="eastAsia"/>
        </w:rPr>
        <w:t>在我们的评级体系中，</w:t>
      </w:r>
      <w:r w:rsidR="00EA236F">
        <w:rPr>
          <w:rFonts w:hint="eastAsia"/>
        </w:rPr>
        <w:t>银华基金在中盘风格下的优秀基金较多，且近三年4星及以上的中盘风格基金占比</w:t>
      </w:r>
      <w:r w:rsidR="00EA236F">
        <w:t>50%</w:t>
      </w:r>
      <w:r w:rsidR="00EA236F">
        <w:rPr>
          <w:rFonts w:hint="eastAsia"/>
        </w:rPr>
        <w:t>，远超平均值3</w:t>
      </w:r>
      <w:r w:rsidR="00EA236F">
        <w:t>2.5%</w:t>
      </w:r>
      <w:r w:rsidR="00EA236F">
        <w:rPr>
          <w:rFonts w:hint="eastAsia"/>
        </w:rPr>
        <w:t>。</w:t>
      </w:r>
      <w:r w:rsidR="00100200">
        <w:rPr>
          <w:rFonts w:hint="eastAsia"/>
        </w:rPr>
        <w:t>正是因为银华基金优秀的中盘股票研究团队，才有本基金</w:t>
      </w:r>
      <w:r w:rsidR="00EA236F">
        <w:rPr>
          <w:rFonts w:hint="eastAsia"/>
        </w:rPr>
        <w:t>强大的选股能力。</w:t>
      </w:r>
    </w:p>
    <w:p w:rsidR="009F5C01" w:rsidRPr="00EC67B9" w:rsidRDefault="009F5C01" w:rsidP="009F5C01">
      <w:pPr>
        <w:rPr>
          <w:rFonts w:hint="eastAsia"/>
        </w:rPr>
      </w:pPr>
      <w:bookmarkStart w:id="0" w:name="_GoBack"/>
      <w:bookmarkEnd w:id="0"/>
    </w:p>
    <w:p w:rsidR="00B81562" w:rsidRPr="004D71C9" w:rsidRDefault="00E6105A">
      <w:pPr>
        <w:rPr>
          <w:b/>
          <w:sz w:val="28"/>
        </w:rPr>
      </w:pPr>
      <w:r w:rsidRPr="004D71C9">
        <w:rPr>
          <w:rFonts w:hint="eastAsia"/>
          <w:b/>
          <w:sz w:val="28"/>
        </w:rPr>
        <w:t>五、</w:t>
      </w:r>
      <w:r w:rsidR="00B81562" w:rsidRPr="004D71C9">
        <w:rPr>
          <w:rFonts w:hint="eastAsia"/>
          <w:b/>
          <w:sz w:val="28"/>
        </w:rPr>
        <w:t>策略配置价值</w:t>
      </w:r>
    </w:p>
    <w:p w:rsidR="00FE2F6D" w:rsidRPr="00FE2F6D" w:rsidRDefault="00FE2F6D" w:rsidP="00FE2F6D">
      <w:pPr>
        <w:pStyle w:val="a4"/>
        <w:numPr>
          <w:ilvl w:val="0"/>
          <w:numId w:val="5"/>
        </w:numPr>
        <w:ind w:firstLineChars="0"/>
        <w:rPr>
          <w:b/>
        </w:rPr>
      </w:pPr>
      <w:r w:rsidRPr="00FE2F6D">
        <w:rPr>
          <w:rFonts w:hint="eastAsia"/>
          <w:b/>
        </w:rPr>
        <w:t>宏观经济</w:t>
      </w:r>
    </w:p>
    <w:p w:rsidR="00E27909" w:rsidRDefault="00E27909" w:rsidP="00FE2F6D">
      <w:pPr>
        <w:ind w:firstLineChars="200" w:firstLine="420"/>
      </w:pPr>
      <w:r>
        <w:rPr>
          <w:rFonts w:hint="eastAsia"/>
        </w:rPr>
        <w:t>2</w:t>
      </w:r>
      <w:r>
        <w:t>021</w:t>
      </w:r>
      <w:r>
        <w:rPr>
          <w:rFonts w:hint="eastAsia"/>
        </w:rPr>
        <w:t>年四季度，</w:t>
      </w:r>
      <w:r w:rsidR="0085666D">
        <w:rPr>
          <w:rFonts w:hint="eastAsia"/>
        </w:rPr>
        <w:t>面对“双控”限电限产所导致的经济短期停滞，</w:t>
      </w:r>
      <w:r w:rsidR="00756B57">
        <w:rPr>
          <w:rFonts w:hint="eastAsia"/>
        </w:rPr>
        <w:t>中央经济工作会议</w:t>
      </w:r>
      <w:r w:rsidR="0085666D">
        <w:rPr>
          <w:rFonts w:hint="eastAsia"/>
        </w:rPr>
        <w:t>快速做出政策纠偏，转为“双碳”政策，以稳增长为主，同时货币政策也适度宽松。</w:t>
      </w:r>
    </w:p>
    <w:p w:rsidR="00E27909" w:rsidRDefault="00E27909" w:rsidP="00FE2F6D">
      <w:pPr>
        <w:ind w:firstLineChars="200" w:firstLine="420"/>
      </w:pPr>
      <w:r>
        <w:t>2022</w:t>
      </w:r>
      <w:r>
        <w:rPr>
          <w:rFonts w:hint="eastAsia"/>
        </w:rPr>
        <w:t>年一季度，</w:t>
      </w:r>
      <w:r w:rsidR="00DA77FD">
        <w:rPr>
          <w:rFonts w:hint="eastAsia"/>
        </w:rPr>
        <w:t>经济会出现更多的供给逻辑，货币政策会维持稳健，</w:t>
      </w:r>
      <w:r>
        <w:rPr>
          <w:rFonts w:hint="eastAsia"/>
        </w:rPr>
        <w:t>更多地以结构性政策为主。</w:t>
      </w:r>
      <w:r w:rsidR="004152C3">
        <w:rPr>
          <w:rFonts w:hint="eastAsia"/>
        </w:rPr>
        <w:t>信贷需求仍比较差，目前以政信类为主，房地产类的仍未放开。注意到近期深圳和浙江已经开启一次对小微企业的纾困政策，预期后续还会出现货币财政化的政策，这一定程度会缓解信贷需求较差的基本面。</w:t>
      </w:r>
    </w:p>
    <w:p w:rsidR="00AE1136" w:rsidRDefault="00AE1136" w:rsidP="00FE2F6D">
      <w:pPr>
        <w:ind w:firstLineChars="200" w:firstLine="420"/>
        <w:rPr>
          <w:rFonts w:hint="eastAsia"/>
        </w:rPr>
      </w:pPr>
      <w:r>
        <w:rPr>
          <w:rFonts w:hint="eastAsia"/>
        </w:rPr>
        <w:t>3月份以来，俄乌战争的爆发</w:t>
      </w:r>
      <w:r w:rsidR="00FE2F6D">
        <w:rPr>
          <w:rFonts w:hint="eastAsia"/>
        </w:rPr>
        <w:t>、</w:t>
      </w:r>
      <w:r w:rsidR="00FE2F6D">
        <w:rPr>
          <w:rFonts w:hint="eastAsia"/>
        </w:rPr>
        <w:t>A股市场的急跌</w:t>
      </w:r>
      <w:r w:rsidR="00FE2F6D">
        <w:rPr>
          <w:rFonts w:hint="eastAsia"/>
        </w:rPr>
        <w:t>，</w:t>
      </w:r>
      <w:r>
        <w:rPr>
          <w:rFonts w:hint="eastAsia"/>
        </w:rPr>
        <w:t>导致较多的避险</w:t>
      </w:r>
      <w:r w:rsidR="00FE2F6D">
        <w:rPr>
          <w:rFonts w:hint="eastAsia"/>
        </w:rPr>
        <w:t>资金配置美元资产，</w:t>
      </w:r>
      <w:r w:rsidR="00FE2F6D">
        <w:rPr>
          <w:rFonts w:hint="eastAsia"/>
        </w:rPr>
        <w:lastRenderedPageBreak/>
        <w:t>预期美联储加息会推后，后三个季度美联储可能会有加息，但是次数较</w:t>
      </w:r>
      <w:r w:rsidR="00FE2F6D">
        <w:t>2021</w:t>
      </w:r>
      <w:r w:rsidR="00FE2F6D">
        <w:rPr>
          <w:rFonts w:hint="eastAsia"/>
        </w:rPr>
        <w:t>年底预测的3次加息会更少。</w:t>
      </w:r>
      <w:r w:rsidR="009F5C01">
        <w:rPr>
          <w:rFonts w:hint="eastAsia"/>
        </w:rPr>
        <w:t>短期</w:t>
      </w:r>
      <w:r w:rsidR="009F5C01">
        <w:rPr>
          <w:rFonts w:hint="eastAsia"/>
        </w:rPr>
        <w:t>来看，而美国目前尚无明显的加息需求。</w:t>
      </w:r>
    </w:p>
    <w:p w:rsidR="00FE2F6D" w:rsidRPr="00FE2F6D" w:rsidRDefault="00FE2F6D" w:rsidP="00FE2F6D">
      <w:pPr>
        <w:pStyle w:val="a4"/>
        <w:numPr>
          <w:ilvl w:val="0"/>
          <w:numId w:val="5"/>
        </w:numPr>
        <w:ind w:firstLineChars="0"/>
        <w:rPr>
          <w:b/>
        </w:rPr>
      </w:pPr>
      <w:r w:rsidRPr="00FE2F6D">
        <w:rPr>
          <w:rFonts w:hint="eastAsia"/>
          <w:b/>
        </w:rPr>
        <w:t>2</w:t>
      </w:r>
      <w:r w:rsidRPr="00FE2F6D">
        <w:rPr>
          <w:b/>
        </w:rPr>
        <w:t>022</w:t>
      </w:r>
      <w:r w:rsidRPr="00FE2F6D">
        <w:rPr>
          <w:rFonts w:hint="eastAsia"/>
          <w:b/>
        </w:rPr>
        <w:t>年</w:t>
      </w:r>
      <w:r>
        <w:rPr>
          <w:rFonts w:hint="eastAsia"/>
          <w:b/>
        </w:rPr>
        <w:t>宏观经济</w:t>
      </w:r>
      <w:r w:rsidRPr="00FE2F6D">
        <w:rPr>
          <w:rFonts w:hint="eastAsia"/>
          <w:b/>
        </w:rPr>
        <w:t>预测</w:t>
      </w:r>
    </w:p>
    <w:p w:rsidR="004152C3" w:rsidRDefault="004152C3" w:rsidP="009F5C01">
      <w:pPr>
        <w:ind w:firstLineChars="200" w:firstLine="420"/>
        <w:rPr>
          <w:rFonts w:hint="eastAsia"/>
        </w:rPr>
      </w:pPr>
      <w:r>
        <w:rPr>
          <w:rFonts w:hint="eastAsia"/>
        </w:rPr>
        <w:t>2</w:t>
      </w:r>
      <w:r>
        <w:t>022</w:t>
      </w:r>
      <w:r>
        <w:rPr>
          <w:rFonts w:hint="eastAsia"/>
        </w:rPr>
        <w:t>年后三个季度，</w:t>
      </w:r>
      <w:r w:rsidR="00E27909">
        <w:rPr>
          <w:rFonts w:hint="eastAsia"/>
        </w:rPr>
        <w:t>在美联储加息的</w:t>
      </w:r>
      <w:r w:rsidR="00AE1136">
        <w:rPr>
          <w:rFonts w:hint="eastAsia"/>
        </w:rPr>
        <w:t>预期</w:t>
      </w:r>
      <w:r w:rsidR="00E27909">
        <w:rPr>
          <w:rFonts w:hint="eastAsia"/>
        </w:rPr>
        <w:t>环境下，</w:t>
      </w:r>
      <w:r>
        <w:rPr>
          <w:rFonts w:hint="eastAsia"/>
        </w:rPr>
        <w:t>预计央行会逐渐边际收紧一季度较为宽松的货币政策，以稳健为主。如上所述，宽财政和宽信用的</w:t>
      </w:r>
      <w:r w:rsidR="00AE1136">
        <w:rPr>
          <w:rFonts w:hint="eastAsia"/>
        </w:rPr>
        <w:t>作用下，流动性比较充足</w:t>
      </w:r>
      <w:r w:rsidR="00FE2F6D">
        <w:rPr>
          <w:rFonts w:hint="eastAsia"/>
        </w:rPr>
        <w:t>，从3月急跌的市场环境来看，</w:t>
      </w:r>
      <w:r w:rsidR="009F5C01">
        <w:rPr>
          <w:rFonts w:hint="eastAsia"/>
        </w:rPr>
        <w:t>后三个季度对</w:t>
      </w:r>
      <w:r w:rsidR="00FE2F6D">
        <w:rPr>
          <w:rFonts w:hint="eastAsia"/>
        </w:rPr>
        <w:t>权益类市场</w:t>
      </w:r>
      <w:r w:rsidR="009F5C01">
        <w:rPr>
          <w:rFonts w:hint="eastAsia"/>
        </w:rPr>
        <w:t>较为乐观，</w:t>
      </w:r>
      <w:r w:rsidR="00FE2F6D">
        <w:rPr>
          <w:rFonts w:hint="eastAsia"/>
        </w:rPr>
        <w:t>配置价值会更高。</w:t>
      </w:r>
    </w:p>
    <w:p w:rsidR="00DA77FD" w:rsidRDefault="00DA77FD" w:rsidP="009F5C01">
      <w:pPr>
        <w:ind w:firstLineChars="200" w:firstLine="420"/>
      </w:pPr>
      <w:r>
        <w:rPr>
          <w:rFonts w:hint="eastAsia"/>
        </w:rPr>
        <w:t>房地产成为</w:t>
      </w:r>
      <w:r>
        <w:t>2022</w:t>
      </w:r>
      <w:r>
        <w:rPr>
          <w:rFonts w:hint="eastAsia"/>
        </w:rPr>
        <w:t>年经济的最大不确定性，实际上从2</w:t>
      </w:r>
      <w:r>
        <w:t>021</w:t>
      </w:r>
      <w:r>
        <w:rPr>
          <w:rFonts w:hint="eastAsia"/>
        </w:rPr>
        <w:t>年下半年政策对地产已经出现了边际放松的迹象，但是高周转、高杠杆的房地产经营模式已经不复存在</w:t>
      </w:r>
      <w:r w:rsidR="00756B57">
        <w:rPr>
          <w:rFonts w:hint="eastAsia"/>
        </w:rPr>
        <w:t>，当下的房地产需求也因为房企的财务问题而出现了较大的弱化，预期今年</w:t>
      </w:r>
      <w:r w:rsidR="00FE2F6D">
        <w:rPr>
          <w:rFonts w:hint="eastAsia"/>
        </w:rPr>
        <w:t>后三个</w:t>
      </w:r>
      <w:r w:rsidR="00756B57">
        <w:rPr>
          <w:rFonts w:hint="eastAsia"/>
        </w:rPr>
        <w:t>季度会出现房地产</w:t>
      </w:r>
      <w:r w:rsidR="007957BF">
        <w:rPr>
          <w:rFonts w:hint="eastAsia"/>
        </w:rPr>
        <w:t>政策</w:t>
      </w:r>
      <w:r w:rsidR="00E27909">
        <w:rPr>
          <w:rFonts w:hint="eastAsia"/>
        </w:rPr>
        <w:t>更多的</w:t>
      </w:r>
      <w:r w:rsidR="007957BF">
        <w:rPr>
          <w:rFonts w:hint="eastAsia"/>
        </w:rPr>
        <w:t>放松。</w:t>
      </w:r>
      <w:r w:rsidR="00E27909">
        <w:rPr>
          <w:rFonts w:hint="eastAsia"/>
        </w:rPr>
        <w:t>同时，应对房地产较大的下行压力，基建会是今年</w:t>
      </w:r>
      <w:r w:rsidR="00FE2F6D">
        <w:rPr>
          <w:rFonts w:hint="eastAsia"/>
        </w:rPr>
        <w:t>后三个</w:t>
      </w:r>
      <w:r w:rsidR="00E27909">
        <w:rPr>
          <w:rFonts w:hint="eastAsia"/>
        </w:rPr>
        <w:t>季度的</w:t>
      </w:r>
      <w:r w:rsidR="00FE2F6D">
        <w:rPr>
          <w:rFonts w:hint="eastAsia"/>
        </w:rPr>
        <w:t>重要发力点。</w:t>
      </w:r>
    </w:p>
    <w:p w:rsidR="00FE2F6D" w:rsidRDefault="00FE2F6D" w:rsidP="009F5C01">
      <w:pPr>
        <w:ind w:firstLineChars="200" w:firstLine="420"/>
        <w:rPr>
          <w:rFonts w:hint="eastAsia"/>
        </w:rPr>
      </w:pPr>
      <w:r>
        <w:rPr>
          <w:rFonts w:hint="eastAsia"/>
        </w:rPr>
        <w:t>中期来看，目前中美经济错位，中国已经进入到</w:t>
      </w:r>
      <w:r w:rsidR="009F5C01">
        <w:rPr>
          <w:rFonts w:hint="eastAsia"/>
        </w:rPr>
        <w:t>“滞”的阶段，而美国经济则还在经济上行的“胀”的阶段。中期来看，中国经济的下行压力主要来自房地产，而重要发力点则是基建、新基建、新能源、中高端制造业。目前转型速度较快，但是预计今年总体经济会偏衰退。</w:t>
      </w:r>
    </w:p>
    <w:p w:rsidR="00FE2F6D" w:rsidRPr="0086615C" w:rsidRDefault="00FE2F6D" w:rsidP="00FE2F6D">
      <w:pPr>
        <w:pStyle w:val="a4"/>
        <w:numPr>
          <w:ilvl w:val="0"/>
          <w:numId w:val="5"/>
        </w:numPr>
        <w:ind w:firstLineChars="0"/>
        <w:rPr>
          <w:b/>
        </w:rPr>
      </w:pPr>
      <w:r w:rsidRPr="0086615C">
        <w:rPr>
          <w:rFonts w:hint="eastAsia"/>
          <w:b/>
        </w:rPr>
        <w:t>配置思路</w:t>
      </w:r>
    </w:p>
    <w:p w:rsidR="00F67953" w:rsidRDefault="009F5C01" w:rsidP="00ED5636">
      <w:pPr>
        <w:ind w:firstLineChars="200" w:firstLine="420"/>
        <w:rPr>
          <w:rFonts w:hint="eastAsia"/>
        </w:rPr>
      </w:pPr>
      <w:r>
        <w:rPr>
          <w:rFonts w:hint="eastAsia"/>
        </w:rPr>
        <w:t>根据如上的宏观分析，</w:t>
      </w:r>
      <w:r w:rsidR="00F67953">
        <w:rPr>
          <w:rFonts w:hint="eastAsia"/>
        </w:rPr>
        <w:t>信贷政策和财政政策的宽松带来了大量的流动性，因此预期今年可用于资产配置的资金较多，财富配置需求旺盛，在3月份急跌的这段行情中集中释放了新能源及相关产业估值偏高的风险，全市场的估值较为合理，较为看好</w:t>
      </w:r>
      <w:r w:rsidR="000D2196">
        <w:rPr>
          <w:rFonts w:hint="eastAsia"/>
        </w:rPr>
        <w:t>中期</w:t>
      </w:r>
      <w:r w:rsidR="00F67953">
        <w:rPr>
          <w:rFonts w:hint="eastAsia"/>
        </w:rPr>
        <w:t>后续市场行情。</w:t>
      </w:r>
    </w:p>
    <w:p w:rsidR="00FE2F6D" w:rsidRDefault="002268FD" w:rsidP="00ED5636">
      <w:pPr>
        <w:ind w:firstLineChars="200" w:firstLine="420"/>
        <w:rPr>
          <w:rFonts w:hint="eastAsia"/>
        </w:rPr>
      </w:pPr>
      <w:r>
        <w:rPr>
          <w:rFonts w:hint="eastAsia"/>
        </w:rPr>
        <w:t>今年经济的下行压力主要来自房地产</w:t>
      </w:r>
      <w:r w:rsidR="00F67953">
        <w:rPr>
          <w:rFonts w:hint="eastAsia"/>
        </w:rPr>
        <w:t>，但实际上从去年下半年开始，房地产开发相关行业已经因为货币政策的边际宽松而上行一段时间，但本报告认为，现阶段还需要从房地产需求更多的政策支持，这会继续刺激房地产、银行、水泥建材等相关行业。</w:t>
      </w:r>
      <w:r w:rsidR="00A714D8">
        <w:rPr>
          <w:rFonts w:hint="eastAsia"/>
        </w:rPr>
        <w:t>同时在需求</w:t>
      </w:r>
      <w:r w:rsidR="00A714D8">
        <w:rPr>
          <w:rFonts w:hint="eastAsia"/>
        </w:rPr>
        <w:t>拉动方面</w:t>
      </w:r>
      <w:r w:rsidR="00A714D8">
        <w:rPr>
          <w:rFonts w:hint="eastAsia"/>
        </w:rPr>
        <w:t>仍可</w:t>
      </w:r>
      <w:r w:rsidR="00A714D8">
        <w:rPr>
          <w:rFonts w:hint="eastAsia"/>
        </w:rPr>
        <w:t>关注基建、新基建、制造业等相关行业。</w:t>
      </w:r>
    </w:p>
    <w:p w:rsidR="000D2196" w:rsidRDefault="00A714D8" w:rsidP="00ED5636">
      <w:pPr>
        <w:ind w:firstLineChars="200" w:firstLine="420"/>
        <w:rPr>
          <w:rFonts w:hint="eastAsia"/>
        </w:rPr>
      </w:pPr>
      <w:r>
        <w:rPr>
          <w:rFonts w:hint="eastAsia"/>
        </w:rPr>
        <w:t>进一步地，</w:t>
      </w:r>
      <w:r w:rsidR="000D2196">
        <w:rPr>
          <w:rFonts w:hint="eastAsia"/>
        </w:rPr>
        <w:t>低估值的资产在2</w:t>
      </w:r>
      <w:r w:rsidR="000D2196">
        <w:t>022</w:t>
      </w:r>
      <w:r w:rsidR="000D2196">
        <w:rPr>
          <w:rFonts w:hint="eastAsia"/>
        </w:rPr>
        <w:t>年一季度已经表现出相当强的抗跌属性，甚至对于部分行业出现了上涨行情，</w:t>
      </w:r>
      <w:r>
        <w:rPr>
          <w:rFonts w:hint="eastAsia"/>
        </w:rPr>
        <w:t>本报告认为在宏观经济较为低迷的环境下，低估值仍可持续关注。</w:t>
      </w:r>
    </w:p>
    <w:p w:rsidR="00A714D8" w:rsidRDefault="00A714D8" w:rsidP="00ED5636">
      <w:pPr>
        <w:ind w:firstLineChars="200" w:firstLine="420"/>
      </w:pPr>
      <w:r>
        <w:rPr>
          <w:rFonts w:hint="eastAsia"/>
        </w:rPr>
        <w:t>本报告认为消费、医药行情在短期内仍无法得到快速修复，估值在半年到一年内可能会维持在一个低位的水平，一方面，较大的市值规模现阶段仍不是市场的偏好</w:t>
      </w:r>
      <w:r w:rsidR="00987C6C">
        <w:rPr>
          <w:rFonts w:hint="eastAsia"/>
        </w:rPr>
        <w:t>，消费数据并无较大改善，预期修复仍需时间</w:t>
      </w:r>
      <w:r w:rsidR="00587502">
        <w:rPr>
          <w:rFonts w:hint="eastAsia"/>
        </w:rPr>
        <w:t>；另一方面</w:t>
      </w:r>
      <w:r w:rsidR="00987C6C">
        <w:rPr>
          <w:rFonts w:hint="eastAsia"/>
        </w:rPr>
        <w:t>，在经济较差，货币政策宽松的宏观背景下，</w:t>
      </w:r>
      <w:r w:rsidR="00987C6C">
        <w:rPr>
          <w:rFonts w:hint="eastAsia"/>
        </w:rPr>
        <w:t>价值成长股</w:t>
      </w:r>
      <w:r w:rsidR="00987C6C">
        <w:rPr>
          <w:rFonts w:hint="eastAsia"/>
        </w:rPr>
        <w:t>才会迎来较好的行情。</w:t>
      </w:r>
    </w:p>
    <w:p w:rsidR="00A714D8" w:rsidRPr="00A714D8" w:rsidRDefault="00A714D8" w:rsidP="00ED5636">
      <w:pPr>
        <w:ind w:firstLineChars="200" w:firstLine="420"/>
        <w:rPr>
          <w:rFonts w:hint="eastAsia"/>
        </w:rPr>
      </w:pPr>
      <w:r>
        <w:rPr>
          <w:rFonts w:hint="eastAsia"/>
        </w:rPr>
        <w:t>新能源、新基建、中高端制造在中期有较好地配置价值，应避免大</w:t>
      </w:r>
      <w:r w:rsidR="00587502">
        <w:rPr>
          <w:rFonts w:hint="eastAsia"/>
        </w:rPr>
        <w:t>市值</w:t>
      </w:r>
      <w:r w:rsidR="00987C6C">
        <w:rPr>
          <w:rFonts w:hint="eastAsia"/>
        </w:rPr>
        <w:t>、前期涨幅较高的风格，转而中端制造、中盘风格、动量不高的股票。短期内仍有一定的下行风险。</w:t>
      </w:r>
    </w:p>
    <w:p w:rsidR="00FE2F6D" w:rsidRPr="0086615C" w:rsidRDefault="00FE2F6D" w:rsidP="00FE2F6D">
      <w:pPr>
        <w:pStyle w:val="a4"/>
        <w:numPr>
          <w:ilvl w:val="0"/>
          <w:numId w:val="5"/>
        </w:numPr>
        <w:ind w:firstLineChars="0"/>
        <w:rPr>
          <w:rFonts w:hint="eastAsia"/>
          <w:b/>
        </w:rPr>
      </w:pPr>
      <w:r w:rsidRPr="0086615C">
        <w:rPr>
          <w:rFonts w:hint="eastAsia"/>
          <w:b/>
        </w:rPr>
        <w:t>本基金配置价值</w:t>
      </w:r>
    </w:p>
    <w:p w:rsidR="000220C0" w:rsidRDefault="00D338CB" w:rsidP="00A770C0">
      <w:pPr>
        <w:ind w:firstLineChars="200" w:firstLine="420"/>
      </w:pPr>
      <w:r>
        <w:rPr>
          <w:rFonts w:hint="eastAsia"/>
        </w:rPr>
        <w:t>根据本基金经理过去三年的操作思路</w:t>
      </w:r>
      <w:r w:rsidR="009F5C01">
        <w:rPr>
          <w:rFonts w:hint="eastAsia"/>
        </w:rPr>
        <w:t>，在每次遇到市场短期重大风险时，本基金基本会</w:t>
      </w:r>
      <w:r w:rsidR="00987C6C">
        <w:rPr>
          <w:rFonts w:hint="eastAsia"/>
        </w:rPr>
        <w:t>调整投资策略避免基金的持续下跌</w:t>
      </w:r>
      <w:r w:rsidR="007F7E39">
        <w:rPr>
          <w:rFonts w:hint="eastAsia"/>
        </w:rPr>
        <w:t>，近两年来看，基金对alpha策略有了更大的配置权重，配置了较多的抗跌股票</w:t>
      </w:r>
      <w:r w:rsidR="00A770C0">
        <w:rPr>
          <w:rFonts w:hint="eastAsia"/>
        </w:rPr>
        <w:t>，可以预期，基金在短期内净值持续下跌概率较小，可能会平稳走一段时间，新的市场风格形成之后会加大市场偏好风格的配置权重。</w:t>
      </w:r>
    </w:p>
    <w:p w:rsidR="00BF0C99" w:rsidRDefault="00A770C0" w:rsidP="00A770C0">
      <w:pPr>
        <w:ind w:firstLineChars="200" w:firstLine="420"/>
        <w:rPr>
          <w:rFonts w:hint="eastAsia"/>
        </w:rPr>
      </w:pPr>
      <w:r>
        <w:rPr>
          <w:rFonts w:hint="eastAsia"/>
        </w:rPr>
        <w:t>中期来看，今年市场行情在短期较大风险，低估值股票估值修复过后，仍会以偏科技、中高端制造、中盘风格为主，现阶段仍还比较契合本基金的优选alpha股票策略，是本基金及本基金公司所擅长的领域。</w:t>
      </w:r>
    </w:p>
    <w:sectPr w:rsidR="00BF0C99" w:rsidSect="00A2612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6C57"/>
    <w:multiLevelType w:val="hybridMultilevel"/>
    <w:tmpl w:val="B4A0DF72"/>
    <w:lvl w:ilvl="0" w:tplc="357EA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7274B0"/>
    <w:multiLevelType w:val="hybridMultilevel"/>
    <w:tmpl w:val="3F843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DD2D29"/>
    <w:multiLevelType w:val="hybridMultilevel"/>
    <w:tmpl w:val="8516F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7996AF4"/>
    <w:multiLevelType w:val="hybridMultilevel"/>
    <w:tmpl w:val="41DCE22E"/>
    <w:lvl w:ilvl="0" w:tplc="300CC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A62CD"/>
    <w:multiLevelType w:val="hybridMultilevel"/>
    <w:tmpl w:val="84B8FA02"/>
    <w:lvl w:ilvl="0" w:tplc="39746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B1F"/>
    <w:rsid w:val="00012C1F"/>
    <w:rsid w:val="000220C0"/>
    <w:rsid w:val="0003289A"/>
    <w:rsid w:val="000334DF"/>
    <w:rsid w:val="000628C3"/>
    <w:rsid w:val="00064516"/>
    <w:rsid w:val="000765E8"/>
    <w:rsid w:val="00082F0C"/>
    <w:rsid w:val="0008471B"/>
    <w:rsid w:val="00085A82"/>
    <w:rsid w:val="000A1728"/>
    <w:rsid w:val="000B60A7"/>
    <w:rsid w:val="000C322C"/>
    <w:rsid w:val="000C41DF"/>
    <w:rsid w:val="000D0522"/>
    <w:rsid w:val="000D1C6C"/>
    <w:rsid w:val="000D2196"/>
    <w:rsid w:val="000D450C"/>
    <w:rsid w:val="000E17A8"/>
    <w:rsid w:val="00100200"/>
    <w:rsid w:val="00103A71"/>
    <w:rsid w:val="00107D02"/>
    <w:rsid w:val="00113DBA"/>
    <w:rsid w:val="00115ACD"/>
    <w:rsid w:val="00126355"/>
    <w:rsid w:val="00165AAC"/>
    <w:rsid w:val="001840F9"/>
    <w:rsid w:val="0018650A"/>
    <w:rsid w:val="001A71C9"/>
    <w:rsid w:val="001A7857"/>
    <w:rsid w:val="001B2D5B"/>
    <w:rsid w:val="001D4C33"/>
    <w:rsid w:val="001E2685"/>
    <w:rsid w:val="001E5F78"/>
    <w:rsid w:val="001F667C"/>
    <w:rsid w:val="00204556"/>
    <w:rsid w:val="00206928"/>
    <w:rsid w:val="0021514B"/>
    <w:rsid w:val="002237B4"/>
    <w:rsid w:val="002268FD"/>
    <w:rsid w:val="00233DEF"/>
    <w:rsid w:val="00257E0B"/>
    <w:rsid w:val="002646CB"/>
    <w:rsid w:val="0027586F"/>
    <w:rsid w:val="00275FF2"/>
    <w:rsid w:val="002A0E1E"/>
    <w:rsid w:val="002A1223"/>
    <w:rsid w:val="002A1D64"/>
    <w:rsid w:val="002A2BD4"/>
    <w:rsid w:val="002B24BD"/>
    <w:rsid w:val="002B2E3F"/>
    <w:rsid w:val="0030538B"/>
    <w:rsid w:val="0031458C"/>
    <w:rsid w:val="00362E16"/>
    <w:rsid w:val="00394DCD"/>
    <w:rsid w:val="003A0FAD"/>
    <w:rsid w:val="003B45DF"/>
    <w:rsid w:val="003E6F08"/>
    <w:rsid w:val="004103F2"/>
    <w:rsid w:val="004152C3"/>
    <w:rsid w:val="00420DFC"/>
    <w:rsid w:val="00421C5B"/>
    <w:rsid w:val="00445DF2"/>
    <w:rsid w:val="00452090"/>
    <w:rsid w:val="00462FF6"/>
    <w:rsid w:val="004645E5"/>
    <w:rsid w:val="00481932"/>
    <w:rsid w:val="004D1801"/>
    <w:rsid w:val="004D2F1C"/>
    <w:rsid w:val="004D71C9"/>
    <w:rsid w:val="00505A5C"/>
    <w:rsid w:val="00527B1F"/>
    <w:rsid w:val="00542647"/>
    <w:rsid w:val="00542DE9"/>
    <w:rsid w:val="00545DB8"/>
    <w:rsid w:val="0057121A"/>
    <w:rsid w:val="0057550C"/>
    <w:rsid w:val="00581263"/>
    <w:rsid w:val="00587502"/>
    <w:rsid w:val="005A0231"/>
    <w:rsid w:val="005A7911"/>
    <w:rsid w:val="005B4671"/>
    <w:rsid w:val="005C2079"/>
    <w:rsid w:val="005E0379"/>
    <w:rsid w:val="005F4C36"/>
    <w:rsid w:val="0063090E"/>
    <w:rsid w:val="00642815"/>
    <w:rsid w:val="00656AED"/>
    <w:rsid w:val="00670741"/>
    <w:rsid w:val="006C0011"/>
    <w:rsid w:val="006C5E23"/>
    <w:rsid w:val="006E35F5"/>
    <w:rsid w:val="007269ED"/>
    <w:rsid w:val="00756B57"/>
    <w:rsid w:val="0076676C"/>
    <w:rsid w:val="00767F05"/>
    <w:rsid w:val="00772F73"/>
    <w:rsid w:val="007957BF"/>
    <w:rsid w:val="007D3340"/>
    <w:rsid w:val="007F4B50"/>
    <w:rsid w:val="007F7E39"/>
    <w:rsid w:val="008204E7"/>
    <w:rsid w:val="0084251A"/>
    <w:rsid w:val="00852ECB"/>
    <w:rsid w:val="00855808"/>
    <w:rsid w:val="0085666D"/>
    <w:rsid w:val="0086237B"/>
    <w:rsid w:val="0086615C"/>
    <w:rsid w:val="008A1401"/>
    <w:rsid w:val="008A510F"/>
    <w:rsid w:val="008C5521"/>
    <w:rsid w:val="009045E4"/>
    <w:rsid w:val="009247BC"/>
    <w:rsid w:val="009263C7"/>
    <w:rsid w:val="00944C2F"/>
    <w:rsid w:val="00954F99"/>
    <w:rsid w:val="00985380"/>
    <w:rsid w:val="00987C6C"/>
    <w:rsid w:val="009A2F68"/>
    <w:rsid w:val="009C3CA3"/>
    <w:rsid w:val="009E3E22"/>
    <w:rsid w:val="009F5C01"/>
    <w:rsid w:val="00A20C40"/>
    <w:rsid w:val="00A26123"/>
    <w:rsid w:val="00A666D7"/>
    <w:rsid w:val="00A714D8"/>
    <w:rsid w:val="00A71EEE"/>
    <w:rsid w:val="00A770C0"/>
    <w:rsid w:val="00AD3808"/>
    <w:rsid w:val="00AE1136"/>
    <w:rsid w:val="00AE33EB"/>
    <w:rsid w:val="00AF21C4"/>
    <w:rsid w:val="00B1056E"/>
    <w:rsid w:val="00B151B9"/>
    <w:rsid w:val="00B232A6"/>
    <w:rsid w:val="00B27EC0"/>
    <w:rsid w:val="00B33DD5"/>
    <w:rsid w:val="00B36342"/>
    <w:rsid w:val="00B63D91"/>
    <w:rsid w:val="00B7008F"/>
    <w:rsid w:val="00B81562"/>
    <w:rsid w:val="00B87294"/>
    <w:rsid w:val="00BF0C99"/>
    <w:rsid w:val="00C0096C"/>
    <w:rsid w:val="00C132C5"/>
    <w:rsid w:val="00C43CB8"/>
    <w:rsid w:val="00C76DB5"/>
    <w:rsid w:val="00C869C1"/>
    <w:rsid w:val="00CA4D2E"/>
    <w:rsid w:val="00CB6512"/>
    <w:rsid w:val="00CE52E2"/>
    <w:rsid w:val="00D10C72"/>
    <w:rsid w:val="00D338CB"/>
    <w:rsid w:val="00D41E26"/>
    <w:rsid w:val="00D5013D"/>
    <w:rsid w:val="00D64053"/>
    <w:rsid w:val="00D6707B"/>
    <w:rsid w:val="00D72E38"/>
    <w:rsid w:val="00D82295"/>
    <w:rsid w:val="00D920BA"/>
    <w:rsid w:val="00D9223B"/>
    <w:rsid w:val="00DA77FD"/>
    <w:rsid w:val="00DB4032"/>
    <w:rsid w:val="00DB63FF"/>
    <w:rsid w:val="00DD46B7"/>
    <w:rsid w:val="00DE1014"/>
    <w:rsid w:val="00E2532C"/>
    <w:rsid w:val="00E2578C"/>
    <w:rsid w:val="00E27909"/>
    <w:rsid w:val="00E6105A"/>
    <w:rsid w:val="00EA236F"/>
    <w:rsid w:val="00EB62AF"/>
    <w:rsid w:val="00EC24D1"/>
    <w:rsid w:val="00EC67B9"/>
    <w:rsid w:val="00ED5636"/>
    <w:rsid w:val="00F04609"/>
    <w:rsid w:val="00F04B04"/>
    <w:rsid w:val="00F25226"/>
    <w:rsid w:val="00F466AA"/>
    <w:rsid w:val="00F67953"/>
    <w:rsid w:val="00F70547"/>
    <w:rsid w:val="00F808B2"/>
    <w:rsid w:val="00F83A01"/>
    <w:rsid w:val="00F906CF"/>
    <w:rsid w:val="00F95E39"/>
    <w:rsid w:val="00FA56A0"/>
    <w:rsid w:val="00FA7001"/>
    <w:rsid w:val="00FC37C0"/>
    <w:rsid w:val="00FD13A0"/>
    <w:rsid w:val="00FD2F9C"/>
    <w:rsid w:val="00FE2F6D"/>
    <w:rsid w:val="00FE6E4A"/>
    <w:rsid w:val="00FE7E0C"/>
    <w:rsid w:val="00FF3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66F9F7"/>
  <w15:chartTrackingRefBased/>
  <w15:docId w15:val="{695B47E2-7A7C-9541-9A77-553035851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E6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610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2138">
      <w:bodyDiv w:val="1"/>
      <w:marLeft w:val="0"/>
      <w:marRight w:val="0"/>
      <w:marTop w:val="0"/>
      <w:marBottom w:val="0"/>
      <w:divBdr>
        <w:top w:val="none" w:sz="0" w:space="0" w:color="auto"/>
        <w:left w:val="none" w:sz="0" w:space="0" w:color="auto"/>
        <w:bottom w:val="none" w:sz="0" w:space="0" w:color="auto"/>
        <w:right w:val="none" w:sz="0" w:space="0" w:color="auto"/>
      </w:divBdr>
    </w:div>
    <w:div w:id="184633328">
      <w:bodyDiv w:val="1"/>
      <w:marLeft w:val="0"/>
      <w:marRight w:val="0"/>
      <w:marTop w:val="0"/>
      <w:marBottom w:val="0"/>
      <w:divBdr>
        <w:top w:val="none" w:sz="0" w:space="0" w:color="auto"/>
        <w:left w:val="none" w:sz="0" w:space="0" w:color="auto"/>
        <w:bottom w:val="none" w:sz="0" w:space="0" w:color="auto"/>
        <w:right w:val="none" w:sz="0" w:space="0" w:color="auto"/>
      </w:divBdr>
    </w:div>
    <w:div w:id="4700510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245">
          <w:marLeft w:val="0"/>
          <w:marRight w:val="0"/>
          <w:marTop w:val="0"/>
          <w:marBottom w:val="0"/>
          <w:divBdr>
            <w:top w:val="none" w:sz="0" w:space="0" w:color="auto"/>
            <w:left w:val="none" w:sz="0" w:space="0" w:color="auto"/>
            <w:bottom w:val="none" w:sz="0" w:space="0" w:color="auto"/>
            <w:right w:val="none" w:sz="0" w:space="0" w:color="auto"/>
          </w:divBdr>
        </w:div>
      </w:divsChild>
    </w:div>
    <w:div w:id="776144629">
      <w:bodyDiv w:val="1"/>
      <w:marLeft w:val="0"/>
      <w:marRight w:val="0"/>
      <w:marTop w:val="0"/>
      <w:marBottom w:val="0"/>
      <w:divBdr>
        <w:top w:val="none" w:sz="0" w:space="0" w:color="auto"/>
        <w:left w:val="none" w:sz="0" w:space="0" w:color="auto"/>
        <w:bottom w:val="none" w:sz="0" w:space="0" w:color="auto"/>
        <w:right w:val="none" w:sz="0" w:space="0" w:color="auto"/>
      </w:divBdr>
    </w:div>
    <w:div w:id="1128158704">
      <w:bodyDiv w:val="1"/>
      <w:marLeft w:val="0"/>
      <w:marRight w:val="0"/>
      <w:marTop w:val="0"/>
      <w:marBottom w:val="0"/>
      <w:divBdr>
        <w:top w:val="none" w:sz="0" w:space="0" w:color="auto"/>
        <w:left w:val="none" w:sz="0" w:space="0" w:color="auto"/>
        <w:bottom w:val="none" w:sz="0" w:space="0" w:color="auto"/>
        <w:right w:val="none" w:sz="0" w:space="0" w:color="auto"/>
      </w:divBdr>
    </w:div>
    <w:div w:id="1927766679">
      <w:bodyDiv w:val="1"/>
      <w:marLeft w:val="0"/>
      <w:marRight w:val="0"/>
      <w:marTop w:val="0"/>
      <w:marBottom w:val="0"/>
      <w:divBdr>
        <w:top w:val="none" w:sz="0" w:space="0" w:color="auto"/>
        <w:left w:val="none" w:sz="0" w:space="0" w:color="auto"/>
        <w:bottom w:val="none" w:sz="0" w:space="0" w:color="auto"/>
        <w:right w:val="none" w:sz="0" w:space="0" w:color="auto"/>
      </w:divBdr>
    </w:div>
    <w:div w:id="206775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12</Pages>
  <Words>2171</Words>
  <Characters>12377</Characters>
  <Application>Microsoft Office Word</Application>
  <DocSecurity>0</DocSecurity>
  <Lines>103</Lines>
  <Paragraphs>29</Paragraphs>
  <ScaleCrop>false</ScaleCrop>
  <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2022-03-27T05:25:00Z</dcterms:created>
  <dcterms:modified xsi:type="dcterms:W3CDTF">2022-03-30T02:05:00Z</dcterms:modified>
</cp:coreProperties>
</file>