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【PRD】【</w:t>
      </w:r>
      <w:r>
        <w:rPr>
          <w:rFonts w:eastAsia="等线" w:ascii="Arial" w:cs="Arial" w:hAnsi="Arial"/>
          <w:b w:val="true"/>
          <w:sz w:val="52"/>
        </w:rPr>
        <w:t xml:space="preserve"> Payfi </w:t>
      </w:r>
      <w:r>
        <w:rPr>
          <w:rFonts w:eastAsia="等线" w:ascii="Arial" w:cs="Arial" w:hAnsi="Arial"/>
          <w:b w:val="true"/>
          <w:sz w:val="52"/>
        </w:rPr>
        <w:t>】 收单需求文档</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基础信息</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版本//Version</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2730"/>
        <w:gridCol w:w="1380"/>
        <w:gridCol w:w="1380"/>
      </w:tblGrid>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Version</w:t>
            </w:r>
          </w:p>
          <w:p>
            <w:pPr>
              <w:spacing w:before="120" w:after="120" w:line="288" w:lineRule="auto"/>
              <w:ind w:left="0"/>
              <w:jc w:val="center"/>
            </w:pPr>
            <w:r>
              <w:rPr>
                <w:rFonts w:eastAsia="等线" w:ascii="Arial" w:cs="Arial" w:hAnsi="Arial"/>
                <w:b w:val="true"/>
                <w:sz w:val="22"/>
              </w:rPr>
              <w:t>版本</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Date</w:t>
            </w:r>
          </w:p>
          <w:p>
            <w:pPr>
              <w:spacing w:before="120" w:after="120" w:line="288" w:lineRule="auto"/>
              <w:ind w:left="0"/>
              <w:jc w:val="center"/>
            </w:pPr>
            <w:r>
              <w:rPr>
                <w:rFonts w:eastAsia="等线" w:ascii="Arial" w:cs="Arial" w:hAnsi="Arial"/>
                <w:b w:val="true"/>
                <w:sz w:val="22"/>
              </w:rPr>
              <w:t>日期</w:t>
            </w:r>
          </w:p>
        </w:tc>
        <w:tc>
          <w:tcPr>
            <w:tcW w:w="27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Draft&amp;Ament</w:t>
            </w:r>
          </w:p>
          <w:p>
            <w:pPr>
              <w:spacing w:before="120" w:after="120" w:line="288" w:lineRule="auto"/>
              <w:ind w:left="0"/>
              <w:jc w:val="center"/>
            </w:pPr>
            <w:r>
              <w:rPr>
                <w:rFonts w:eastAsia="等线" w:ascii="Arial" w:cs="Arial" w:hAnsi="Arial"/>
                <w:b w:val="true"/>
                <w:sz w:val="22"/>
              </w:rPr>
              <w:t>拟稿和修改</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Creator</w:t>
            </w:r>
          </w:p>
          <w:p>
            <w:pPr>
              <w:spacing w:before="120" w:after="120" w:line="288" w:lineRule="auto"/>
              <w:ind w:left="0"/>
              <w:jc w:val="center"/>
            </w:pPr>
            <w:r>
              <w:rPr>
                <w:rFonts w:eastAsia="等线" w:ascii="Arial" w:cs="Arial" w:hAnsi="Arial"/>
                <w:b w:val="true"/>
                <w:sz w:val="22"/>
              </w:rPr>
              <w:t>作者</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 Statement</w:t>
            </w:r>
          </w:p>
          <w:p>
            <w:pPr>
              <w:spacing w:before="120" w:after="120" w:line="288" w:lineRule="auto"/>
              <w:ind w:left="0"/>
              <w:jc w:val="center"/>
            </w:pPr>
            <w:r>
              <w:rPr>
                <w:rFonts w:eastAsia="等线" w:ascii="Arial" w:cs="Arial" w:hAnsi="Arial"/>
                <w:b w:val="true"/>
                <w:sz w:val="22"/>
              </w:rPr>
              <w:t>说明</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V1.0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2025-11-24</w:t>
            </w:r>
          </w:p>
        </w:tc>
        <w:tc>
          <w:tcPr>
            <w:tcW w:w="27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Draft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3370ff"/>
                <w:sz w:val="22"/>
              </w:rPr>
              <w:t>@徐杰</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Finished 1st version</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V1.1</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2025-12-24</w:t>
            </w:r>
          </w:p>
        </w:tc>
        <w:tc>
          <w:tcPr>
            <w:tcW w:w="273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以实收金额结算，去掉多付中间户</w:t>
            </w:r>
          </w:p>
          <w:p>
            <w:pPr>
              <w:numPr>
                <w:numId w:val="2"/>
              </w:numPr>
              <w:spacing w:before="120" w:after="120" w:line="288" w:lineRule="auto"/>
              <w:ind w:left="0"/>
              <w:jc w:val="left"/>
            </w:pPr>
            <w:r>
              <w:rPr>
                <w:rFonts w:eastAsia="等线" w:ascii="Arial" w:cs="Arial" w:hAnsi="Arial"/>
                <w:sz w:val="22"/>
              </w:rPr>
              <w:t>多付的金额需要单独计算</w:t>
            </w:r>
          </w:p>
          <w:p>
            <w:pPr>
              <w:numPr>
                <w:numId w:val="3"/>
              </w:numPr>
              <w:spacing w:before="120" w:after="120" w:line="288" w:lineRule="auto"/>
              <w:ind w:left="0"/>
              <w:jc w:val="left"/>
            </w:pPr>
            <w:r>
              <w:rPr>
                <w:rFonts w:eastAsia="等线" w:ascii="Arial" w:cs="Arial" w:hAnsi="Arial"/>
                <w:sz w:val="22"/>
              </w:rPr>
              <w:t>以结算币种计算手续费</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3370ff"/>
                <w:sz w:val="22"/>
              </w:rPr>
              <w:t>@徐杰</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Finished 1st version</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V1.2</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2026-02-25</w:t>
            </w:r>
          </w:p>
        </w:tc>
        <w:tc>
          <w:tcPr>
            <w:tcW w:w="2730" w:type="dxa"/>
            <w:tcMar>
              <w:top w:type="dxa" w:w="60"/>
              <w:left w:type="dxa" w:w="120"/>
              <w:bottom w:type="dxa" w:w="30"/>
              <w:right w:type="dxa" w:w="120"/>
            </w:tcMar>
          </w:tcPr>
          <w:p>
            <w:pPr>
              <w:numPr>
                <w:numId w:val="4"/>
              </w:numPr>
              <w:spacing w:before="120" w:after="120" w:line="288" w:lineRule="auto"/>
              <w:ind w:left="0"/>
              <w:jc w:val="left"/>
            </w:pPr>
            <w:r>
              <w:rPr>
                <w:rFonts w:eastAsia="等线" w:ascii="Arial" w:cs="Arial" w:hAnsi="Arial"/>
                <w:sz w:val="22"/>
              </w:rPr>
              <w:t>提供账户操作、权限查询接口给自有支付调用</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3370ff"/>
                <w:sz w:val="22"/>
              </w:rPr>
              <w:t>@徐杰</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Finished 1st version</w:t>
            </w:r>
          </w:p>
        </w:tc>
      </w:tr>
    </w:tbl>
    <w:p>
      <w:pPr>
        <w:pStyle w:val="2"/>
        <w:spacing w:before="320" w:after="120" w:line="288" w:lineRule="auto"/>
        <w:ind w:left="0"/>
        <w:jc w:val="left"/>
        <w:outlineLvl w:val="1"/>
      </w:pPr>
      <w:bookmarkStart w:name="heading_2" w:id="2"/>
      <w:r>
        <w:rPr>
          <w:rFonts w:eastAsia="等线" w:ascii="Arial" w:cs="Arial" w:hAnsi="Arial"/>
          <w:color w:val="3370ff"/>
          <w:sz w:val="32"/>
        </w:rPr>
        <w:t xml:space="preserve">1.2 </w:t>
      </w:r>
      <w:r>
        <w:rPr>
          <w:rFonts w:eastAsia="等线" w:ascii="Arial" w:cs="Arial" w:hAnsi="Arial"/>
          <w:b w:val="true"/>
          <w:sz w:val="32"/>
        </w:rPr>
        <w:t>背景和目标</w:t>
      </w:r>
      <w:bookmarkEnd w:id="2"/>
    </w:p>
    <w:p>
      <w:pPr>
        <w:spacing w:before="120" w:after="120" w:line="288" w:lineRule="auto"/>
        <w:ind w:left="0"/>
        <w:jc w:val="left"/>
      </w:pPr>
      <w:r>
        <w:rPr>
          <w:rFonts w:eastAsia="等线" w:ascii="Arial" w:cs="Arial" w:hAnsi="Arial"/>
          <w:b w:val="true"/>
          <w:sz w:val="22"/>
        </w:rPr>
        <w:t>参见</w:t>
      </w:r>
      <w:hyperlink r:id="rId5">
        <w:r>
          <w:rPr>
            <w:rFonts w:eastAsia="等线" w:ascii="Arial" w:cs="Arial" w:hAnsi="Arial"/>
            <w:color w:val="3370ff"/>
            <w:sz w:val="22"/>
          </w:rPr>
          <w:t xml:space="preserve">Payfi 项目KO方案 </w:t>
        </w:r>
      </w:hyperlink>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1.3 </w:t>
      </w:r>
      <w:r>
        <w:rPr>
          <w:rFonts w:eastAsia="等线" w:ascii="Arial" w:cs="Arial" w:hAnsi="Arial"/>
          <w:b w:val="true"/>
          <w:sz w:val="32"/>
        </w:rPr>
        <w:t>一句话需求</w:t>
      </w:r>
      <w:bookmarkEnd w:id="3"/>
    </w:p>
    <w:p>
      <w:pPr>
        <w:spacing w:before="120" w:after="120" w:line="288" w:lineRule="auto"/>
        <w:ind w:left="0"/>
        <w:jc w:val="left"/>
      </w:pPr>
      <w:r>
        <w:rPr>
          <w:rFonts w:eastAsia="等线" w:ascii="Arial" w:cs="Arial" w:hAnsi="Arial"/>
          <w:sz w:val="22"/>
        </w:rPr>
        <w:t>支持商家以法币（USD 或其他币种）、稳定币（USDT、USDC）创建一条支付链接，用户打开链接后可通过交易所钱包、web3 钱包支付稳定币完成付款。</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1.4 </w:t>
      </w:r>
      <w:r>
        <w:rPr>
          <w:rFonts w:eastAsia="等线" w:ascii="Arial" w:cs="Arial" w:hAnsi="Arial"/>
          <w:b w:val="true"/>
          <w:sz w:val="32"/>
        </w:rPr>
        <w:t>范围</w:t>
      </w:r>
      <w:bookmarkEnd w:id="4"/>
    </w:p>
    <w:p>
      <w:pPr>
        <w:spacing w:before="120" w:after="120" w:line="288" w:lineRule="auto"/>
        <w:ind w:left="453"/>
        <w:jc w:val="left"/>
      </w:pPr>
      <w:r>
        <w:rPr>
          <w:rFonts w:eastAsia="等线" w:ascii="Arial" w:cs="Arial" w:hAnsi="Arial"/>
          <w:b w:val="true"/>
          <w:sz w:val="22"/>
        </w:rPr>
        <w:t xml:space="preserve">  业务范围说明</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1770"/>
        <w:gridCol w:w="1095"/>
        <w:gridCol w:w="3420"/>
      </w:tblGrid>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支持的国家列表</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收款支持的下单币种</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支持的钱包</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支付付款币种和链</w:t>
            </w:r>
          </w:p>
        </w:tc>
      </w:tr>
      <w:tr>
        <w:tc>
          <w:tcPr>
            <w:tcW w:w="1620" w:type="dxa"/>
            <w:tcMar>
              <w:top w:type="dxa" w:w="60"/>
              <w:left w:type="dxa" w:w="120"/>
              <w:bottom w:type="dxa" w:w="30"/>
              <w:right w:type="dxa" w:w="120"/>
            </w:tcMar>
          </w:tcPr>
          <w:p>
            <w:pPr>
              <w:spacing w:before="120" w:after="120" w:line="288" w:lineRule="auto"/>
              <w:ind w:left="0"/>
              <w:jc w:val="left"/>
            </w:pPr>
            <w:hyperlink r:id="rId6">
              <w:r>
                <w:rPr>
                  <w:rFonts w:eastAsia="等线" w:ascii="Arial" w:cs="Arial" w:hAnsi="Arial"/>
                  <w:color w:val="3370ff"/>
                  <w:sz w:val="22"/>
                </w:rPr>
                <w:t>Crypto 支持的国家列表和下单币种</w:t>
              </w:r>
            </w:hyperlink>
            <w:r>
              <w:rPr>
                <w:rFonts w:eastAsia="等线" w:ascii="Arial" w:cs="Arial" w:hAnsi="Arial"/>
                <w:sz w:val="22"/>
              </w:rPr>
              <w:t>-sheet1</w:t>
            </w:r>
          </w:p>
          <w:p>
            <w:pPr>
              <w:spacing w:before="120" w:after="120" w:line="288" w:lineRule="auto"/>
              <w:ind w:left="0"/>
              <w:jc w:val="left"/>
            </w:pP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本系统支持全球多个地区的广泛货币，具体包括：</w:t>
            </w:r>
          </w:p>
          <w:p>
            <w:pPr>
              <w:numPr>
                <w:numId w:val="5"/>
              </w:numPr>
              <w:spacing w:before="120" w:after="120" w:line="288" w:lineRule="auto"/>
              <w:ind w:left="0"/>
              <w:jc w:val="left"/>
            </w:pPr>
            <w:r>
              <w:rPr>
                <w:rFonts w:eastAsia="等线" w:ascii="Arial" w:cs="Arial" w:hAnsi="Arial"/>
                <w:sz w:val="22"/>
              </w:rPr>
              <w:t>已支持</w:t>
            </w:r>
          </w:p>
          <w:p>
            <w:pPr>
              <w:spacing w:before="120" w:after="120" w:line="288" w:lineRule="auto"/>
              <w:ind w:left="0"/>
              <w:jc w:val="left"/>
            </w:pPr>
            <w:r>
              <w:rPr>
                <w:rFonts w:eastAsia="等线" w:ascii="Arial" w:cs="Arial" w:hAnsi="Arial"/>
                <w:sz w:val="22"/>
              </w:rPr>
              <w:t>在北美与拉美地区，支持美元（USD）</w:t>
            </w:r>
          </w:p>
          <w:p>
            <w:pPr>
              <w:numPr>
                <w:numId w:val="6"/>
              </w:numPr>
              <w:spacing w:before="120" w:after="120" w:line="288" w:lineRule="auto"/>
              <w:ind w:left="0"/>
              <w:jc w:val="left"/>
            </w:pPr>
            <w:r>
              <w:rPr>
                <w:rFonts w:eastAsia="等线" w:ascii="Arial" w:cs="Arial" w:hAnsi="Arial"/>
                <w:sz w:val="22"/>
              </w:rPr>
              <w:t>即将支持</w:t>
            </w:r>
          </w:p>
          <w:p>
            <w:pPr>
              <w:spacing w:before="120" w:after="120" w:line="288" w:lineRule="auto"/>
              <w:ind w:left="0"/>
              <w:jc w:val="left"/>
            </w:pPr>
            <w:r>
              <w:rPr>
                <w:rFonts w:eastAsia="等线" w:ascii="Arial" w:cs="Arial" w:hAnsi="Arial"/>
                <w:sz w:val="22"/>
              </w:rPr>
              <w:t>加拿大元（CAD）、墨西哥比索（MXN）、巴西雷亚尔（BRL）、阿根廷比索（ARS）、智利比索（CLP）、哥伦比亚比索（COP）以及秘鲁新索尔（PEN）。欧洲地区则覆盖欧元（EUR）、英镑（GBP）、瑞士法郎（CHF）、瑞典克朗（SEK）、挪威克朗（NOK）、丹麦克朗（DKK）、波兰兹罗提（PLN）、捷克克朗（CZK）和匈牙利福林（HUF）。在亚太市场，支持离岸人民币（CNH）、港元（HKD）、日元（JPY）、韩元（KRW）、新加坡元（SGD）、新台币（TWD）、泰铢（THB）、马来西亚林吉特（MYR）、印尼盾（IDR）、印度卢比（INR）、澳元（AUD）、新西兰元（NZD）、菲律宾比索（PHP）及越南盾（VND）。此外，中东与非洲地区亦支持阿联酋迪拉姆（AED）、沙特里亚尔（SAR）、卡塔尔里亚尔（QAR）、科威特第纳尔（KWD）、巴林第纳尔（BHD）、南非兰特（ZAR）、埃及镑（EGP）、尼日利亚奈拉（NGN）以及肯尼亚先令（KES）。</w:t>
            </w:r>
          </w:p>
          <w:p>
            <w:pPr>
              <w:spacing w:before="120" w:after="120" w:line="288" w:lineRule="auto"/>
              <w:ind w:left="0"/>
              <w:jc w:val="left"/>
            </w:pP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移动端</w:t>
            </w:r>
          </w:p>
          <w:p>
            <w:pPr>
              <w:spacing w:before="120" w:after="120" w:line="288" w:lineRule="auto"/>
              <w:ind w:left="0"/>
              <w:jc w:val="center"/>
            </w:pPr>
            <w:r>
              <w:drawing>
                <wp:inline distT="0" distR="0" distB="0" distL="0">
                  <wp:extent cx="581025" cy="3905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7"/>
                          <a:stretch>
                            <a:fillRect/>
                          </a:stretch>
                        </pic:blipFill>
                        <pic:spPr>
                          <a:xfrm>
                            <a:off x="0" y="0"/>
                            <a:ext cx="581025" cy="390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PC 端</w:t>
            </w:r>
          </w:p>
          <w:p>
            <w:pPr>
              <w:spacing w:before="120" w:after="120" w:line="288" w:lineRule="auto"/>
              <w:ind w:left="0"/>
              <w:jc w:val="center"/>
            </w:pPr>
            <w:r>
              <w:drawing>
                <wp:inline distT="0" distR="0" distB="0" distL="0">
                  <wp:extent cx="581025" cy="3619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8"/>
                          <a:stretch>
                            <a:fillRect/>
                          </a:stretch>
                        </pic:blipFill>
                        <pic:spPr>
                          <a:xfrm>
                            <a:off x="0" y="0"/>
                            <a:ext cx="581025" cy="361950"/>
                          </a:xfrm>
                          <a:prstGeom prst="rect">
                            <a:avLst/>
                          </a:prstGeom>
                        </pic:spPr>
                      </pic:pic>
                    </a:graphicData>
                  </a:graphic>
                </wp:inline>
              </w:drawing>
            </w:r>
          </w:p>
          <w:p>
            <w:pPr>
              <w:spacing w:before="120" w:after="120" w:line="288" w:lineRule="auto"/>
              <w:ind w:left="0"/>
              <w:jc w:val="left"/>
            </w:pPr>
          </w:p>
        </w:tc>
        <w:tc>
          <w:tcPr>
            <w:tcW w:w="3615" w:type="dxa"/>
            <w:tcMar>
              <w:top w:type="dxa" w:w="60"/>
              <w:left w:type="dxa" w:w="120"/>
              <w:bottom w:type="dxa" w:w="30"/>
              <w:right w:type="dxa" w:w="120"/>
            </w:tcMar>
          </w:tcPr>
          <w:tbl>
            <w:tblPr>
              <w:tblW w:w="0" w:type="auto"/>
              <w:tblInd w:w="0" w:type="dxa"/>
              <w:tblBorders>
                <w:top w:val="none" w:space="4"/>
                <w:left w:val="none" w:space="4"/>
                <w:bottom w:val="none" w:space="4"/>
                <w:right w:val="none" w:space="4"/>
                <w:insideH w:val="none" w:space="4"/>
                <w:insideV w:val="none" w:space="4"/>
              </w:tblBorders>
              <w:tblLayout w:type="fixed"/>
            </w:tblPr>
            <w:tblGrid>
              <w:gridCol w:w="1687"/>
              <w:gridCol w:w="1687"/>
            </w:tblGrid>
            <w:tr>
              <w:tc>
                <w:tcPr>
                  <w:tcW w:w="1687"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p>
                  <w:pPr>
                    <w:numPr>
                      <w:numId w:val="7"/>
                    </w:numPr>
                    <w:spacing w:before="120" w:after="120" w:line="288" w:lineRule="auto"/>
                    <w:ind w:left="0"/>
                    <w:jc w:val="left"/>
                  </w:pPr>
                  <w:r>
                    <w:rPr>
                      <w:rFonts w:eastAsia="Consolas" w:ascii="Consolas" w:cs="Consolas" w:hAnsi="Consolas"/>
                      <w:sz w:val="22"/>
                      <w:shd w:fill="EFF0F1"/>
                    </w:rPr>
                    <w:t>ETH_USDC</w:t>
                  </w:r>
                </w:p>
                <w:p>
                  <w:pPr>
                    <w:numPr>
                      <w:numId w:val="8"/>
                    </w:numPr>
                    <w:spacing w:before="120" w:after="120" w:line="288" w:lineRule="auto"/>
                    <w:ind w:left="453"/>
                    <w:jc w:val="left"/>
                  </w:pPr>
                  <w:r>
                    <w:rPr>
                      <w:rFonts w:eastAsia="等线" w:ascii="Arial" w:cs="Arial" w:hAnsi="Arial"/>
                      <w:sz w:val="22"/>
                    </w:rPr>
                    <w:t>区块链网络：Ethereum</w:t>
                  </w:r>
                </w:p>
                <w:p>
                  <w:pPr>
                    <w:numPr>
                      <w:numId w:val="9"/>
                    </w:numPr>
                    <w:spacing w:before="120" w:after="120" w:line="288" w:lineRule="auto"/>
                    <w:ind w:left="453"/>
                    <w:jc w:val="left"/>
                  </w:pPr>
                  <w:r>
                    <w:rPr>
                      <w:rFonts w:eastAsia="等线" w:ascii="Arial" w:cs="Arial" w:hAnsi="Arial"/>
                      <w:sz w:val="22"/>
                    </w:rPr>
                    <w:t>网络通用名：以太坊主网</w:t>
                  </w:r>
                </w:p>
                <w:p>
                  <w:pPr>
                    <w:numPr>
                      <w:numId w:val="10"/>
                    </w:numPr>
                    <w:spacing w:before="120" w:after="120" w:line="288" w:lineRule="auto"/>
                    <w:ind w:left="0"/>
                    <w:jc w:val="left"/>
                  </w:pPr>
                  <w:r>
                    <w:rPr>
                      <w:rFonts w:eastAsia="Consolas" w:ascii="Consolas" w:cs="Consolas" w:hAnsi="Consolas"/>
                      <w:sz w:val="22"/>
                      <w:shd w:fill="EFF0F1"/>
                    </w:rPr>
                    <w:t>ARBITRUM_USDCOIN</w:t>
                  </w:r>
                </w:p>
                <w:p>
                  <w:pPr>
                    <w:numPr>
                      <w:numId w:val="11"/>
                    </w:numPr>
                    <w:spacing w:before="120" w:after="120" w:line="288" w:lineRule="auto"/>
                    <w:ind w:left="453"/>
                    <w:jc w:val="left"/>
                  </w:pPr>
                  <w:r>
                    <w:rPr>
                      <w:rFonts w:eastAsia="等线" w:ascii="Arial" w:cs="Arial" w:hAnsi="Arial"/>
                      <w:sz w:val="22"/>
                    </w:rPr>
                    <w:t>区块链网络：Arbitrum</w:t>
                  </w:r>
                </w:p>
                <w:p>
                  <w:pPr>
                    <w:numPr>
                      <w:numId w:val="12"/>
                    </w:numPr>
                    <w:spacing w:before="120" w:after="120" w:line="288" w:lineRule="auto"/>
                    <w:ind w:left="453"/>
                    <w:jc w:val="left"/>
                  </w:pPr>
                  <w:r>
                    <w:rPr>
                      <w:rFonts w:eastAsia="等线" w:ascii="Arial" w:cs="Arial" w:hAnsi="Arial"/>
                      <w:sz w:val="22"/>
                    </w:rPr>
                    <w:t>网络通用名：Arbitrum One</w:t>
                  </w:r>
                </w:p>
                <w:p>
                  <w:pPr>
                    <w:numPr>
                      <w:numId w:val="13"/>
                    </w:numPr>
                    <w:spacing w:before="120" w:after="120" w:line="288" w:lineRule="auto"/>
                    <w:ind w:left="0"/>
                    <w:jc w:val="left"/>
                  </w:pPr>
                  <w:r>
                    <w:rPr>
                      <w:rFonts w:eastAsia="Consolas" w:ascii="Consolas" w:cs="Consolas" w:hAnsi="Consolas"/>
                      <w:sz w:val="22"/>
                      <w:shd w:fill="EFF0F1"/>
                    </w:rPr>
                    <w:t>SOL_USDC</w:t>
                  </w:r>
                </w:p>
                <w:p>
                  <w:pPr>
                    <w:numPr>
                      <w:numId w:val="14"/>
                    </w:numPr>
                    <w:spacing w:before="120" w:after="120" w:line="288" w:lineRule="auto"/>
                    <w:ind w:left="453"/>
                    <w:jc w:val="left"/>
                  </w:pPr>
                  <w:r>
                    <w:rPr>
                      <w:rFonts w:eastAsia="等线" w:ascii="Arial" w:cs="Arial" w:hAnsi="Arial"/>
                      <w:sz w:val="22"/>
                    </w:rPr>
                    <w:t>区块链网络：Solana</w:t>
                  </w:r>
                </w:p>
                <w:p>
                  <w:pPr>
                    <w:numPr>
                      <w:numId w:val="15"/>
                    </w:numPr>
                    <w:spacing w:before="120" w:after="120" w:line="288" w:lineRule="auto"/>
                    <w:ind w:left="453"/>
                    <w:jc w:val="left"/>
                  </w:pPr>
                  <w:r>
                    <w:rPr>
                      <w:rFonts w:eastAsia="等线" w:ascii="Arial" w:cs="Arial" w:hAnsi="Arial"/>
                      <w:sz w:val="22"/>
                    </w:rPr>
                    <w:t>网络通用名：Solana</w:t>
                  </w:r>
                </w:p>
                <w:p>
                  <w:pPr>
                    <w:numPr>
                      <w:numId w:val="16"/>
                    </w:numPr>
                    <w:spacing w:before="120" w:after="120" w:line="288" w:lineRule="auto"/>
                    <w:ind w:left="0"/>
                    <w:jc w:val="left"/>
                  </w:pPr>
                  <w:r>
                    <w:rPr>
                      <w:rFonts w:eastAsia="Consolas" w:ascii="Consolas" w:cs="Consolas" w:hAnsi="Consolas"/>
                      <w:sz w:val="22"/>
                      <w:shd w:fill="EFF0F1"/>
                    </w:rPr>
                    <w:t>BASE_USDC</w:t>
                  </w:r>
                </w:p>
                <w:p>
                  <w:pPr>
                    <w:numPr>
                      <w:numId w:val="17"/>
                    </w:numPr>
                    <w:spacing w:before="120" w:after="120" w:line="288" w:lineRule="auto"/>
                    <w:ind w:left="453"/>
                    <w:jc w:val="left"/>
                  </w:pPr>
                  <w:r>
                    <w:rPr>
                      <w:rFonts w:eastAsia="等线" w:ascii="Arial" w:cs="Arial" w:hAnsi="Arial"/>
                      <w:sz w:val="22"/>
                    </w:rPr>
                    <w:t>区块链网络：Base</w:t>
                  </w:r>
                </w:p>
                <w:p>
                  <w:pPr>
                    <w:numPr>
                      <w:numId w:val="18"/>
                    </w:numPr>
                    <w:spacing w:before="120" w:after="120" w:line="288" w:lineRule="auto"/>
                    <w:ind w:left="453"/>
                    <w:jc w:val="left"/>
                  </w:pPr>
                  <w:r>
                    <w:rPr>
                      <w:rFonts w:eastAsia="等线" w:ascii="Arial" w:cs="Arial" w:hAnsi="Arial"/>
                      <w:sz w:val="22"/>
                    </w:rPr>
                    <w:t>网络通用名：Base</w:t>
                  </w:r>
                </w:p>
                <w:p>
                  <w:pPr>
                    <w:numPr>
                      <w:numId w:val="19"/>
                    </w:numPr>
                    <w:spacing w:before="120" w:after="120" w:line="288" w:lineRule="auto"/>
                    <w:ind w:left="0"/>
                    <w:jc w:val="left"/>
                  </w:pPr>
                  <w:r>
                    <w:rPr>
                      <w:rFonts w:eastAsia="Consolas" w:ascii="Consolas" w:cs="Consolas" w:hAnsi="Consolas"/>
                      <w:sz w:val="22"/>
                      <w:shd w:fill="EFF0F1"/>
                    </w:rPr>
                    <w:t>MATIC_USDC2</w:t>
                  </w:r>
                </w:p>
                <w:p>
                  <w:pPr>
                    <w:numPr>
                      <w:numId w:val="20"/>
                    </w:numPr>
                    <w:spacing w:before="120" w:after="120" w:line="288" w:lineRule="auto"/>
                    <w:ind w:left="453"/>
                    <w:jc w:val="left"/>
                  </w:pPr>
                  <w:r>
                    <w:rPr>
                      <w:rFonts w:eastAsia="等线" w:ascii="Arial" w:cs="Arial" w:hAnsi="Arial"/>
                      <w:sz w:val="22"/>
                    </w:rPr>
                    <w:t>区块链网络：Polygon</w:t>
                  </w:r>
                </w:p>
                <w:p>
                  <w:pPr>
                    <w:numPr>
                      <w:numId w:val="21"/>
                    </w:numPr>
                    <w:spacing w:before="120" w:after="120" w:line="288" w:lineRule="auto"/>
                    <w:ind w:left="453"/>
                    <w:jc w:val="left"/>
                  </w:pPr>
                  <w:r>
                    <w:rPr>
                      <w:rFonts w:eastAsia="等线" w:ascii="Arial" w:cs="Arial" w:hAnsi="Arial"/>
                      <w:sz w:val="22"/>
                    </w:rPr>
                    <w:t>网络通用名：Polygon (PoS)</w:t>
                  </w:r>
                </w:p>
                <w:p>
                  <w:pPr>
                    <w:numPr>
                      <w:numId w:val="22"/>
                    </w:numPr>
                    <w:spacing w:before="120" w:after="120" w:line="288" w:lineRule="auto"/>
                    <w:ind w:left="453"/>
                    <w:jc w:val="left"/>
                  </w:pPr>
                  <w:r>
                    <w:rPr>
                      <w:rFonts w:eastAsia="等线" w:ascii="Arial" w:cs="Arial" w:hAnsi="Arial"/>
                      <w:i w:val="true"/>
                      <w:sz w:val="22"/>
                    </w:rPr>
                    <w:t>注：名称中的 "2" 可能是平台内部标识</w:t>
                  </w:r>
                </w:p>
                <w:p>
                  <w:pPr>
                    <w:numPr>
                      <w:numId w:val="23"/>
                    </w:numPr>
                    <w:spacing w:before="120" w:after="120" w:line="288" w:lineRule="auto"/>
                    <w:ind w:left="0"/>
                    <w:jc w:val="left"/>
                  </w:pPr>
                  <w:r>
                    <w:rPr>
                      <w:rFonts w:eastAsia="Consolas" w:ascii="Consolas" w:cs="Consolas" w:hAnsi="Consolas"/>
                      <w:sz w:val="22"/>
                      <w:shd w:fill="EFF0F1"/>
                    </w:rPr>
                    <w:t>BSC_USDC</w:t>
                  </w:r>
                </w:p>
                <w:p>
                  <w:pPr>
                    <w:numPr>
                      <w:numId w:val="24"/>
                    </w:numPr>
                    <w:spacing w:before="120" w:after="120" w:line="288" w:lineRule="auto"/>
                    <w:ind w:left="453"/>
                    <w:jc w:val="left"/>
                  </w:pPr>
                  <w:r>
                    <w:rPr>
                      <w:rFonts w:eastAsia="等线" w:ascii="Arial" w:cs="Arial" w:hAnsi="Arial"/>
                      <w:sz w:val="22"/>
                    </w:rPr>
                    <w:t>区块链网络：BNB Smart Chain</w:t>
                  </w:r>
                </w:p>
                <w:p>
                  <w:pPr>
                    <w:numPr>
                      <w:numId w:val="25"/>
                    </w:numPr>
                    <w:spacing w:before="120" w:after="120" w:line="288" w:lineRule="auto"/>
                    <w:ind w:left="453"/>
                    <w:jc w:val="left"/>
                  </w:pPr>
                  <w:r>
                    <w:rPr>
                      <w:rFonts w:eastAsia="等线" w:ascii="Arial" w:cs="Arial" w:hAnsi="Arial"/>
                      <w:sz w:val="22"/>
                    </w:rPr>
                    <w:t>网络通用名：BSC (BEP-20)</w:t>
                  </w:r>
                </w:p>
              </w:tc>
              <w:tc>
                <w:tcPr>
                  <w:tcW w:w="1687"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p>
                  <w:pPr>
                    <w:numPr>
                      <w:numId w:val="26"/>
                    </w:numPr>
                    <w:spacing w:before="120" w:after="120" w:line="288" w:lineRule="auto"/>
                    <w:ind w:left="0"/>
                    <w:jc w:val="left"/>
                  </w:pPr>
                  <w:r>
                    <w:rPr>
                      <w:rFonts w:eastAsia="Consolas" w:ascii="Consolas" w:cs="Consolas" w:hAnsi="Consolas"/>
                      <w:sz w:val="22"/>
                      <w:shd w:fill="EFF0F1"/>
                    </w:rPr>
                    <w:t>TRON_USDT</w:t>
                  </w:r>
                </w:p>
                <w:p>
                  <w:pPr>
                    <w:numPr>
                      <w:numId w:val="27"/>
                    </w:numPr>
                    <w:spacing w:before="120" w:after="120" w:line="288" w:lineRule="auto"/>
                    <w:ind w:left="453"/>
                    <w:jc w:val="left"/>
                  </w:pPr>
                  <w:r>
                    <w:rPr>
                      <w:rFonts w:eastAsia="等线" w:ascii="Arial" w:cs="Arial" w:hAnsi="Arial"/>
                      <w:sz w:val="22"/>
                    </w:rPr>
                    <w:t>区块链网络：Tron</w:t>
                  </w:r>
                </w:p>
                <w:p>
                  <w:pPr>
                    <w:numPr>
                      <w:numId w:val="28"/>
                    </w:numPr>
                    <w:spacing w:before="120" w:after="120" w:line="288" w:lineRule="auto"/>
                    <w:ind w:left="453"/>
                    <w:jc w:val="left"/>
                  </w:pPr>
                  <w:r>
                    <w:rPr>
                      <w:rFonts w:eastAsia="等线" w:ascii="Arial" w:cs="Arial" w:hAnsi="Arial"/>
                      <w:sz w:val="22"/>
                    </w:rPr>
                    <w:t>网络通用名：波场网络</w:t>
                  </w:r>
                </w:p>
                <w:p>
                  <w:pPr>
                    <w:numPr>
                      <w:numId w:val="29"/>
                    </w:numPr>
                    <w:spacing w:before="120" w:after="120" w:line="288" w:lineRule="auto"/>
                    <w:ind w:left="453"/>
                    <w:jc w:val="left"/>
                  </w:pPr>
                  <w:r>
                    <w:rPr>
                      <w:rFonts w:eastAsia="等线" w:ascii="Arial" w:cs="Arial" w:hAnsi="Arial"/>
                      <w:i w:val="true"/>
                      <w:sz w:val="22"/>
                    </w:rPr>
                    <w:t>注：此网络上的USDT流通量最大，转账手续费通常最低</w:t>
                  </w:r>
                </w:p>
                <w:p>
                  <w:pPr>
                    <w:numPr>
                      <w:numId w:val="30"/>
                    </w:numPr>
                    <w:spacing w:before="120" w:after="120" w:line="288" w:lineRule="auto"/>
                    <w:ind w:left="0"/>
                    <w:jc w:val="left"/>
                  </w:pPr>
                  <w:r>
                    <w:rPr>
                      <w:rFonts w:eastAsia="Consolas" w:ascii="Consolas" w:cs="Consolas" w:hAnsi="Consolas"/>
                      <w:sz w:val="22"/>
                      <w:shd w:fill="EFF0F1"/>
                    </w:rPr>
                    <w:t>ETH_USDT</w:t>
                  </w:r>
                </w:p>
                <w:p>
                  <w:pPr>
                    <w:numPr>
                      <w:numId w:val="31"/>
                    </w:numPr>
                    <w:spacing w:before="120" w:after="120" w:line="288" w:lineRule="auto"/>
                    <w:ind w:left="453"/>
                    <w:jc w:val="left"/>
                  </w:pPr>
                  <w:r>
                    <w:rPr>
                      <w:rFonts w:eastAsia="等线" w:ascii="Arial" w:cs="Arial" w:hAnsi="Arial"/>
                      <w:sz w:val="22"/>
                    </w:rPr>
                    <w:t>区块链网络：Ethereum</w:t>
                  </w:r>
                </w:p>
                <w:p>
                  <w:pPr>
                    <w:numPr>
                      <w:numId w:val="32"/>
                    </w:numPr>
                    <w:spacing w:before="120" w:after="120" w:line="288" w:lineRule="auto"/>
                    <w:ind w:left="453"/>
                    <w:jc w:val="left"/>
                  </w:pPr>
                  <w:r>
                    <w:rPr>
                      <w:rFonts w:eastAsia="等线" w:ascii="Arial" w:cs="Arial" w:hAnsi="Arial"/>
                      <w:sz w:val="22"/>
                    </w:rPr>
                    <w:t>网络通用名：以太坊主网 (ERC-20)</w:t>
                  </w:r>
                </w:p>
                <w:p>
                  <w:pPr>
                    <w:numPr>
                      <w:numId w:val="33"/>
                    </w:numPr>
                    <w:spacing w:before="120" w:after="120" w:line="288" w:lineRule="auto"/>
                    <w:ind w:left="0"/>
                    <w:jc w:val="left"/>
                  </w:pPr>
                  <w:r>
                    <w:rPr>
                      <w:rFonts w:eastAsia="Consolas" w:ascii="Consolas" w:cs="Consolas" w:hAnsi="Consolas"/>
                      <w:sz w:val="22"/>
                      <w:shd w:fill="EFF0F1"/>
                    </w:rPr>
                    <w:t>ARBITRUM_USDT</w:t>
                  </w:r>
                </w:p>
                <w:p>
                  <w:pPr>
                    <w:numPr>
                      <w:numId w:val="34"/>
                    </w:numPr>
                    <w:spacing w:before="120" w:after="120" w:line="288" w:lineRule="auto"/>
                    <w:ind w:left="453"/>
                    <w:jc w:val="left"/>
                  </w:pPr>
                  <w:r>
                    <w:rPr>
                      <w:rFonts w:eastAsia="等线" w:ascii="Arial" w:cs="Arial" w:hAnsi="Arial"/>
                      <w:sz w:val="22"/>
                    </w:rPr>
                    <w:t>区块链网络：Arbitrum</w:t>
                  </w:r>
                </w:p>
                <w:p>
                  <w:pPr>
                    <w:numPr>
                      <w:numId w:val="35"/>
                    </w:numPr>
                    <w:spacing w:before="120" w:after="120" w:line="288" w:lineRule="auto"/>
                    <w:ind w:left="453"/>
                    <w:jc w:val="left"/>
                  </w:pPr>
                  <w:r>
                    <w:rPr>
                      <w:rFonts w:eastAsia="等线" w:ascii="Arial" w:cs="Arial" w:hAnsi="Arial"/>
                      <w:sz w:val="22"/>
                    </w:rPr>
                    <w:t>网络通用名：Arbitrum One</w:t>
                  </w:r>
                </w:p>
                <w:p>
                  <w:pPr>
                    <w:numPr>
                      <w:numId w:val="36"/>
                    </w:numPr>
                    <w:spacing w:before="120" w:after="120" w:line="288" w:lineRule="auto"/>
                    <w:ind w:left="0"/>
                    <w:jc w:val="left"/>
                  </w:pPr>
                  <w:r>
                    <w:rPr>
                      <w:rFonts w:eastAsia="Consolas" w:ascii="Consolas" w:cs="Consolas" w:hAnsi="Consolas"/>
                      <w:sz w:val="22"/>
                      <w:shd w:fill="EFF0F1"/>
                    </w:rPr>
                    <w:t>SOL_USDT</w:t>
                  </w:r>
                </w:p>
                <w:p>
                  <w:pPr>
                    <w:numPr>
                      <w:numId w:val="37"/>
                    </w:numPr>
                    <w:spacing w:before="120" w:after="120" w:line="288" w:lineRule="auto"/>
                    <w:ind w:left="453"/>
                    <w:jc w:val="left"/>
                  </w:pPr>
                  <w:r>
                    <w:rPr>
                      <w:rFonts w:eastAsia="等线" w:ascii="Arial" w:cs="Arial" w:hAnsi="Arial"/>
                      <w:sz w:val="22"/>
                    </w:rPr>
                    <w:t>区块链网络：Solana</w:t>
                  </w:r>
                </w:p>
                <w:p>
                  <w:pPr>
                    <w:numPr>
                      <w:numId w:val="38"/>
                    </w:numPr>
                    <w:spacing w:before="120" w:after="120" w:line="288" w:lineRule="auto"/>
                    <w:ind w:left="453"/>
                    <w:jc w:val="left"/>
                  </w:pPr>
                  <w:r>
                    <w:rPr>
                      <w:rFonts w:eastAsia="等线" w:ascii="Arial" w:cs="Arial" w:hAnsi="Arial"/>
                      <w:sz w:val="22"/>
                    </w:rPr>
                    <w:t>网络通用名：Solana</w:t>
                  </w:r>
                </w:p>
                <w:p>
                  <w:pPr>
                    <w:numPr>
                      <w:numId w:val="39"/>
                    </w:numPr>
                    <w:spacing w:before="120" w:after="120" w:line="288" w:lineRule="auto"/>
                    <w:ind w:left="0"/>
                    <w:jc w:val="left"/>
                  </w:pPr>
                  <w:r>
                    <w:rPr>
                      <w:rFonts w:eastAsia="Consolas" w:ascii="Consolas" w:cs="Consolas" w:hAnsi="Consolas"/>
                      <w:sz w:val="22"/>
                      <w:shd w:fill="EFF0F1"/>
                    </w:rPr>
                    <w:t>BASE_USDT</w:t>
                  </w:r>
                </w:p>
                <w:p>
                  <w:pPr>
                    <w:numPr>
                      <w:numId w:val="40"/>
                    </w:numPr>
                    <w:spacing w:before="120" w:after="120" w:line="288" w:lineRule="auto"/>
                    <w:ind w:left="453"/>
                    <w:jc w:val="left"/>
                  </w:pPr>
                  <w:r>
                    <w:rPr>
                      <w:rFonts w:eastAsia="等线" w:ascii="Arial" w:cs="Arial" w:hAnsi="Arial"/>
                      <w:sz w:val="22"/>
                    </w:rPr>
                    <w:t>区块链网络：Base</w:t>
                  </w:r>
                </w:p>
                <w:p>
                  <w:pPr>
                    <w:numPr>
                      <w:numId w:val="41"/>
                    </w:numPr>
                    <w:spacing w:before="120" w:after="120" w:line="288" w:lineRule="auto"/>
                    <w:ind w:left="453"/>
                    <w:jc w:val="left"/>
                  </w:pPr>
                  <w:r>
                    <w:rPr>
                      <w:rFonts w:eastAsia="等线" w:ascii="Arial" w:cs="Arial" w:hAnsi="Arial"/>
                      <w:sz w:val="22"/>
                    </w:rPr>
                    <w:t>网络通用名：Base</w:t>
                  </w:r>
                </w:p>
                <w:p>
                  <w:pPr>
                    <w:numPr>
                      <w:numId w:val="42"/>
                    </w:numPr>
                    <w:spacing w:before="120" w:after="120" w:line="288" w:lineRule="auto"/>
                    <w:ind w:left="0"/>
                    <w:jc w:val="left"/>
                  </w:pPr>
                  <w:r>
                    <w:rPr>
                      <w:rFonts w:eastAsia="Consolas" w:ascii="Consolas" w:cs="Consolas" w:hAnsi="Consolas"/>
                      <w:sz w:val="22"/>
                      <w:shd w:fill="EFF0F1"/>
                    </w:rPr>
                    <w:t>MATIC_USDT</w:t>
                  </w:r>
                </w:p>
                <w:p>
                  <w:pPr>
                    <w:numPr>
                      <w:numId w:val="43"/>
                    </w:numPr>
                    <w:spacing w:before="120" w:after="120" w:line="288" w:lineRule="auto"/>
                    <w:ind w:left="453"/>
                    <w:jc w:val="left"/>
                  </w:pPr>
                  <w:r>
                    <w:rPr>
                      <w:rFonts w:eastAsia="等线" w:ascii="Arial" w:cs="Arial" w:hAnsi="Arial"/>
                      <w:sz w:val="22"/>
                    </w:rPr>
                    <w:t>区块链网络：Polygon</w:t>
                  </w:r>
                </w:p>
                <w:p>
                  <w:pPr>
                    <w:numPr>
                      <w:numId w:val="44"/>
                    </w:numPr>
                    <w:spacing w:before="120" w:after="120" w:line="288" w:lineRule="auto"/>
                    <w:ind w:left="453"/>
                    <w:jc w:val="left"/>
                  </w:pPr>
                  <w:r>
                    <w:rPr>
                      <w:rFonts w:eastAsia="等线" w:ascii="Arial" w:cs="Arial" w:hAnsi="Arial"/>
                      <w:sz w:val="22"/>
                    </w:rPr>
                    <w:t>网络通用名：Polygon (PoS)</w:t>
                  </w:r>
                </w:p>
                <w:p>
                  <w:pPr>
                    <w:numPr>
                      <w:numId w:val="45"/>
                    </w:numPr>
                    <w:spacing w:before="120" w:after="120" w:line="288" w:lineRule="auto"/>
                    <w:ind w:left="0"/>
                    <w:jc w:val="left"/>
                  </w:pPr>
                  <w:r>
                    <w:rPr>
                      <w:rFonts w:eastAsia="Consolas" w:ascii="Consolas" w:cs="Consolas" w:hAnsi="Consolas"/>
                      <w:sz w:val="22"/>
                      <w:shd w:fill="EFF0F1"/>
                    </w:rPr>
                    <w:t>BSC_USDT</w:t>
                  </w:r>
                </w:p>
                <w:p>
                  <w:pPr>
                    <w:numPr>
                      <w:numId w:val="46"/>
                    </w:numPr>
                    <w:spacing w:before="120" w:after="120" w:line="288" w:lineRule="auto"/>
                    <w:ind w:left="453"/>
                    <w:jc w:val="left"/>
                  </w:pPr>
                  <w:r>
                    <w:rPr>
                      <w:rFonts w:eastAsia="等线" w:ascii="Arial" w:cs="Arial" w:hAnsi="Arial"/>
                      <w:sz w:val="22"/>
                    </w:rPr>
                    <w:t>区块链网络：BNB Smart Chain</w:t>
                  </w:r>
                </w:p>
                <w:p>
                  <w:pPr>
                    <w:numPr>
                      <w:numId w:val="47"/>
                    </w:numPr>
                    <w:spacing w:before="120" w:after="120" w:line="288" w:lineRule="auto"/>
                    <w:ind w:left="453"/>
                    <w:jc w:val="left"/>
                  </w:pPr>
                  <w:r>
                    <w:rPr>
                      <w:rFonts w:eastAsia="等线" w:ascii="Arial" w:cs="Arial" w:hAnsi="Arial"/>
                      <w:sz w:val="22"/>
                    </w:rPr>
                    <w:t>网络通用名：BSC (BEP-20)</w:t>
                  </w:r>
                </w:p>
              </w:tc>
            </w:tr>
          </w:tbl>
          <w:p/>
        </w:tc>
      </w:tr>
      <w:tr>
        <w:tc>
          <w:tcPr>
            <w:tcW w:w="1620" w:type="dxa"/>
            <w:tcMar>
              <w:top w:type="dxa" w:w="60"/>
              <w:left w:type="dxa" w:w="120"/>
              <w:bottom w:type="dxa" w:w="30"/>
              <w:right w:type="dxa" w:w="120"/>
            </w:tcMar>
          </w:tcPr>
          <w:p>
            <w:pPr>
              <w:spacing w:before="120" w:after="120" w:line="288" w:lineRule="auto"/>
              <w:ind w:left="0"/>
              <w:jc w:val="left"/>
            </w:pPr>
          </w:p>
        </w:tc>
        <w:tc>
          <w:tcPr>
            <w:tcW w:w="1875" w:type="dxa"/>
            <w:tcMar>
              <w:top w:type="dxa" w:w="60"/>
              <w:left w:type="dxa" w:w="120"/>
              <w:bottom w:type="dxa" w:w="30"/>
              <w:right w:type="dxa" w:w="120"/>
            </w:tcMar>
          </w:tcPr>
          <w:p>
            <w:pPr>
              <w:spacing w:before="120" w:after="120" w:line="288" w:lineRule="auto"/>
              <w:ind w:left="0"/>
              <w:jc w:val="left"/>
            </w:pPr>
          </w:p>
        </w:tc>
        <w:tc>
          <w:tcPr>
            <w:tcW w:w="1155" w:type="dxa"/>
            <w:tcMar>
              <w:top w:type="dxa" w:w="60"/>
              <w:left w:type="dxa" w:w="120"/>
              <w:bottom w:type="dxa" w:w="30"/>
              <w:right w:type="dxa" w:w="120"/>
            </w:tcMar>
          </w:tcPr>
          <w:p>
            <w:pPr>
              <w:spacing w:before="120" w:after="120" w:line="288" w:lineRule="auto"/>
              <w:ind w:left="0"/>
              <w:jc w:val="left"/>
            </w:pPr>
          </w:p>
        </w:tc>
        <w:tc>
          <w:tcPr>
            <w:tcW w:w="3615" w:type="dxa"/>
            <w:tcMar>
              <w:top w:type="dxa" w:w="60"/>
              <w:left w:type="dxa" w:w="120"/>
              <w:bottom w:type="dxa" w:w="30"/>
              <w:right w:type="dxa" w:w="120"/>
            </w:tcMar>
          </w:tcPr>
          <w:p>
            <w:pPr>
              <w:spacing w:before="120" w:after="120" w:line="288" w:lineRule="auto"/>
              <w:ind w:left="0"/>
              <w:jc w:val="left"/>
            </w:pPr>
          </w:p>
        </w:tc>
      </w:tr>
    </w:tbl>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郑重强调，Crypto 业务不对大陆企业、个人用户开放。</w:t>
            </w:r>
          </w:p>
        </w:tc>
      </w:tr>
    </w:tbl>
    <w:p>
      <w:pPr>
        <w:spacing w:before="120" w:after="120" w:line="288" w:lineRule="auto"/>
        <w:ind w:left="453"/>
        <w:jc w:val="left"/>
      </w:pPr>
      <w:r>
        <w:rPr>
          <w:rFonts w:eastAsia="等线" w:ascii="Arial" w:cs="Arial" w:hAnsi="Arial"/>
          <w:b w:val="true"/>
          <w:sz w:val="22"/>
        </w:rPr>
        <w:t>功能范围说明</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815"/>
        <w:gridCol w:w="2910"/>
        <w:gridCol w:w="2220"/>
        <w:gridCol w:w="885"/>
      </w:tblGrid>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一级功能</w:t>
            </w:r>
          </w:p>
        </w:tc>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二级功能</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One-time Paymentlink</w:t>
            </w:r>
          </w:p>
          <w:p>
            <w:pPr>
              <w:spacing w:before="120" w:after="120" w:line="288" w:lineRule="auto"/>
              <w:ind w:left="0"/>
              <w:jc w:val="left"/>
            </w:pPr>
          </w:p>
        </w:tc>
        <w:tc>
          <w:tcPr>
            <w:tcW w:w="3090" w:type="dxa"/>
            <w:tcMar>
              <w:top w:type="dxa" w:w="60"/>
              <w:left w:type="dxa" w:w="120"/>
              <w:bottom w:type="dxa" w:w="30"/>
              <w:right w:type="dxa" w:w="120"/>
            </w:tcMar>
          </w:tcPr>
          <w:p>
            <w:pPr>
              <w:numPr>
                <w:numId w:val="48"/>
              </w:numPr>
              <w:spacing w:before="120" w:after="120" w:line="288" w:lineRule="auto"/>
              <w:ind w:left="0"/>
              <w:jc w:val="left"/>
            </w:pPr>
            <w:r>
              <w:rPr>
                <w:rFonts w:eastAsia="等线" w:ascii="Arial" w:cs="Arial" w:hAnsi="Arial"/>
                <w:sz w:val="22"/>
              </w:rPr>
              <w:t>Open API，提供给商家一套对外业务接口</w:t>
            </w:r>
          </w:p>
          <w:p>
            <w:pPr>
              <w:numPr>
                <w:numId w:val="49"/>
              </w:numPr>
              <w:spacing w:before="120" w:after="120" w:line="288" w:lineRule="auto"/>
              <w:ind w:left="0"/>
              <w:jc w:val="left"/>
            </w:pPr>
            <w:r>
              <w:rPr>
                <w:rFonts w:eastAsia="等线" w:ascii="Arial" w:cs="Arial" w:hAnsi="Arial"/>
                <w:sz w:val="22"/>
              </w:rPr>
              <w:t>创建订单 One-time paymentlink</w:t>
            </w:r>
          </w:p>
          <w:p>
            <w:pPr>
              <w:numPr>
                <w:numId w:val="50"/>
              </w:numPr>
              <w:spacing w:before="120" w:after="120" w:line="288" w:lineRule="auto"/>
              <w:ind w:left="0"/>
              <w:jc w:val="left"/>
            </w:pPr>
            <w:r>
              <w:rPr>
                <w:rFonts w:eastAsia="等线" w:ascii="Arial" w:cs="Arial" w:hAnsi="Arial"/>
                <w:sz w:val="22"/>
              </w:rPr>
              <w:t>关闭订单</w:t>
            </w:r>
          </w:p>
          <w:p>
            <w:pPr>
              <w:numPr>
                <w:numId w:val="51"/>
              </w:numPr>
              <w:spacing w:before="120" w:after="120" w:line="288" w:lineRule="auto"/>
              <w:ind w:left="0"/>
              <w:jc w:val="left"/>
            </w:pPr>
            <w:r>
              <w:rPr>
                <w:rFonts w:eastAsia="等线" w:ascii="Arial" w:cs="Arial" w:hAnsi="Arial"/>
                <w:sz w:val="22"/>
              </w:rPr>
              <w:t>查询订单</w:t>
            </w:r>
          </w:p>
          <w:p>
            <w:pPr>
              <w:numPr>
                <w:numId w:val="52"/>
              </w:numPr>
              <w:spacing w:before="120" w:after="120" w:line="288" w:lineRule="auto"/>
              <w:ind w:left="0"/>
              <w:jc w:val="left"/>
            </w:pPr>
            <w:r>
              <w:rPr>
                <w:rFonts w:eastAsia="等线" w:ascii="Arial" w:cs="Arial" w:hAnsi="Arial"/>
                <w:sz w:val="22"/>
              </w:rPr>
              <w:t>批量查询订单</w:t>
            </w:r>
          </w:p>
          <w:p>
            <w:pPr>
              <w:numPr>
                <w:numId w:val="53"/>
              </w:numPr>
              <w:spacing w:before="120" w:after="120" w:line="288" w:lineRule="auto"/>
              <w:ind w:left="0"/>
              <w:jc w:val="left"/>
            </w:pPr>
            <w:r>
              <w:rPr>
                <w:rFonts w:eastAsia="等线" w:ascii="Arial" w:cs="Arial" w:hAnsi="Arial"/>
                <w:sz w:val="22"/>
              </w:rPr>
              <w:t>webhook 通知</w:t>
            </w:r>
          </w:p>
          <w:p>
            <w:pPr>
              <w:numPr>
                <w:numId w:val="54"/>
              </w:numPr>
              <w:spacing w:before="120" w:after="120" w:line="288" w:lineRule="auto"/>
              <w:ind w:left="0"/>
              <w:jc w:val="left"/>
            </w:pPr>
            <w:r>
              <w:rPr>
                <w:rFonts w:eastAsia="等线" w:ascii="Arial" w:cs="Arial" w:hAnsi="Arial"/>
                <w:sz w:val="22"/>
              </w:rPr>
              <w:t>驱动对账</w:t>
            </w:r>
          </w:p>
          <w:p>
            <w:pPr>
              <w:numPr>
                <w:numId w:val="55"/>
              </w:numPr>
              <w:spacing w:before="120" w:after="120" w:line="288" w:lineRule="auto"/>
              <w:ind w:left="0"/>
              <w:jc w:val="left"/>
            </w:pPr>
            <w:r>
              <w:rPr>
                <w:rFonts w:eastAsia="等线" w:ascii="Arial" w:cs="Arial" w:hAnsi="Arial"/>
                <w:strike w:val="true"/>
                <w:sz w:val="22"/>
              </w:rPr>
              <w:t>商家后台</w:t>
            </w:r>
          </w:p>
          <w:p>
            <w:pPr>
              <w:numPr>
                <w:numId w:val="56"/>
              </w:numPr>
              <w:spacing w:before="120" w:after="120" w:line="288" w:lineRule="auto"/>
              <w:ind w:left="0"/>
              <w:jc w:val="left"/>
            </w:pPr>
            <w:r>
              <w:rPr>
                <w:rFonts w:eastAsia="等线" w:ascii="Arial" w:cs="Arial" w:hAnsi="Arial"/>
                <w:strike w:val="true"/>
                <w:sz w:val="22"/>
              </w:rPr>
              <w:t>查询订单</w:t>
            </w:r>
          </w:p>
        </w:tc>
        <w:tc>
          <w:tcPr>
            <w:tcW w:w="234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预警通知</w:t>
            </w:r>
          </w:p>
        </w:tc>
        <w:tc>
          <w:tcPr>
            <w:tcW w:w="3090" w:type="dxa"/>
            <w:tcMar>
              <w:top w:type="dxa" w:w="60"/>
              <w:left w:type="dxa" w:w="120"/>
              <w:bottom w:type="dxa" w:w="30"/>
              <w:right w:type="dxa" w:w="120"/>
            </w:tcMar>
          </w:tcPr>
          <w:p>
            <w:pPr>
              <w:numPr>
                <w:numId w:val="57"/>
              </w:numPr>
              <w:spacing w:before="120" w:after="120" w:line="288" w:lineRule="auto"/>
              <w:ind w:left="0"/>
              <w:jc w:val="left"/>
            </w:pPr>
            <w:r>
              <w:rPr>
                <w:rFonts w:eastAsia="等线" w:ascii="Arial" w:cs="Arial" w:hAnsi="Arial"/>
                <w:sz w:val="22"/>
              </w:rPr>
              <w:t>商家端邮件通知</w:t>
            </w:r>
          </w:p>
          <w:p>
            <w:pPr>
              <w:numPr>
                <w:numId w:val="58"/>
              </w:numPr>
              <w:spacing w:before="120" w:after="120" w:line="288" w:lineRule="auto"/>
              <w:ind w:left="0"/>
              <w:jc w:val="left"/>
            </w:pPr>
            <w:r>
              <w:rPr>
                <w:rFonts w:eastAsia="等线" w:ascii="Arial" w:cs="Arial" w:hAnsi="Arial"/>
                <w:sz w:val="22"/>
              </w:rPr>
              <w:t>多付、少付订单邮件预警</w:t>
            </w:r>
          </w:p>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r>
      <w:tr>
        <w:tc>
          <w:tcPr>
            <w:tcW w:w="19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运营后台（oms）</w:t>
            </w:r>
          </w:p>
          <w:p>
            <w:pPr>
              <w:spacing w:before="120" w:after="120" w:line="288" w:lineRule="auto"/>
              <w:ind w:left="0"/>
              <w:jc w:val="left"/>
            </w:pPr>
          </w:p>
        </w:tc>
        <w:tc>
          <w:tcPr>
            <w:tcW w:w="3090" w:type="dxa"/>
            <w:tcMar>
              <w:top w:type="dxa" w:w="60"/>
              <w:left w:type="dxa" w:w="120"/>
              <w:bottom w:type="dxa" w:w="30"/>
              <w:right w:type="dxa" w:w="120"/>
            </w:tcMar>
          </w:tcPr>
          <w:p>
            <w:pPr>
              <w:numPr>
                <w:numId w:val="59"/>
              </w:numPr>
              <w:spacing w:before="120" w:after="120" w:line="288" w:lineRule="auto"/>
              <w:ind w:left="0"/>
              <w:jc w:val="left"/>
            </w:pPr>
            <w:r>
              <w:rPr>
                <w:rFonts w:eastAsia="等线" w:ascii="Arial" w:cs="Arial" w:hAnsi="Arial"/>
                <w:sz w:val="22"/>
              </w:rPr>
              <w:t>One-time Paymentlink</w:t>
            </w:r>
          </w:p>
          <w:p>
            <w:pPr>
              <w:numPr>
                <w:numId w:val="60"/>
              </w:numPr>
              <w:spacing w:before="120" w:after="120" w:line="288" w:lineRule="auto"/>
              <w:ind w:left="0"/>
              <w:jc w:val="left"/>
            </w:pPr>
            <w:r>
              <w:rPr>
                <w:rFonts w:eastAsia="等线" w:ascii="Arial" w:cs="Arial" w:hAnsi="Arial"/>
                <w:sz w:val="22"/>
              </w:rPr>
              <w:t>订单查询</w:t>
            </w:r>
          </w:p>
        </w:tc>
        <w:tc>
          <w:tcPr>
            <w:tcW w:w="234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p>
            <w:pPr>
              <w:spacing w:before="120" w:after="120" w:line="288" w:lineRule="auto"/>
              <w:ind w:left="0"/>
              <w:jc w:val="left"/>
            </w:pPr>
          </w:p>
        </w:tc>
      </w:tr>
      <w:tr>
        <w:tc>
          <w:tcPr>
            <w:tcW w:w="1920" w:type="dxa"/>
            <w:vMerge w:val="continue"/>
            <w:tcMar>
              <w:top w:type="dxa" w:w="60"/>
              <w:left w:type="dxa" w:w="120"/>
              <w:bottom w:type="dxa" w:w="30"/>
              <w:right w:type="dxa" w:w="120"/>
            </w:tcMar>
          </w:tcPr>
          <w:p>
            <w:pPr>
              <w:spacing w:before="120" w:after="120" w:line="288" w:lineRule="auto"/>
              <w:ind w:left="0"/>
              <w:jc w:val="left"/>
            </w:pPr>
          </w:p>
        </w:tc>
        <w:tc>
          <w:tcPr>
            <w:tcW w:w="3090" w:type="dxa"/>
            <w:tcMar>
              <w:top w:type="dxa" w:w="60"/>
              <w:left w:type="dxa" w:w="120"/>
              <w:bottom w:type="dxa" w:w="30"/>
              <w:right w:type="dxa" w:w="120"/>
            </w:tcMar>
          </w:tcPr>
          <w:p>
            <w:pPr>
              <w:numPr>
                <w:numId w:val="61"/>
              </w:numPr>
              <w:spacing w:before="120" w:after="120" w:line="288" w:lineRule="auto"/>
              <w:ind w:left="0"/>
              <w:jc w:val="left"/>
            </w:pPr>
            <w:r>
              <w:rPr>
                <w:rFonts w:eastAsia="等线" w:ascii="Arial" w:cs="Arial" w:hAnsi="Arial"/>
                <w:sz w:val="22"/>
              </w:rPr>
              <w:t>异常订单处理</w:t>
            </w:r>
          </w:p>
          <w:p>
            <w:pPr>
              <w:numPr>
                <w:numId w:val="62"/>
              </w:numPr>
              <w:spacing w:before="120" w:after="120" w:line="288" w:lineRule="auto"/>
              <w:ind w:left="0"/>
              <w:jc w:val="left"/>
            </w:pPr>
            <w:r>
              <w:rPr>
                <w:rFonts w:eastAsia="等线" w:ascii="Arial" w:cs="Arial" w:hAnsi="Arial"/>
                <w:sz w:val="22"/>
              </w:rPr>
              <w:t>飞书预警</w:t>
            </w:r>
          </w:p>
          <w:p>
            <w:pPr>
              <w:numPr>
                <w:numId w:val="63"/>
              </w:numPr>
              <w:spacing w:before="120" w:after="120" w:line="288" w:lineRule="auto"/>
              <w:ind w:left="0"/>
              <w:jc w:val="left"/>
            </w:pPr>
            <w:r>
              <w:rPr>
                <w:rFonts w:eastAsia="等线" w:ascii="Arial" w:cs="Arial" w:hAnsi="Arial"/>
                <w:sz w:val="22"/>
              </w:rPr>
              <w:t>异常订单处理</w:t>
            </w:r>
          </w:p>
        </w:tc>
        <w:tc>
          <w:tcPr>
            <w:tcW w:w="234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交易路由</w:t>
            </w:r>
          </w:p>
        </w:tc>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交易路由分配</w:t>
            </w:r>
          </w:p>
        </w:tc>
        <w:tc>
          <w:tcPr>
            <w:tcW w:w="234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账户操作</w:t>
            </w:r>
          </w:p>
        </w:tc>
        <w:tc>
          <w:tcPr>
            <w:tcW w:w="3090" w:type="dxa"/>
            <w:tcMar>
              <w:top w:type="dxa" w:w="60"/>
              <w:left w:type="dxa" w:w="120"/>
              <w:bottom w:type="dxa" w:w="30"/>
              <w:right w:type="dxa" w:w="120"/>
            </w:tcMar>
          </w:tcPr>
          <w:p>
            <w:pPr>
              <w:numPr>
                <w:numId w:val="64"/>
              </w:numPr>
              <w:spacing w:before="120" w:after="120" w:line="288" w:lineRule="auto"/>
              <w:ind w:left="0"/>
              <w:jc w:val="left"/>
            </w:pPr>
            <w:r>
              <w:rPr>
                <w:rFonts w:eastAsia="等线" w:ascii="Arial" w:cs="Arial" w:hAnsi="Arial"/>
                <w:sz w:val="22"/>
              </w:rPr>
              <w:t>支持账户查询</w:t>
            </w:r>
          </w:p>
          <w:p>
            <w:pPr>
              <w:numPr>
                <w:numId w:val="65"/>
              </w:numPr>
              <w:spacing w:before="120" w:after="120" w:line="288" w:lineRule="auto"/>
              <w:ind w:left="0"/>
              <w:jc w:val="left"/>
            </w:pPr>
            <w:r>
              <w:rPr>
                <w:rFonts w:eastAsia="等线" w:ascii="Arial" w:cs="Arial" w:hAnsi="Arial"/>
                <w:sz w:val="22"/>
              </w:rPr>
              <w:t>支持账户止入、止出、恢复</w:t>
            </w:r>
          </w:p>
        </w:tc>
        <w:tc>
          <w:tcPr>
            <w:tcW w:w="234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r>
    </w:tbl>
    <w:p>
      <w:pPr>
        <w:spacing w:before="120" w:after="120" w:line="288" w:lineRule="auto"/>
        <w:ind w:left="453"/>
        <w:jc w:val="left"/>
      </w:pPr>
      <w:r>
        <w:rPr>
          <w:rFonts w:eastAsia="等线" w:ascii="Arial" w:cs="Arial" w:hAnsi="Arial"/>
          <w:b w:val="true"/>
          <w:sz w:val="22"/>
        </w:rPr>
        <w:t xml:space="preserve">  语言国际化</w:t>
      </w:r>
      <w:r>
        <w:rPr>
          <w:rFonts w:eastAsia="等线" w:ascii="Arial" w:cs="Arial" w:hAnsi="Arial"/>
          <w:sz w:val="22"/>
        </w:rPr>
        <w:t>：</w:t>
      </w:r>
      <w:r>
        <w:rPr>
          <w:rFonts w:eastAsia="等线" w:ascii="Arial" w:cs="Arial" w:hAnsi="Arial"/>
          <w:i w:val="true"/>
          <w:sz w:val="22"/>
        </w:rPr>
        <w:t>支持中、英的两语操作界面</w:t>
      </w: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1.5 </w:t>
      </w:r>
      <w:r>
        <w:rPr>
          <w:rFonts w:eastAsia="等线" w:ascii="Arial" w:cs="Arial" w:hAnsi="Arial"/>
          <w:b w:val="true"/>
          <w:sz w:val="32"/>
        </w:rPr>
        <w:t>必看的 Crypto 付款流程</w:t>
      </w:r>
      <w:bookmarkEnd w:id="5"/>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center"/>
      </w:pPr>
      <w:r>
        <w:drawing>
          <wp:inline distT="0" distR="0" distB="0" distL="0">
            <wp:extent cx="5257800" cy="10668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9"/>
                    <a:stretch>
                      <a:fillRect/>
                    </a:stretch>
                  </pic:blipFill>
                  <pic:spPr>
                    <a:xfrm>
                      <a:off x="0" y="0"/>
                      <a:ext cx="5257800" cy="1066800"/>
                    </a:xfrm>
                    <a:prstGeom prst="rect">
                      <a:avLst/>
                    </a:prstGeom>
                  </pic:spPr>
                </pic:pic>
              </a:graphicData>
            </a:graphic>
          </wp:inline>
        </w:drawing>
      </w: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6" w:id="6"/>
      <w:r>
        <w:rPr>
          <w:rFonts w:eastAsia="等线" w:ascii="Arial" w:cs="Arial" w:hAnsi="Arial"/>
          <w:color w:val="3370ff"/>
          <w:sz w:val="36"/>
        </w:rPr>
        <w:t xml:space="preserve">2. </w:t>
      </w:r>
      <w:r>
        <w:rPr>
          <w:rFonts w:eastAsia="等线" w:ascii="Arial" w:cs="Arial" w:hAnsi="Arial"/>
          <w:b w:val="true"/>
          <w:sz w:val="36"/>
        </w:rPr>
        <w:t>产品概要设计//Outline design</w:t>
      </w:r>
      <w:bookmarkEnd w:id="6"/>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2.1 </w:t>
      </w:r>
      <w:r>
        <w:rPr>
          <w:rFonts w:eastAsia="等线" w:ascii="Arial" w:cs="Arial" w:hAnsi="Arial"/>
          <w:b w:val="true"/>
          <w:sz w:val="32"/>
        </w:rPr>
        <w:t>产品功能</w:t>
      </w:r>
      <w:r>
        <w:rPr>
          <w:rFonts w:eastAsia="等线" w:ascii="Arial" w:cs="Arial" w:hAnsi="Arial"/>
          <w:b w:val="true"/>
          <w:sz w:val="32"/>
        </w:rPr>
        <w:t>架构图 (Functional Architecture Diagram)--- 非必须</w:t>
      </w:r>
      <w:bookmarkEnd w:id="7"/>
    </w:p>
    <w:p>
      <w:pPr>
        <w:spacing w:before="120" w:after="120" w:line="288" w:lineRule="auto"/>
        <w:ind w:left="0"/>
        <w:jc w:val="left"/>
      </w:pPr>
      <w:r>
        <w:rPr>
          <w:rFonts w:eastAsia="等线" w:ascii="Arial" w:cs="Arial" w:hAnsi="Arial"/>
          <w:sz w:val="22"/>
        </w:rPr>
        <w:t>功能架构图展示了产品的</w:t>
      </w:r>
      <w:r>
        <w:rPr>
          <w:rFonts w:eastAsia="等线" w:ascii="Arial" w:cs="Arial" w:hAnsi="Arial"/>
          <w:b w:val="true"/>
          <w:sz w:val="22"/>
        </w:rPr>
        <w:t>功能模块划分</w:t>
      </w:r>
      <w:r>
        <w:rPr>
          <w:rFonts w:eastAsia="等线" w:ascii="Arial" w:cs="Arial" w:hAnsi="Arial"/>
          <w:sz w:val="22"/>
        </w:rPr>
        <w:t>和</w:t>
      </w:r>
      <w:r>
        <w:rPr>
          <w:rFonts w:eastAsia="等线" w:ascii="Arial" w:cs="Arial" w:hAnsi="Arial"/>
          <w:b w:val="true"/>
          <w:sz w:val="22"/>
        </w:rPr>
        <w:t>层级关系</w:t>
      </w:r>
      <w:r>
        <w:rPr>
          <w:rFonts w:eastAsia="等线" w:ascii="Arial" w:cs="Arial" w:hAnsi="Arial"/>
          <w:sz w:val="22"/>
        </w:rPr>
        <w:t>。图中的模块按照用户界面的可见性（顶层）到核心服务（底层）进行组织。</w:t>
      </w:r>
    </w:p>
    <w:p>
      <w:pPr>
        <w:spacing w:before="120" w:after="120" w:line="288" w:lineRule="auto"/>
        <w:ind w:left="0"/>
        <w:jc w:val="center"/>
      </w:pPr>
      <w:r>
        <w:drawing>
          <wp:inline distT="0" distR="0" distB="0" distL="0">
            <wp:extent cx="5257800" cy="26860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5257800" cy="268605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2.2 </w:t>
      </w:r>
      <w:r>
        <w:rPr>
          <w:rFonts w:eastAsia="等线" w:ascii="Arial" w:cs="Arial" w:hAnsi="Arial"/>
          <w:b w:val="true"/>
          <w:sz w:val="32"/>
        </w:rPr>
        <w:t>领域模型与数据说明 (Domain Model &amp; Data Description)</w:t>
      </w:r>
      <w:r>
        <w:rPr>
          <w:rFonts w:eastAsia="等线" w:ascii="Arial" w:cs="Arial" w:hAnsi="Arial"/>
          <w:b w:val="true"/>
          <w:sz w:val="32"/>
        </w:rPr>
        <w:t>--- 按需</w:t>
      </w:r>
      <w:bookmarkEnd w:id="8"/>
    </w:p>
    <w:p>
      <w:pPr>
        <w:spacing w:before="120" w:after="120" w:line="288" w:lineRule="auto"/>
        <w:ind w:left="0"/>
        <w:jc w:val="left"/>
      </w:pPr>
      <w:r>
        <w:rPr>
          <w:rFonts w:eastAsia="等线" w:ascii="Arial" w:cs="Arial" w:hAnsi="Arial"/>
          <w:sz w:val="22"/>
        </w:rPr>
        <w:t>定义产品涉及的</w:t>
      </w:r>
      <w:r>
        <w:rPr>
          <w:rFonts w:eastAsia="等线" w:ascii="Arial" w:cs="Arial" w:hAnsi="Arial"/>
          <w:b w:val="true"/>
          <w:sz w:val="22"/>
        </w:rPr>
        <w:t>核心概念</w:t>
      </w:r>
      <w:r>
        <w:rPr>
          <w:rFonts w:eastAsia="等线" w:ascii="Arial" w:cs="Arial" w:hAnsi="Arial"/>
          <w:sz w:val="22"/>
        </w:rPr>
        <w:t>、</w:t>
      </w:r>
      <w:r>
        <w:rPr>
          <w:rFonts w:eastAsia="等线" w:ascii="Arial" w:cs="Arial" w:hAnsi="Arial"/>
          <w:b w:val="true"/>
          <w:sz w:val="22"/>
        </w:rPr>
        <w:t>关键属性</w:t>
      </w:r>
      <w:r>
        <w:rPr>
          <w:rFonts w:eastAsia="等线" w:ascii="Arial" w:cs="Arial" w:hAnsi="Arial"/>
          <w:sz w:val="22"/>
        </w:rPr>
        <w:t>及其</w:t>
      </w:r>
      <w:r>
        <w:rPr>
          <w:rFonts w:eastAsia="等线" w:ascii="Arial" w:cs="Arial" w:hAnsi="Arial"/>
          <w:b w:val="true"/>
          <w:sz w:val="22"/>
        </w:rPr>
        <w:t>相互关系</w:t>
      </w:r>
      <w:r>
        <w:rPr>
          <w:rFonts w:eastAsia="等线" w:ascii="Arial" w:cs="Arial" w:hAnsi="Arial"/>
          <w:sz w:val="22"/>
        </w:rPr>
        <w:t>。此部分旨在统一团队对核心数据结构和业务实体的理解。</w:t>
      </w:r>
    </w:p>
    <w:p>
      <w:pPr>
        <w:spacing w:before="120" w:after="120" w:line="288" w:lineRule="auto"/>
        <w:ind w:left="0"/>
        <w:jc w:val="center"/>
      </w:pPr>
      <w:r>
        <w:drawing>
          <wp:inline distT="0" distR="0" distB="0" distL="0">
            <wp:extent cx="5257800" cy="27717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1"/>
                    <a:stretch>
                      <a:fillRect/>
                    </a:stretch>
                  </pic:blipFill>
                  <pic:spPr>
                    <a:xfrm>
                      <a:off x="0" y="0"/>
                      <a:ext cx="5257800" cy="2771775"/>
                    </a:xfrm>
                    <a:prstGeom prst="rect">
                      <a:avLst/>
                    </a:prstGeom>
                  </pic:spPr>
                </pic:pic>
              </a:graphicData>
            </a:graphic>
          </wp:inline>
        </w:drawing>
      </w:r>
    </w:p>
    <w:p>
      <w:pPr>
        <w:spacing w:before="120" w:after="120" w:line="288" w:lineRule="auto"/>
        <w:ind w:left="0"/>
        <w:jc w:val="center"/>
      </w:pPr>
      <w:r>
        <w:drawing>
          <wp:inline distT="0" distR="0" distB="0" distL="0">
            <wp:extent cx="5257800" cy="24479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2"/>
                    <a:stretch>
                      <a:fillRect/>
                    </a:stretch>
                  </pic:blipFill>
                  <pic:spPr>
                    <a:xfrm>
                      <a:off x="0" y="0"/>
                      <a:ext cx="5257800" cy="2447925"/>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10"/>
        <w:gridCol w:w="870"/>
        <w:gridCol w:w="6000"/>
      </w:tblGrid>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6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状态机</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交易单</w:t>
            </w:r>
          </w:p>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6000" w:type="dxa"/>
            <w:vMerge w:val="restart"/>
            <w:tcMar>
              <w:top w:type="dxa" w:w="60"/>
              <w:left w:type="dxa" w:w="120"/>
              <w:bottom w:type="dxa" w:w="30"/>
              <w:right w:type="dxa" w:w="120"/>
            </w:tcMar>
          </w:tcPr>
          <w:p>
            <w:pPr>
              <w:spacing w:before="120" w:after="120" w:line="288" w:lineRule="auto"/>
              <w:ind w:left="0"/>
              <w:jc w:val="center"/>
            </w:pPr>
            <w:r>
              <w:drawing>
                <wp:inline distT="0" distR="0" distB="0" distL="0">
                  <wp:extent cx="3657600" cy="36195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3"/>
                          <a:stretch>
                            <a:fillRect/>
                          </a:stretch>
                        </pic:blipFill>
                        <pic:spPr>
                          <a:xfrm>
                            <a:off x="0" y="0"/>
                            <a:ext cx="3657600" cy="3619500"/>
                          </a:xfrm>
                          <a:prstGeom prst="rect">
                            <a:avLst/>
                          </a:prstGeom>
                        </pic:spPr>
                      </pic:pic>
                    </a:graphicData>
                  </a:graphic>
                </wp:inline>
              </w:drawing>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支付单（沿用渠道）</w:t>
            </w:r>
          </w:p>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6000" w:type="dxa"/>
            <w:vMerge w:val="continue"/>
            <w:tcMar>
              <w:top w:type="dxa" w:w="60"/>
              <w:left w:type="dxa" w:w="120"/>
              <w:bottom w:type="dxa" w:w="30"/>
              <w:right w:type="dxa" w:w="120"/>
            </w:tcMar>
          </w:tcPr>
          <w:p>
            <w:pPr>
              <w:spacing w:before="120" w:after="120" w:line="288" w:lineRule="auto"/>
              <w:ind w:left="0"/>
              <w:jc w:val="left"/>
            </w:pPr>
          </w:p>
        </w:tc>
      </w:tr>
    </w:tbl>
    <w:p>
      <w:pPr>
        <w:numPr>
          <w:numId w:val="66"/>
        </w:numPr>
        <w:spacing w:before="120" w:after="120" w:line="288" w:lineRule="auto"/>
        <w:ind w:left="0"/>
        <w:jc w:val="left"/>
      </w:pPr>
      <w:r>
        <w:rPr>
          <w:rFonts w:eastAsia="等线" w:ascii="Arial" w:cs="Arial" w:hAnsi="Arial"/>
          <w:sz w:val="22"/>
        </w:rPr>
        <w:t>Paymentlink order object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90"/>
        <w:gridCol w:w="825"/>
        <w:gridCol w:w="1575"/>
        <w:gridCol w:w="2250"/>
        <w:gridCol w:w="2340"/>
      </w:tblGrid>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example</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商户号</w:t>
            </w:r>
          </w:p>
          <w:p>
            <w:pPr>
              <w:spacing w:before="120" w:after="120" w:line="288" w:lineRule="auto"/>
              <w:ind w:left="0"/>
              <w:jc w:val="left"/>
            </w:pPr>
            <w:r>
              <w:rPr>
                <w:rFonts w:eastAsia="等线" w:ascii="Arial" w:cs="Arial" w:hAnsi="Arial"/>
                <w:sz w:val="22"/>
              </w:rPr>
              <w:t xml:space="preserve"> MerchantID</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SolaPex 分配给商户的唯一 商户号</w:t>
            </w:r>
          </w:p>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商户订单号</w:t>
              <w:br/>
            </w:r>
            <w:r>
              <w:rPr>
                <w:rFonts w:eastAsia="等线" w:ascii="Arial" w:cs="Arial" w:hAnsi="Arial"/>
                <w:sz w:val="22"/>
              </w:rPr>
              <w:t>MerchantOrderNumber</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商户请求时传入</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saas订单号</w:t>
            </w:r>
          </w:p>
          <w:p>
            <w:pPr>
              <w:spacing w:before="120" w:after="120" w:line="288" w:lineRule="auto"/>
              <w:ind w:left="0"/>
              <w:jc w:val="left"/>
            </w:pPr>
            <w:r>
              <w:rPr>
                <w:rFonts w:eastAsia="等线" w:ascii="Arial" w:cs="Arial" w:hAnsi="Arial"/>
                <w:sz w:val="22"/>
              </w:rPr>
              <w:t>saas 订单号 orderid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选填，不强制采集</w:t>
            </w:r>
          </w:p>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如果商户是 PSP 服务商，比如自有支付的角色。可将上游订单信息传入</w:t>
            </w:r>
          </w:p>
          <w:p>
            <w:pPr>
              <w:spacing w:before="120" w:after="120" w:line="288" w:lineRule="auto"/>
              <w:ind w:left="0"/>
              <w:jc w:val="left"/>
            </w:pPr>
            <w:r>
              <w:rPr>
                <w:rFonts w:eastAsia="等线" w:ascii="Arial" w:cs="Arial" w:hAnsi="Arial"/>
                <w:sz w:val="22"/>
              </w:rPr>
              <w:t xml:space="preserve"> 本期自有支付会将 saas 服务的 order id 传过来。用于关联查询</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我方订单号</w:t>
            </w:r>
          </w:p>
          <w:p>
            <w:pPr>
              <w:spacing w:before="120" w:after="120" w:line="288" w:lineRule="auto"/>
              <w:ind w:left="453"/>
              <w:jc w:val="left"/>
            </w:pPr>
            <w:r>
              <w:rPr>
                <w:rFonts w:eastAsia="等线" w:ascii="Arial" w:cs="Arial" w:hAnsi="Arial"/>
                <w:sz w:val="22"/>
              </w:rPr>
              <w:t>OrderNumber</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我方系统生成的唯一单号</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业务信息</w:t>
            </w:r>
          </w:p>
          <w:p>
            <w:pPr>
              <w:spacing w:before="120" w:after="120" w:line="288" w:lineRule="auto"/>
              <w:ind w:left="0"/>
              <w:jc w:val="left"/>
            </w:pPr>
            <w:r>
              <w:rPr>
                <w:rFonts w:eastAsia="等线" w:ascii="Arial" w:cs="Arial" w:hAnsi="Arial"/>
                <w:sz w:val="22"/>
              </w:rPr>
              <w:t>BusInformation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用户号</w:t>
            </w:r>
          </w:p>
          <w:p>
            <w:pPr>
              <w:spacing w:before="120" w:after="120" w:line="288" w:lineRule="auto"/>
              <w:ind w:left="0"/>
              <w:jc w:val="left"/>
            </w:pPr>
            <w:r>
              <w:rPr>
                <w:rFonts w:eastAsia="等线" w:ascii="Arial" w:cs="Arial" w:hAnsi="Arial"/>
                <w:sz w:val="22"/>
              </w:rPr>
              <w:t>Userid</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非必填</w:t>
            </w:r>
          </w:p>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商户请求时传入</w:t>
            </w:r>
          </w:p>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订单币种</w:t>
            </w:r>
          </w:p>
          <w:p>
            <w:pPr>
              <w:spacing w:before="120" w:after="120" w:line="288" w:lineRule="auto"/>
              <w:ind w:left="0"/>
              <w:jc w:val="left"/>
            </w:pPr>
            <w:r>
              <w:rPr>
                <w:rFonts w:eastAsia="等线" w:ascii="Arial" w:cs="Arial" w:hAnsi="Arial"/>
                <w:sz w:val="22"/>
              </w:rPr>
              <w:t>OderCurrency</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numPr>
                <w:numId w:val="67"/>
              </w:numPr>
              <w:spacing w:before="120" w:after="120" w:line="288" w:lineRule="auto"/>
              <w:ind w:left="0"/>
              <w:jc w:val="left"/>
            </w:pPr>
            <w:r>
              <w:rPr>
                <w:rFonts w:eastAsia="Consolas" w:ascii="Consolas" w:cs="Consolas" w:hAnsi="Consolas"/>
                <w:sz w:val="22"/>
                <w:shd w:fill="EFF0F1"/>
              </w:rPr>
              <w:t>USD</w:t>
            </w:r>
            <w:r>
              <w:rPr>
                <w:rFonts w:eastAsia="等线" w:ascii="Arial" w:cs="Arial" w:hAnsi="Arial"/>
                <w:sz w:val="22"/>
              </w:rPr>
              <w:t xml:space="preserve"> — 美元 (United States Dollar)</w:t>
            </w:r>
          </w:p>
          <w:p>
            <w:pPr>
              <w:numPr>
                <w:numId w:val="68"/>
              </w:numPr>
              <w:spacing w:before="120" w:after="120" w:line="288" w:lineRule="auto"/>
              <w:ind w:left="0"/>
              <w:jc w:val="left"/>
            </w:pPr>
            <w:r>
              <w:rPr>
                <w:rFonts w:eastAsia="Consolas" w:ascii="Consolas" w:cs="Consolas" w:hAnsi="Consolas"/>
                <w:sz w:val="22"/>
                <w:shd w:fill="EFF0F1"/>
              </w:rPr>
              <w:t>CAD</w:t>
            </w:r>
            <w:r>
              <w:rPr>
                <w:rFonts w:eastAsia="等线" w:ascii="Arial" w:cs="Arial" w:hAnsi="Arial"/>
                <w:sz w:val="22"/>
              </w:rPr>
              <w:t xml:space="preserve"> — 加元 (Canadian Dollar)</w:t>
            </w:r>
          </w:p>
          <w:p>
            <w:pPr>
              <w:numPr>
                <w:numId w:val="69"/>
              </w:numPr>
              <w:spacing w:before="120" w:after="120" w:line="288" w:lineRule="auto"/>
              <w:ind w:left="0"/>
              <w:jc w:val="left"/>
            </w:pPr>
            <w:r>
              <w:rPr>
                <w:rFonts w:eastAsia="Consolas" w:ascii="Consolas" w:cs="Consolas" w:hAnsi="Consolas"/>
                <w:sz w:val="22"/>
                <w:shd w:fill="EFF0F1"/>
              </w:rPr>
              <w:t>MXN</w:t>
            </w:r>
            <w:r>
              <w:rPr>
                <w:rFonts w:eastAsia="等线" w:ascii="Arial" w:cs="Arial" w:hAnsi="Arial"/>
                <w:sz w:val="22"/>
              </w:rPr>
              <w:t xml:space="preserve"> — 墨西哥比索 (Mexican Peso)</w:t>
            </w:r>
          </w:p>
          <w:p>
            <w:pPr>
              <w:numPr>
                <w:numId w:val="70"/>
              </w:numPr>
              <w:spacing w:before="120" w:after="120" w:line="288" w:lineRule="auto"/>
              <w:ind w:left="0"/>
              <w:jc w:val="left"/>
            </w:pPr>
            <w:r>
              <w:rPr>
                <w:rFonts w:eastAsia="Consolas" w:ascii="Consolas" w:cs="Consolas" w:hAnsi="Consolas"/>
                <w:sz w:val="22"/>
                <w:shd w:fill="EFF0F1"/>
              </w:rPr>
              <w:t>BRL</w:t>
            </w:r>
            <w:r>
              <w:rPr>
                <w:rFonts w:eastAsia="等线" w:ascii="Arial" w:cs="Arial" w:hAnsi="Arial"/>
                <w:sz w:val="22"/>
              </w:rPr>
              <w:t xml:space="preserve"> — 巴西雷亚尔 (Brazilian Real)</w:t>
            </w:r>
          </w:p>
          <w:p>
            <w:pPr>
              <w:numPr>
                <w:numId w:val="71"/>
              </w:numPr>
              <w:spacing w:before="120" w:after="120" w:line="288" w:lineRule="auto"/>
              <w:ind w:left="0"/>
              <w:jc w:val="left"/>
            </w:pPr>
            <w:r>
              <w:rPr>
                <w:rFonts w:eastAsia="Consolas" w:ascii="Consolas" w:cs="Consolas" w:hAnsi="Consolas"/>
                <w:sz w:val="22"/>
                <w:shd w:fill="EFF0F1"/>
              </w:rPr>
              <w:t>ARS</w:t>
            </w:r>
            <w:r>
              <w:rPr>
                <w:rFonts w:eastAsia="等线" w:ascii="Arial" w:cs="Arial" w:hAnsi="Arial"/>
                <w:sz w:val="22"/>
              </w:rPr>
              <w:t xml:space="preserve"> — 阿根廷比索 (Argentine Peso)</w:t>
            </w:r>
          </w:p>
          <w:p>
            <w:pPr>
              <w:numPr>
                <w:numId w:val="72"/>
              </w:numPr>
              <w:spacing w:before="120" w:after="120" w:line="288" w:lineRule="auto"/>
              <w:ind w:left="0"/>
              <w:jc w:val="left"/>
            </w:pPr>
            <w:r>
              <w:rPr>
                <w:rFonts w:eastAsia="Consolas" w:ascii="Consolas" w:cs="Consolas" w:hAnsi="Consolas"/>
                <w:sz w:val="22"/>
                <w:shd w:fill="EFF0F1"/>
              </w:rPr>
              <w:t>CLP</w:t>
            </w:r>
            <w:r>
              <w:rPr>
                <w:rFonts w:eastAsia="等线" w:ascii="Arial" w:cs="Arial" w:hAnsi="Arial"/>
                <w:sz w:val="22"/>
              </w:rPr>
              <w:t xml:space="preserve"> — 智利比索 (Chilean Peso)</w:t>
            </w:r>
          </w:p>
          <w:p>
            <w:pPr>
              <w:numPr>
                <w:numId w:val="73"/>
              </w:numPr>
              <w:spacing w:before="120" w:after="120" w:line="288" w:lineRule="auto"/>
              <w:ind w:left="0"/>
              <w:jc w:val="left"/>
            </w:pPr>
            <w:r>
              <w:rPr>
                <w:rFonts w:eastAsia="Consolas" w:ascii="Consolas" w:cs="Consolas" w:hAnsi="Consolas"/>
                <w:sz w:val="22"/>
                <w:shd w:fill="EFF0F1"/>
              </w:rPr>
              <w:t>COP</w:t>
            </w:r>
            <w:r>
              <w:rPr>
                <w:rFonts w:eastAsia="等线" w:ascii="Arial" w:cs="Arial" w:hAnsi="Arial"/>
                <w:sz w:val="22"/>
              </w:rPr>
              <w:t xml:space="preserve"> — 哥伦比亚比索 (Colombian Peso)</w:t>
            </w:r>
          </w:p>
          <w:p>
            <w:pPr>
              <w:numPr>
                <w:numId w:val="74"/>
              </w:numPr>
              <w:spacing w:before="120" w:after="120" w:line="288" w:lineRule="auto"/>
              <w:ind w:left="0"/>
              <w:jc w:val="left"/>
            </w:pPr>
            <w:r>
              <w:rPr>
                <w:rFonts w:eastAsia="Consolas" w:ascii="Consolas" w:cs="Consolas" w:hAnsi="Consolas"/>
                <w:sz w:val="22"/>
                <w:shd w:fill="EFF0F1"/>
              </w:rPr>
              <w:t>PEN</w:t>
            </w:r>
            <w:r>
              <w:rPr>
                <w:rFonts w:eastAsia="等线" w:ascii="Arial" w:cs="Arial" w:hAnsi="Arial"/>
                <w:sz w:val="22"/>
              </w:rPr>
              <w:t xml:space="preserve"> — 秘鲁新索尔 (Peruvian Nuevo Sol)</w:t>
            </w:r>
          </w:p>
          <w:p>
            <w:pPr>
              <w:numPr>
                <w:numId w:val="75"/>
              </w:numPr>
              <w:spacing w:before="120" w:after="120" w:line="288" w:lineRule="auto"/>
              <w:ind w:left="0"/>
              <w:jc w:val="left"/>
            </w:pPr>
            <w:r>
              <w:rPr>
                <w:rFonts w:eastAsia="Consolas" w:ascii="Consolas" w:cs="Consolas" w:hAnsi="Consolas"/>
                <w:sz w:val="22"/>
                <w:shd w:fill="EFF0F1"/>
              </w:rPr>
              <w:t>EUR</w:t>
            </w:r>
            <w:r>
              <w:rPr>
                <w:rFonts w:eastAsia="等线" w:ascii="Arial" w:cs="Arial" w:hAnsi="Arial"/>
                <w:sz w:val="22"/>
              </w:rPr>
              <w:t xml:space="preserve"> — 欧元 (Euro)</w:t>
            </w:r>
          </w:p>
          <w:p>
            <w:pPr>
              <w:numPr>
                <w:numId w:val="76"/>
              </w:numPr>
              <w:spacing w:before="120" w:after="120" w:line="288" w:lineRule="auto"/>
              <w:ind w:left="0"/>
              <w:jc w:val="left"/>
            </w:pPr>
            <w:r>
              <w:rPr>
                <w:rFonts w:eastAsia="Consolas" w:ascii="Consolas" w:cs="Consolas" w:hAnsi="Consolas"/>
                <w:sz w:val="22"/>
                <w:shd w:fill="EFF0F1"/>
              </w:rPr>
              <w:t>GBP</w:t>
            </w:r>
            <w:r>
              <w:rPr>
                <w:rFonts w:eastAsia="等线" w:ascii="Arial" w:cs="Arial" w:hAnsi="Arial"/>
                <w:sz w:val="22"/>
              </w:rPr>
              <w:t xml:space="preserve"> — 英镑 (British Pound Sterling)</w:t>
            </w:r>
          </w:p>
          <w:p>
            <w:pPr>
              <w:numPr>
                <w:numId w:val="77"/>
              </w:numPr>
              <w:spacing w:before="120" w:after="120" w:line="288" w:lineRule="auto"/>
              <w:ind w:left="0"/>
              <w:jc w:val="left"/>
            </w:pPr>
            <w:r>
              <w:rPr>
                <w:rFonts w:eastAsia="Consolas" w:ascii="Consolas" w:cs="Consolas" w:hAnsi="Consolas"/>
                <w:sz w:val="22"/>
                <w:shd w:fill="EFF0F1"/>
              </w:rPr>
              <w:t>CHF</w:t>
            </w:r>
            <w:r>
              <w:rPr>
                <w:rFonts w:eastAsia="等线" w:ascii="Arial" w:cs="Arial" w:hAnsi="Arial"/>
                <w:sz w:val="22"/>
              </w:rPr>
              <w:t xml:space="preserve"> — 瑞士法郎 (Swiss Franc)</w:t>
            </w:r>
          </w:p>
          <w:p>
            <w:pPr>
              <w:numPr>
                <w:numId w:val="78"/>
              </w:numPr>
              <w:spacing w:before="120" w:after="120" w:line="288" w:lineRule="auto"/>
              <w:ind w:left="0"/>
              <w:jc w:val="left"/>
            </w:pPr>
            <w:r>
              <w:rPr>
                <w:rFonts w:eastAsia="Consolas" w:ascii="Consolas" w:cs="Consolas" w:hAnsi="Consolas"/>
                <w:sz w:val="22"/>
                <w:shd w:fill="EFF0F1"/>
              </w:rPr>
              <w:t>SEK</w:t>
            </w:r>
            <w:r>
              <w:rPr>
                <w:rFonts w:eastAsia="等线" w:ascii="Arial" w:cs="Arial" w:hAnsi="Arial"/>
                <w:sz w:val="22"/>
              </w:rPr>
              <w:t xml:space="preserve"> — 瑞典克朗 (Swedish Krona)</w:t>
            </w:r>
          </w:p>
          <w:p>
            <w:pPr>
              <w:numPr>
                <w:numId w:val="79"/>
              </w:numPr>
              <w:spacing w:before="120" w:after="120" w:line="288" w:lineRule="auto"/>
              <w:ind w:left="0"/>
              <w:jc w:val="left"/>
            </w:pPr>
            <w:r>
              <w:rPr>
                <w:rFonts w:eastAsia="Consolas" w:ascii="Consolas" w:cs="Consolas" w:hAnsi="Consolas"/>
                <w:sz w:val="22"/>
                <w:shd w:fill="EFF0F1"/>
              </w:rPr>
              <w:t>NOK</w:t>
            </w:r>
            <w:r>
              <w:rPr>
                <w:rFonts w:eastAsia="等线" w:ascii="Arial" w:cs="Arial" w:hAnsi="Arial"/>
                <w:sz w:val="22"/>
              </w:rPr>
              <w:t xml:space="preserve"> — 挪威克朗 (Norwegian Krone)</w:t>
            </w:r>
          </w:p>
          <w:p>
            <w:pPr>
              <w:numPr>
                <w:numId w:val="80"/>
              </w:numPr>
              <w:spacing w:before="120" w:after="120" w:line="288" w:lineRule="auto"/>
              <w:ind w:left="0"/>
              <w:jc w:val="left"/>
            </w:pPr>
            <w:r>
              <w:rPr>
                <w:rFonts w:eastAsia="Consolas" w:ascii="Consolas" w:cs="Consolas" w:hAnsi="Consolas"/>
                <w:sz w:val="22"/>
                <w:shd w:fill="EFF0F1"/>
              </w:rPr>
              <w:t>DKK</w:t>
            </w:r>
            <w:r>
              <w:rPr>
                <w:rFonts w:eastAsia="等线" w:ascii="Arial" w:cs="Arial" w:hAnsi="Arial"/>
                <w:sz w:val="22"/>
              </w:rPr>
              <w:t xml:space="preserve"> — 丹麦克朗 (Danish Krone)</w:t>
            </w:r>
          </w:p>
          <w:p>
            <w:pPr>
              <w:numPr>
                <w:numId w:val="81"/>
              </w:numPr>
              <w:spacing w:before="120" w:after="120" w:line="288" w:lineRule="auto"/>
              <w:ind w:left="0"/>
              <w:jc w:val="left"/>
            </w:pPr>
            <w:r>
              <w:rPr>
                <w:rFonts w:eastAsia="Consolas" w:ascii="Consolas" w:cs="Consolas" w:hAnsi="Consolas"/>
                <w:sz w:val="22"/>
                <w:shd w:fill="EFF0F1"/>
              </w:rPr>
              <w:t>PLN</w:t>
            </w:r>
            <w:r>
              <w:rPr>
                <w:rFonts w:eastAsia="等线" w:ascii="Arial" w:cs="Arial" w:hAnsi="Arial"/>
                <w:sz w:val="22"/>
              </w:rPr>
              <w:t xml:space="preserve"> — 波兰兹罗提 (Polish Zloty)</w:t>
            </w:r>
          </w:p>
          <w:p>
            <w:pPr>
              <w:numPr>
                <w:numId w:val="82"/>
              </w:numPr>
              <w:spacing w:before="120" w:after="120" w:line="288" w:lineRule="auto"/>
              <w:ind w:left="0"/>
              <w:jc w:val="left"/>
            </w:pPr>
            <w:r>
              <w:rPr>
                <w:rFonts w:eastAsia="Consolas" w:ascii="Consolas" w:cs="Consolas" w:hAnsi="Consolas"/>
                <w:sz w:val="22"/>
                <w:shd w:fill="EFF0F1"/>
              </w:rPr>
              <w:t>CZK</w:t>
            </w:r>
            <w:r>
              <w:rPr>
                <w:rFonts w:eastAsia="等线" w:ascii="Arial" w:cs="Arial" w:hAnsi="Arial"/>
                <w:sz w:val="22"/>
              </w:rPr>
              <w:t xml:space="preserve"> — 捷克克朗 (Czech Koruna)</w:t>
            </w:r>
          </w:p>
          <w:p>
            <w:pPr>
              <w:numPr>
                <w:numId w:val="83"/>
              </w:numPr>
              <w:spacing w:before="120" w:after="120" w:line="288" w:lineRule="auto"/>
              <w:ind w:left="0"/>
              <w:jc w:val="left"/>
            </w:pPr>
            <w:r>
              <w:rPr>
                <w:rFonts w:eastAsia="Consolas" w:ascii="Consolas" w:cs="Consolas" w:hAnsi="Consolas"/>
                <w:sz w:val="22"/>
                <w:shd w:fill="EFF0F1"/>
              </w:rPr>
              <w:t>HUF</w:t>
            </w:r>
            <w:r>
              <w:rPr>
                <w:rFonts w:eastAsia="等线" w:ascii="Arial" w:cs="Arial" w:hAnsi="Arial"/>
                <w:sz w:val="22"/>
              </w:rPr>
              <w:t xml:space="preserve"> — 匈牙利福林 (Hungarian Forint)</w:t>
            </w:r>
          </w:p>
          <w:p>
            <w:pPr>
              <w:numPr>
                <w:numId w:val="84"/>
              </w:numPr>
              <w:spacing w:before="120" w:after="120" w:line="288" w:lineRule="auto"/>
              <w:ind w:left="0"/>
              <w:jc w:val="left"/>
            </w:pPr>
            <w:r>
              <w:rPr>
                <w:rFonts w:eastAsia="Consolas" w:ascii="Consolas" w:cs="Consolas" w:hAnsi="Consolas"/>
                <w:sz w:val="22"/>
                <w:shd w:fill="EFF0F1"/>
              </w:rPr>
              <w:t>CNH</w:t>
            </w:r>
            <w:r>
              <w:rPr>
                <w:rFonts w:eastAsia="等线" w:ascii="Arial" w:cs="Arial" w:hAnsi="Arial"/>
                <w:sz w:val="22"/>
              </w:rPr>
              <w:t xml:space="preserve"> — 离岸人民币 (Chinese Yuan Offshore)</w:t>
            </w:r>
          </w:p>
          <w:p>
            <w:pPr>
              <w:numPr>
                <w:numId w:val="85"/>
              </w:numPr>
              <w:spacing w:before="120" w:after="120" w:line="288" w:lineRule="auto"/>
              <w:ind w:left="0"/>
              <w:jc w:val="left"/>
            </w:pPr>
            <w:r>
              <w:rPr>
                <w:rFonts w:eastAsia="Consolas" w:ascii="Consolas" w:cs="Consolas" w:hAnsi="Consolas"/>
                <w:sz w:val="22"/>
                <w:shd w:fill="EFF0F1"/>
              </w:rPr>
              <w:t>HKD</w:t>
            </w:r>
            <w:r>
              <w:rPr>
                <w:rFonts w:eastAsia="等线" w:ascii="Arial" w:cs="Arial" w:hAnsi="Arial"/>
                <w:sz w:val="22"/>
              </w:rPr>
              <w:t xml:space="preserve"> — 港元 (Hong Kong Dollar)</w:t>
            </w:r>
          </w:p>
          <w:p>
            <w:pPr>
              <w:numPr>
                <w:numId w:val="86"/>
              </w:numPr>
              <w:spacing w:before="120" w:after="120" w:line="288" w:lineRule="auto"/>
              <w:ind w:left="0"/>
              <w:jc w:val="left"/>
            </w:pPr>
            <w:r>
              <w:rPr>
                <w:rFonts w:eastAsia="Consolas" w:ascii="Consolas" w:cs="Consolas" w:hAnsi="Consolas"/>
                <w:sz w:val="22"/>
                <w:shd w:fill="EFF0F1"/>
              </w:rPr>
              <w:t>JPY</w:t>
            </w:r>
            <w:r>
              <w:rPr>
                <w:rFonts w:eastAsia="等线" w:ascii="Arial" w:cs="Arial" w:hAnsi="Arial"/>
                <w:sz w:val="22"/>
              </w:rPr>
              <w:t xml:space="preserve"> — 日元 (Japanese Yen)</w:t>
            </w:r>
          </w:p>
          <w:p>
            <w:pPr>
              <w:numPr>
                <w:numId w:val="87"/>
              </w:numPr>
              <w:spacing w:before="120" w:after="120" w:line="288" w:lineRule="auto"/>
              <w:ind w:left="0"/>
              <w:jc w:val="left"/>
            </w:pPr>
            <w:r>
              <w:rPr>
                <w:rFonts w:eastAsia="Consolas" w:ascii="Consolas" w:cs="Consolas" w:hAnsi="Consolas"/>
                <w:sz w:val="22"/>
                <w:shd w:fill="EFF0F1"/>
              </w:rPr>
              <w:t>KRW</w:t>
            </w:r>
            <w:r>
              <w:rPr>
                <w:rFonts w:eastAsia="等线" w:ascii="Arial" w:cs="Arial" w:hAnsi="Arial"/>
                <w:sz w:val="22"/>
              </w:rPr>
              <w:t xml:space="preserve"> — 韩元 (South Korean Won)</w:t>
            </w:r>
          </w:p>
          <w:p>
            <w:pPr>
              <w:numPr>
                <w:numId w:val="88"/>
              </w:numPr>
              <w:spacing w:before="120" w:after="120" w:line="288" w:lineRule="auto"/>
              <w:ind w:left="0"/>
              <w:jc w:val="left"/>
            </w:pPr>
            <w:r>
              <w:rPr>
                <w:rFonts w:eastAsia="Consolas" w:ascii="Consolas" w:cs="Consolas" w:hAnsi="Consolas"/>
                <w:sz w:val="22"/>
                <w:shd w:fill="EFF0F1"/>
              </w:rPr>
              <w:t>SGD</w:t>
            </w:r>
            <w:r>
              <w:rPr>
                <w:rFonts w:eastAsia="等线" w:ascii="Arial" w:cs="Arial" w:hAnsi="Arial"/>
                <w:sz w:val="22"/>
              </w:rPr>
              <w:t xml:space="preserve"> — 新加坡元 (Singapore Dollar)</w:t>
            </w:r>
          </w:p>
          <w:p>
            <w:pPr>
              <w:numPr>
                <w:numId w:val="89"/>
              </w:numPr>
              <w:spacing w:before="120" w:after="120" w:line="288" w:lineRule="auto"/>
              <w:ind w:left="0"/>
              <w:jc w:val="left"/>
            </w:pPr>
            <w:r>
              <w:rPr>
                <w:rFonts w:eastAsia="Consolas" w:ascii="Consolas" w:cs="Consolas" w:hAnsi="Consolas"/>
                <w:sz w:val="22"/>
                <w:shd w:fill="EFF0F1"/>
              </w:rPr>
              <w:t>TWD</w:t>
            </w:r>
            <w:r>
              <w:rPr>
                <w:rFonts w:eastAsia="等线" w:ascii="Arial" w:cs="Arial" w:hAnsi="Arial"/>
                <w:sz w:val="22"/>
              </w:rPr>
              <w:t xml:space="preserve"> — 新台币 (New Taiwan Dollar)</w:t>
            </w:r>
          </w:p>
          <w:p>
            <w:pPr>
              <w:numPr>
                <w:numId w:val="90"/>
              </w:numPr>
              <w:spacing w:before="120" w:after="120" w:line="288" w:lineRule="auto"/>
              <w:ind w:left="0"/>
              <w:jc w:val="left"/>
            </w:pPr>
            <w:r>
              <w:rPr>
                <w:rFonts w:eastAsia="Consolas" w:ascii="Consolas" w:cs="Consolas" w:hAnsi="Consolas"/>
                <w:sz w:val="22"/>
                <w:shd w:fill="EFF0F1"/>
              </w:rPr>
              <w:t>THB</w:t>
            </w:r>
            <w:r>
              <w:rPr>
                <w:rFonts w:eastAsia="等线" w:ascii="Arial" w:cs="Arial" w:hAnsi="Arial"/>
                <w:sz w:val="22"/>
              </w:rPr>
              <w:t xml:space="preserve"> — 泰铢 (Thai Baht)</w:t>
            </w:r>
          </w:p>
          <w:p>
            <w:pPr>
              <w:numPr>
                <w:numId w:val="91"/>
              </w:numPr>
              <w:spacing w:before="120" w:after="120" w:line="288" w:lineRule="auto"/>
              <w:ind w:left="0"/>
              <w:jc w:val="left"/>
            </w:pPr>
            <w:r>
              <w:rPr>
                <w:rFonts w:eastAsia="Consolas" w:ascii="Consolas" w:cs="Consolas" w:hAnsi="Consolas"/>
                <w:sz w:val="22"/>
                <w:shd w:fill="EFF0F1"/>
              </w:rPr>
              <w:t>MYR</w:t>
            </w:r>
            <w:r>
              <w:rPr>
                <w:rFonts w:eastAsia="等线" w:ascii="Arial" w:cs="Arial" w:hAnsi="Arial"/>
                <w:sz w:val="22"/>
              </w:rPr>
              <w:t xml:space="preserve"> — 马来西亚林吉特 (Malaysian Ringgit)</w:t>
            </w:r>
          </w:p>
          <w:p>
            <w:pPr>
              <w:numPr>
                <w:numId w:val="92"/>
              </w:numPr>
              <w:spacing w:before="120" w:after="120" w:line="288" w:lineRule="auto"/>
              <w:ind w:left="0"/>
              <w:jc w:val="left"/>
            </w:pPr>
            <w:r>
              <w:rPr>
                <w:rFonts w:eastAsia="Consolas" w:ascii="Consolas" w:cs="Consolas" w:hAnsi="Consolas"/>
                <w:sz w:val="22"/>
                <w:shd w:fill="EFF0F1"/>
              </w:rPr>
              <w:t>IDR</w:t>
            </w:r>
            <w:r>
              <w:rPr>
                <w:rFonts w:eastAsia="等线" w:ascii="Arial" w:cs="Arial" w:hAnsi="Arial"/>
                <w:sz w:val="22"/>
              </w:rPr>
              <w:t xml:space="preserve"> — 印度尼西亚卢比 (Indonesian Rupiah)</w:t>
            </w:r>
          </w:p>
          <w:p>
            <w:pPr>
              <w:numPr>
                <w:numId w:val="93"/>
              </w:numPr>
              <w:spacing w:before="120" w:after="120" w:line="288" w:lineRule="auto"/>
              <w:ind w:left="0"/>
              <w:jc w:val="left"/>
            </w:pPr>
            <w:r>
              <w:rPr>
                <w:rFonts w:eastAsia="Consolas" w:ascii="Consolas" w:cs="Consolas" w:hAnsi="Consolas"/>
                <w:sz w:val="22"/>
                <w:shd w:fill="EFF0F1"/>
              </w:rPr>
              <w:t>INR</w:t>
            </w:r>
            <w:r>
              <w:rPr>
                <w:rFonts w:eastAsia="等线" w:ascii="Arial" w:cs="Arial" w:hAnsi="Arial"/>
                <w:sz w:val="22"/>
              </w:rPr>
              <w:t xml:space="preserve"> — 印度卢比 (Indian Rupee)</w:t>
            </w:r>
          </w:p>
          <w:p>
            <w:pPr>
              <w:numPr>
                <w:numId w:val="94"/>
              </w:numPr>
              <w:spacing w:before="120" w:after="120" w:line="288" w:lineRule="auto"/>
              <w:ind w:left="0"/>
              <w:jc w:val="left"/>
            </w:pPr>
            <w:r>
              <w:rPr>
                <w:rFonts w:eastAsia="Consolas" w:ascii="Consolas" w:cs="Consolas" w:hAnsi="Consolas"/>
                <w:sz w:val="22"/>
                <w:shd w:fill="EFF0F1"/>
              </w:rPr>
              <w:t>AUD</w:t>
            </w:r>
            <w:r>
              <w:rPr>
                <w:rFonts w:eastAsia="等线" w:ascii="Arial" w:cs="Arial" w:hAnsi="Arial"/>
                <w:sz w:val="22"/>
              </w:rPr>
              <w:t xml:space="preserve"> — 澳大利亚元 (Australian Dollar)</w:t>
            </w:r>
          </w:p>
          <w:p>
            <w:pPr>
              <w:numPr>
                <w:numId w:val="95"/>
              </w:numPr>
              <w:spacing w:before="120" w:after="120" w:line="288" w:lineRule="auto"/>
              <w:ind w:left="0"/>
              <w:jc w:val="left"/>
            </w:pPr>
            <w:r>
              <w:rPr>
                <w:rFonts w:eastAsia="Consolas" w:ascii="Consolas" w:cs="Consolas" w:hAnsi="Consolas"/>
                <w:sz w:val="22"/>
                <w:shd w:fill="EFF0F1"/>
              </w:rPr>
              <w:t>NZD</w:t>
            </w:r>
            <w:r>
              <w:rPr>
                <w:rFonts w:eastAsia="等线" w:ascii="Arial" w:cs="Arial" w:hAnsi="Arial"/>
                <w:sz w:val="22"/>
              </w:rPr>
              <w:t xml:space="preserve"> — 新西兰元 (New Zealand Dollar)</w:t>
            </w:r>
          </w:p>
          <w:p>
            <w:pPr>
              <w:numPr>
                <w:numId w:val="96"/>
              </w:numPr>
              <w:spacing w:before="120" w:after="120" w:line="288" w:lineRule="auto"/>
              <w:ind w:left="0"/>
              <w:jc w:val="left"/>
            </w:pPr>
            <w:r>
              <w:rPr>
                <w:rFonts w:eastAsia="Consolas" w:ascii="Consolas" w:cs="Consolas" w:hAnsi="Consolas"/>
                <w:sz w:val="22"/>
                <w:shd w:fill="EFF0F1"/>
              </w:rPr>
              <w:t>PHP</w:t>
            </w:r>
            <w:r>
              <w:rPr>
                <w:rFonts w:eastAsia="等线" w:ascii="Arial" w:cs="Arial" w:hAnsi="Arial"/>
                <w:sz w:val="22"/>
              </w:rPr>
              <w:t xml:space="preserve"> — 菲律宾比索 (Philippine Peso)</w:t>
            </w:r>
          </w:p>
          <w:p>
            <w:pPr>
              <w:numPr>
                <w:numId w:val="97"/>
              </w:numPr>
              <w:spacing w:before="120" w:after="120" w:line="288" w:lineRule="auto"/>
              <w:ind w:left="0"/>
              <w:jc w:val="left"/>
            </w:pPr>
            <w:r>
              <w:rPr>
                <w:rFonts w:eastAsia="Consolas" w:ascii="Consolas" w:cs="Consolas" w:hAnsi="Consolas"/>
                <w:sz w:val="22"/>
                <w:shd w:fill="EFF0F1"/>
              </w:rPr>
              <w:t>VND</w:t>
            </w:r>
            <w:r>
              <w:rPr>
                <w:rFonts w:eastAsia="等线" w:ascii="Arial" w:cs="Arial" w:hAnsi="Arial"/>
                <w:sz w:val="22"/>
              </w:rPr>
              <w:t xml:space="preserve"> — 越南盾 (Vietnamese Dong)</w:t>
            </w:r>
          </w:p>
          <w:p>
            <w:pPr>
              <w:numPr>
                <w:numId w:val="98"/>
              </w:numPr>
              <w:spacing w:before="120" w:after="120" w:line="288" w:lineRule="auto"/>
              <w:ind w:left="0"/>
              <w:jc w:val="left"/>
            </w:pPr>
            <w:r>
              <w:rPr>
                <w:rFonts w:eastAsia="Consolas" w:ascii="Consolas" w:cs="Consolas" w:hAnsi="Consolas"/>
                <w:sz w:val="22"/>
                <w:shd w:fill="EFF0F1"/>
              </w:rPr>
              <w:t>AED</w:t>
            </w:r>
            <w:r>
              <w:rPr>
                <w:rFonts w:eastAsia="等线" w:ascii="Arial" w:cs="Arial" w:hAnsi="Arial"/>
                <w:sz w:val="22"/>
              </w:rPr>
              <w:t xml:space="preserve"> — 阿联酋迪拉姆 (United Arab Emirates Dirham)</w:t>
            </w:r>
          </w:p>
          <w:p>
            <w:pPr>
              <w:numPr>
                <w:numId w:val="99"/>
              </w:numPr>
              <w:spacing w:before="120" w:after="120" w:line="288" w:lineRule="auto"/>
              <w:ind w:left="0"/>
              <w:jc w:val="left"/>
            </w:pPr>
            <w:r>
              <w:rPr>
                <w:rFonts w:eastAsia="Consolas" w:ascii="Consolas" w:cs="Consolas" w:hAnsi="Consolas"/>
                <w:sz w:val="22"/>
                <w:shd w:fill="EFF0F1"/>
              </w:rPr>
              <w:t>SAR</w:t>
            </w:r>
            <w:r>
              <w:rPr>
                <w:rFonts w:eastAsia="等线" w:ascii="Arial" w:cs="Arial" w:hAnsi="Arial"/>
                <w:sz w:val="22"/>
              </w:rPr>
              <w:t xml:space="preserve"> — 沙特里亚尔 (Saudi Riyal)</w:t>
            </w:r>
          </w:p>
          <w:p>
            <w:pPr>
              <w:numPr>
                <w:numId w:val="100"/>
              </w:numPr>
              <w:spacing w:before="120" w:after="120" w:line="288" w:lineRule="auto"/>
              <w:ind w:left="0"/>
              <w:jc w:val="left"/>
            </w:pPr>
            <w:r>
              <w:rPr>
                <w:rFonts w:eastAsia="Consolas" w:ascii="Consolas" w:cs="Consolas" w:hAnsi="Consolas"/>
                <w:sz w:val="22"/>
                <w:shd w:fill="EFF0F1"/>
              </w:rPr>
              <w:t>QAR</w:t>
            </w:r>
            <w:r>
              <w:rPr>
                <w:rFonts w:eastAsia="等线" w:ascii="Arial" w:cs="Arial" w:hAnsi="Arial"/>
                <w:sz w:val="22"/>
              </w:rPr>
              <w:t xml:space="preserve"> — 卡塔尔里亚尔 (Qatari Rial)</w:t>
            </w:r>
          </w:p>
          <w:p>
            <w:pPr>
              <w:numPr>
                <w:numId w:val="101"/>
              </w:numPr>
              <w:spacing w:before="120" w:after="120" w:line="288" w:lineRule="auto"/>
              <w:ind w:left="0"/>
              <w:jc w:val="left"/>
            </w:pPr>
            <w:r>
              <w:rPr>
                <w:rFonts w:eastAsia="Consolas" w:ascii="Consolas" w:cs="Consolas" w:hAnsi="Consolas"/>
                <w:sz w:val="22"/>
                <w:shd w:fill="EFF0F1"/>
              </w:rPr>
              <w:t>KWD</w:t>
            </w:r>
            <w:r>
              <w:rPr>
                <w:rFonts w:eastAsia="等线" w:ascii="Arial" w:cs="Arial" w:hAnsi="Arial"/>
                <w:sz w:val="22"/>
              </w:rPr>
              <w:t xml:space="preserve"> — 科威特第纳尔 (Kuwaiti Dinar)</w:t>
            </w:r>
          </w:p>
          <w:p>
            <w:pPr>
              <w:numPr>
                <w:numId w:val="102"/>
              </w:numPr>
              <w:spacing w:before="120" w:after="120" w:line="288" w:lineRule="auto"/>
              <w:ind w:left="0"/>
              <w:jc w:val="left"/>
            </w:pPr>
            <w:r>
              <w:rPr>
                <w:rFonts w:eastAsia="Consolas" w:ascii="Consolas" w:cs="Consolas" w:hAnsi="Consolas"/>
                <w:sz w:val="22"/>
                <w:shd w:fill="EFF0F1"/>
              </w:rPr>
              <w:t>BHD</w:t>
            </w:r>
            <w:r>
              <w:rPr>
                <w:rFonts w:eastAsia="等线" w:ascii="Arial" w:cs="Arial" w:hAnsi="Arial"/>
                <w:sz w:val="22"/>
              </w:rPr>
              <w:t xml:space="preserve"> — 巴林第纳尔 (Bahraini Dinar)</w:t>
            </w:r>
          </w:p>
          <w:p>
            <w:pPr>
              <w:numPr>
                <w:numId w:val="103"/>
              </w:numPr>
              <w:spacing w:before="120" w:after="120" w:line="288" w:lineRule="auto"/>
              <w:ind w:left="0"/>
              <w:jc w:val="left"/>
            </w:pPr>
            <w:r>
              <w:rPr>
                <w:rFonts w:eastAsia="Consolas" w:ascii="Consolas" w:cs="Consolas" w:hAnsi="Consolas"/>
                <w:sz w:val="22"/>
                <w:shd w:fill="EFF0F1"/>
              </w:rPr>
              <w:t>ZAR</w:t>
            </w:r>
            <w:r>
              <w:rPr>
                <w:rFonts w:eastAsia="等线" w:ascii="Arial" w:cs="Arial" w:hAnsi="Arial"/>
                <w:sz w:val="22"/>
              </w:rPr>
              <w:t xml:space="preserve"> — 南非兰特 (South African Rand)</w:t>
            </w:r>
          </w:p>
          <w:p>
            <w:pPr>
              <w:numPr>
                <w:numId w:val="104"/>
              </w:numPr>
              <w:spacing w:before="120" w:after="120" w:line="288" w:lineRule="auto"/>
              <w:ind w:left="0"/>
              <w:jc w:val="left"/>
            </w:pPr>
            <w:r>
              <w:rPr>
                <w:rFonts w:eastAsia="Consolas" w:ascii="Consolas" w:cs="Consolas" w:hAnsi="Consolas"/>
                <w:sz w:val="22"/>
                <w:shd w:fill="EFF0F1"/>
              </w:rPr>
              <w:t>EGP</w:t>
            </w:r>
            <w:r>
              <w:rPr>
                <w:rFonts w:eastAsia="等线" w:ascii="Arial" w:cs="Arial" w:hAnsi="Arial"/>
                <w:sz w:val="22"/>
              </w:rPr>
              <w:t xml:space="preserve"> — 埃及镑 (Egyptian Pound)</w:t>
            </w:r>
          </w:p>
          <w:p>
            <w:pPr>
              <w:numPr>
                <w:numId w:val="105"/>
              </w:numPr>
              <w:spacing w:before="120" w:after="120" w:line="288" w:lineRule="auto"/>
              <w:ind w:left="0"/>
              <w:jc w:val="left"/>
            </w:pPr>
            <w:r>
              <w:rPr>
                <w:rFonts w:eastAsia="Consolas" w:ascii="Consolas" w:cs="Consolas" w:hAnsi="Consolas"/>
                <w:sz w:val="22"/>
                <w:shd w:fill="EFF0F1"/>
              </w:rPr>
              <w:t>NGN</w:t>
            </w:r>
            <w:r>
              <w:rPr>
                <w:rFonts w:eastAsia="等线" w:ascii="Arial" w:cs="Arial" w:hAnsi="Arial"/>
                <w:sz w:val="22"/>
              </w:rPr>
              <w:t xml:space="preserve"> — 尼日利亚奈拉 (Nigerian Naira)</w:t>
            </w:r>
          </w:p>
          <w:p>
            <w:pPr>
              <w:numPr>
                <w:numId w:val="106"/>
              </w:numPr>
              <w:spacing w:before="120" w:after="120" w:line="288" w:lineRule="auto"/>
              <w:ind w:left="0"/>
              <w:jc w:val="left"/>
            </w:pPr>
            <w:r>
              <w:rPr>
                <w:rFonts w:eastAsia="Consolas" w:ascii="Consolas" w:cs="Consolas" w:hAnsi="Consolas"/>
                <w:sz w:val="22"/>
                <w:shd w:fill="EFF0F1"/>
              </w:rPr>
              <w:t>KES</w:t>
            </w:r>
            <w:r>
              <w:rPr>
                <w:rFonts w:eastAsia="等线" w:ascii="Arial" w:cs="Arial" w:hAnsi="Arial"/>
                <w:sz w:val="22"/>
              </w:rPr>
              <w:t xml:space="preserve"> — 肯尼亚先令 (Kenyan Shilling)</w:t>
            </w:r>
          </w:p>
          <w:p>
            <w:pPr>
              <w:numPr>
                <w:numId w:val="107"/>
              </w:numPr>
              <w:spacing w:before="120" w:after="120" w:line="288" w:lineRule="auto"/>
              <w:ind w:left="0"/>
              <w:jc w:val="left"/>
            </w:pPr>
            <w:r>
              <w:rPr>
                <w:rFonts w:eastAsia="Consolas" w:ascii="Consolas" w:cs="Consolas" w:hAnsi="Consolas"/>
                <w:sz w:val="22"/>
                <w:shd w:fill="EFF0F1"/>
              </w:rPr>
              <w:t>TRY</w:t>
            </w:r>
            <w:r>
              <w:rPr>
                <w:rFonts w:eastAsia="等线" w:ascii="Arial" w:cs="Arial" w:hAnsi="Arial"/>
                <w:sz w:val="22"/>
              </w:rPr>
              <w:t xml:space="preserve"> — 土耳其里拉 (Turkish Lira)</w:t>
            </w:r>
          </w:p>
          <w:p>
            <w:pPr>
              <w:numPr>
                <w:numId w:val="108"/>
              </w:numPr>
              <w:spacing w:before="120" w:after="120" w:line="288" w:lineRule="auto"/>
              <w:ind w:left="0"/>
              <w:jc w:val="left"/>
            </w:pPr>
            <w:r>
              <w:rPr>
                <w:rFonts w:eastAsia="Consolas" w:ascii="Consolas" w:cs="Consolas" w:hAnsi="Consolas"/>
                <w:sz w:val="22"/>
                <w:shd w:fill="EFF0F1"/>
              </w:rPr>
              <w:t>ILS</w:t>
            </w:r>
            <w:r>
              <w:rPr>
                <w:rFonts w:eastAsia="等线" w:ascii="Arial" w:cs="Arial" w:hAnsi="Arial"/>
                <w:sz w:val="22"/>
              </w:rPr>
              <w:t xml:space="preserve"> — 以色列新谢克尔 (Israeli New Sheqel)</w:t>
            </w:r>
          </w:p>
          <w:p>
            <w:pPr>
              <w:numPr>
                <w:numId w:val="109"/>
              </w:numPr>
              <w:spacing w:before="120" w:after="120" w:line="288" w:lineRule="auto"/>
              <w:ind w:left="0"/>
              <w:jc w:val="left"/>
            </w:pPr>
            <w:r>
              <w:rPr>
                <w:rFonts w:eastAsia="Consolas" w:ascii="Consolas" w:cs="Consolas" w:hAnsi="Consolas"/>
                <w:sz w:val="22"/>
                <w:shd w:fill="EFF0F1"/>
              </w:rPr>
              <w:t>MAD</w:t>
            </w:r>
            <w:r>
              <w:rPr>
                <w:rFonts w:eastAsia="等线" w:ascii="Arial" w:cs="Arial" w:hAnsi="Arial"/>
                <w:sz w:val="22"/>
              </w:rPr>
              <w:t xml:space="preserve"> — 摩洛哥迪拉姆 (Moroccan Dirham)</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商户请求时传入</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订单金额</w:t>
              <w:br/>
            </w:r>
            <w:r>
              <w:rPr>
                <w:rFonts w:eastAsia="等线" w:ascii="Arial" w:cs="Arial" w:hAnsi="Arial"/>
                <w:sz w:val="22"/>
              </w:rPr>
              <w:t>OrderAmount</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商户请求时传入</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收银页面币种和网络可选范围</w:t>
            </w:r>
          </w:p>
          <w:p>
            <w:pPr>
              <w:spacing w:before="120" w:after="120" w:line="288" w:lineRule="auto"/>
              <w:ind w:left="0"/>
              <w:jc w:val="left"/>
            </w:pPr>
            <w:r>
              <w:rPr>
                <w:rFonts w:eastAsia="等线" w:ascii="Arial" w:cs="Arial" w:hAnsi="Arial"/>
                <w:sz w:val="22"/>
              </w:rPr>
              <w:t>Token_ids</w:t>
            </w:r>
          </w:p>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用于指定收银台页面展示代币的币种、以及支持的网络，支持配置多个</w:t>
            </w:r>
          </w:p>
          <w:p>
            <w:pPr>
              <w:spacing w:before="120" w:after="120" w:line="288" w:lineRule="auto"/>
              <w:ind w:left="0"/>
              <w:jc w:val="left"/>
            </w:pPr>
            <w:r>
              <w:rPr>
                <w:rFonts w:eastAsia="等线" w:ascii="Arial" w:cs="Arial" w:hAnsi="Arial"/>
                <w:sz w:val="22"/>
              </w:rPr>
              <w:t>支持的范围：</w:t>
            </w:r>
          </w:p>
          <w:p>
            <w:pPr>
              <w:numPr>
                <w:numId w:val="110"/>
              </w:numPr>
              <w:spacing w:before="120" w:after="120" w:line="288" w:lineRule="auto"/>
              <w:ind w:left="0"/>
              <w:jc w:val="left"/>
            </w:pPr>
            <w:r>
              <w:rPr>
                <w:rFonts w:eastAsia="等线" w:ascii="Arial" w:cs="Arial" w:hAnsi="Arial"/>
                <w:sz w:val="22"/>
              </w:rPr>
              <w:t xml:space="preserve">USDC: </w:t>
            </w:r>
            <w:r>
              <w:rPr>
                <w:rFonts w:eastAsia="Consolas" w:ascii="Consolas" w:cs="Consolas" w:hAnsi="Consolas"/>
                <w:sz w:val="22"/>
                <w:shd w:fill="EFF0F1"/>
              </w:rPr>
              <w:t>ETH_USDC</w:t>
            </w:r>
            <w:r>
              <w:rPr>
                <w:rFonts w:eastAsia="等线" w:ascii="Arial" w:cs="Arial" w:hAnsi="Arial"/>
                <w:sz w:val="22"/>
              </w:rPr>
              <w:t xml:space="preserve">, </w:t>
            </w:r>
            <w:r>
              <w:rPr>
                <w:rFonts w:eastAsia="Consolas" w:ascii="Consolas" w:cs="Consolas" w:hAnsi="Consolas"/>
                <w:sz w:val="22"/>
                <w:shd w:fill="EFF0F1"/>
              </w:rPr>
              <w:t>ARBITRUM_USDCOIN</w:t>
            </w:r>
            <w:r>
              <w:rPr>
                <w:rFonts w:eastAsia="等线" w:ascii="Arial" w:cs="Arial" w:hAnsi="Arial"/>
                <w:sz w:val="22"/>
              </w:rPr>
              <w:t xml:space="preserve">, </w:t>
            </w:r>
            <w:r>
              <w:rPr>
                <w:rFonts w:eastAsia="Consolas" w:ascii="Consolas" w:cs="Consolas" w:hAnsi="Consolas"/>
                <w:sz w:val="22"/>
                <w:shd w:fill="EFF0F1"/>
              </w:rPr>
              <w:t>SOL_USDC</w:t>
            </w:r>
            <w:r>
              <w:rPr>
                <w:rFonts w:eastAsia="等线" w:ascii="Arial" w:cs="Arial" w:hAnsi="Arial"/>
                <w:sz w:val="22"/>
              </w:rPr>
              <w:t xml:space="preserve">, </w:t>
            </w:r>
            <w:r>
              <w:rPr>
                <w:rFonts w:eastAsia="Consolas" w:ascii="Consolas" w:cs="Consolas" w:hAnsi="Consolas"/>
                <w:sz w:val="22"/>
                <w:shd w:fill="EFF0F1"/>
              </w:rPr>
              <w:t>BASE_USDC</w:t>
            </w:r>
            <w:r>
              <w:rPr>
                <w:rFonts w:eastAsia="等线" w:ascii="Arial" w:cs="Arial" w:hAnsi="Arial"/>
                <w:sz w:val="22"/>
              </w:rPr>
              <w:t xml:space="preserve">, </w:t>
            </w:r>
            <w:r>
              <w:rPr>
                <w:rFonts w:eastAsia="Consolas" w:ascii="Consolas" w:cs="Consolas" w:hAnsi="Consolas"/>
                <w:sz w:val="22"/>
                <w:shd w:fill="EFF0F1"/>
              </w:rPr>
              <w:t>MATIC_USDC2</w:t>
            </w:r>
            <w:r>
              <w:rPr>
                <w:rFonts w:eastAsia="等线" w:ascii="Arial" w:cs="Arial" w:hAnsi="Arial"/>
                <w:sz w:val="22"/>
              </w:rPr>
              <w:t xml:space="preserve">, </w:t>
            </w:r>
            <w:r>
              <w:rPr>
                <w:rFonts w:eastAsia="Consolas" w:ascii="Consolas" w:cs="Consolas" w:hAnsi="Consolas"/>
                <w:sz w:val="22"/>
                <w:shd w:fill="EFF0F1"/>
              </w:rPr>
              <w:t>BSC_USDC</w:t>
            </w:r>
          </w:p>
          <w:p>
            <w:pPr>
              <w:numPr>
                <w:numId w:val="111"/>
              </w:numPr>
              <w:spacing w:before="120" w:after="120" w:line="288" w:lineRule="auto"/>
              <w:ind w:left="0"/>
              <w:jc w:val="left"/>
            </w:pPr>
            <w:r>
              <w:rPr>
                <w:rFonts w:eastAsia="等线" w:ascii="Arial" w:cs="Arial" w:hAnsi="Arial"/>
                <w:sz w:val="22"/>
              </w:rPr>
              <w:t xml:space="preserve">USDT: </w:t>
            </w:r>
            <w:r>
              <w:rPr>
                <w:rFonts w:eastAsia="Consolas" w:ascii="Consolas" w:cs="Consolas" w:hAnsi="Consolas"/>
                <w:sz w:val="22"/>
                <w:shd w:fill="EFF0F1"/>
              </w:rPr>
              <w:t>TRON_USDT</w:t>
            </w:r>
            <w:r>
              <w:rPr>
                <w:rFonts w:eastAsia="等线" w:ascii="Arial" w:cs="Arial" w:hAnsi="Arial"/>
                <w:sz w:val="22"/>
              </w:rPr>
              <w:t xml:space="preserve">, </w:t>
            </w:r>
            <w:r>
              <w:rPr>
                <w:rFonts w:eastAsia="Consolas" w:ascii="Consolas" w:cs="Consolas" w:hAnsi="Consolas"/>
                <w:sz w:val="22"/>
                <w:shd w:fill="EFF0F1"/>
              </w:rPr>
              <w:t>ETH_USDT</w:t>
            </w:r>
            <w:r>
              <w:rPr>
                <w:rFonts w:eastAsia="等线" w:ascii="Arial" w:cs="Arial" w:hAnsi="Arial"/>
                <w:sz w:val="22"/>
              </w:rPr>
              <w:t xml:space="preserve">, </w:t>
            </w:r>
            <w:r>
              <w:rPr>
                <w:rFonts w:eastAsia="Consolas" w:ascii="Consolas" w:cs="Consolas" w:hAnsi="Consolas"/>
                <w:sz w:val="22"/>
                <w:shd w:fill="EFF0F1"/>
              </w:rPr>
              <w:t>ARBITRUM_USDT</w:t>
            </w:r>
            <w:r>
              <w:rPr>
                <w:rFonts w:eastAsia="等线" w:ascii="Arial" w:cs="Arial" w:hAnsi="Arial"/>
                <w:sz w:val="22"/>
              </w:rPr>
              <w:t xml:space="preserve">, </w:t>
            </w:r>
            <w:r>
              <w:rPr>
                <w:rFonts w:eastAsia="Consolas" w:ascii="Consolas" w:cs="Consolas" w:hAnsi="Consolas"/>
                <w:sz w:val="22"/>
                <w:shd w:fill="EFF0F1"/>
              </w:rPr>
              <w:t>SOL_USDT</w:t>
            </w:r>
            <w:r>
              <w:rPr>
                <w:rFonts w:eastAsia="等线" w:ascii="Arial" w:cs="Arial" w:hAnsi="Arial"/>
                <w:sz w:val="22"/>
              </w:rPr>
              <w:t xml:space="preserve">, </w:t>
            </w:r>
            <w:r>
              <w:rPr>
                <w:rFonts w:eastAsia="Consolas" w:ascii="Consolas" w:cs="Consolas" w:hAnsi="Consolas"/>
                <w:sz w:val="22"/>
                <w:shd w:fill="EFF0F1"/>
              </w:rPr>
              <w:t>BASE_USDT</w:t>
            </w:r>
            <w:r>
              <w:rPr>
                <w:rFonts w:eastAsia="等线" w:ascii="Arial" w:cs="Arial" w:hAnsi="Arial"/>
                <w:sz w:val="22"/>
              </w:rPr>
              <w:t xml:space="preserve">, </w:t>
            </w:r>
            <w:r>
              <w:rPr>
                <w:rFonts w:eastAsia="Consolas" w:ascii="Consolas" w:cs="Consolas" w:hAnsi="Consolas"/>
                <w:sz w:val="22"/>
                <w:shd w:fill="EFF0F1"/>
              </w:rPr>
              <w:t>MATIC_USDT</w:t>
            </w:r>
            <w:r>
              <w:rPr>
                <w:rFonts w:eastAsia="等线" w:ascii="Arial" w:cs="Arial" w:hAnsi="Arial"/>
                <w:sz w:val="22"/>
              </w:rPr>
              <w:t xml:space="preserve">, </w:t>
            </w:r>
            <w:r>
              <w:rPr>
                <w:rFonts w:eastAsia="Consolas" w:ascii="Consolas" w:cs="Consolas" w:hAnsi="Consolas"/>
                <w:sz w:val="22"/>
                <w:shd w:fill="EFF0F1"/>
              </w:rPr>
              <w:t>BSC_USDT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["ETH_USDT", "SOL_USDC", "TRON_USDT"]</w:t>
            </w:r>
          </w:p>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商户请求时传入，若商户未指定，则由我方传给渠道。默认渠道支持的所有的币种和网络</w:t>
            </w:r>
          </w:p>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网络</w:t>
              <w:br/>
            </w:r>
            <w:r>
              <w:rPr>
                <w:rFonts w:eastAsia="等线" w:ascii="Arial" w:cs="Arial" w:hAnsi="Arial"/>
                <w:sz w:val="22"/>
              </w:rPr>
              <w:t>Network</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渠道返回</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收款链接</w:t>
              <w:br/>
            </w:r>
            <w:r>
              <w:rPr>
                <w:rFonts w:eastAsia="等线" w:ascii="Arial" w:cs="Arial" w:hAnsi="Arial"/>
                <w:sz w:val="22"/>
              </w:rPr>
              <w:t>Paymentlink url</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渠道返回</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应付金额</w:t>
            </w:r>
          </w:p>
          <w:p>
            <w:pPr>
              <w:spacing w:before="120" w:after="120" w:line="288" w:lineRule="auto"/>
              <w:ind w:left="0"/>
              <w:jc w:val="left"/>
            </w:pPr>
            <w:r>
              <w:rPr>
                <w:rFonts w:eastAsia="等线" w:ascii="Arial" w:cs="Arial" w:hAnsi="Arial"/>
                <w:sz w:val="22"/>
              </w:rPr>
              <w:t>PayableAmount</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渠道返回</w:t>
            </w:r>
          </w:p>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实际收款金额 </w:t>
            </w:r>
          </w:p>
          <w:p>
            <w:pPr>
              <w:spacing w:before="120" w:after="120" w:line="288" w:lineRule="auto"/>
              <w:ind w:left="0"/>
              <w:jc w:val="left"/>
            </w:pPr>
            <w:r>
              <w:rPr>
                <w:rFonts w:eastAsia="等线" w:ascii="Arial" w:cs="Arial" w:hAnsi="Arial"/>
                <w:sz w:val="22"/>
              </w:rPr>
              <w:t>ActualAmount</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订单有效期内渠道返回累计</w:t>
            </w:r>
          </w:p>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汇率</w:t>
            </w:r>
          </w:p>
          <w:p>
            <w:pPr>
              <w:spacing w:before="120" w:after="120" w:line="288" w:lineRule="auto"/>
              <w:ind w:left="0"/>
              <w:jc w:val="left"/>
            </w:pPr>
            <w:r>
              <w:rPr>
                <w:rFonts w:eastAsia="等线" w:ascii="Arial" w:cs="Arial" w:hAnsi="Arial"/>
                <w:sz w:val="22"/>
              </w:rPr>
              <w:t>ExchangeRate</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1USDT=1USD</w:t>
            </w: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渠道返回</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订单状态</w:t>
            </w:r>
          </w:p>
          <w:p>
            <w:pPr>
              <w:spacing w:before="120" w:after="120" w:line="288" w:lineRule="auto"/>
              <w:ind w:left="0"/>
              <w:jc w:val="left"/>
            </w:pPr>
            <w:r>
              <w:rPr>
                <w:rFonts w:eastAsia="等线" w:ascii="Arial" w:cs="Arial" w:hAnsi="Arial"/>
                <w:sz w:val="22"/>
              </w:rPr>
              <w:t>OrderStatus</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Processing，Pending，Paid，Failed， UnpaidExpired，Underpaid，Overpaid，</w:t>
            </w: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渠道返回后做映射</w:t>
            </w:r>
          </w:p>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结算状态</w:t>
            </w:r>
          </w:p>
          <w:p>
            <w:pPr>
              <w:spacing w:before="120" w:after="120" w:line="288" w:lineRule="auto"/>
              <w:ind w:left="0"/>
              <w:jc w:val="left"/>
            </w:pPr>
            <w:r>
              <w:rPr>
                <w:rFonts w:eastAsia="等线" w:ascii="Arial" w:cs="Arial" w:hAnsi="Arial"/>
                <w:sz w:val="22"/>
              </w:rPr>
              <w:t>SettlementStatus</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待结算、结算中、已结算</w:t>
            </w:r>
          </w:p>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SolaPex</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费用</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SolaPex</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费用类型</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费用币种</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费用金额</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费用汇率</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描述description</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支付单列表</w:t>
            </w:r>
          </w:p>
          <w:p>
            <w:pPr>
              <w:spacing w:before="120" w:after="120" w:line="288" w:lineRule="auto"/>
              <w:ind w:left="0"/>
              <w:jc w:val="left"/>
            </w:pPr>
            <w:r>
              <w:rPr>
                <w:rFonts w:eastAsia="等线" w:ascii="Arial" w:cs="Arial" w:hAnsi="Arial"/>
                <w:sz w:val="22"/>
              </w:rPr>
              <w:t>TransactionList</w:t>
            </w:r>
          </w:p>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w:t>
            </w: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根据渠道返回，SolaPex记录</w:t>
            </w:r>
          </w:p>
          <w:p>
            <w:pPr>
              <w:spacing w:before="120" w:after="120" w:line="288" w:lineRule="auto"/>
              <w:ind w:left="0"/>
              <w:jc w:val="center"/>
            </w:pPr>
            <w:r>
              <w:drawing>
                <wp:inline distT="0" distR="0" distB="0" distL="0">
                  <wp:extent cx="1333500" cy="6381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4"/>
                          <a:stretch>
                            <a:fillRect/>
                          </a:stretch>
                        </pic:blipFill>
                        <pic:spPr>
                          <a:xfrm>
                            <a:off x="0" y="0"/>
                            <a:ext cx="1333500" cy="638175"/>
                          </a:xfrm>
                          <a:prstGeom prst="rect">
                            <a:avLst/>
                          </a:prstGeom>
                        </pic:spPr>
                      </pic:pic>
                    </a:graphicData>
                  </a:graphic>
                </wp:inline>
              </w:drawing>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支付单</w:t>
              <w:br/>
            </w:r>
            <w:r>
              <w:rPr>
                <w:rFonts w:eastAsia="等线" w:ascii="Arial" w:cs="Arial" w:hAnsi="Arial"/>
                <w:sz w:val="22"/>
              </w:rPr>
              <w:t>Transaction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cobo 渠道的支付单我们照搬过来</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TransactionId</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渠道返给我们的 tx_id 映射为我们内部的</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 CreatedBy</w:t>
            </w:r>
          </w:p>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通过该字段记录支付单的创建来源</w:t>
            </w:r>
          </w:p>
          <w:p>
            <w:pPr>
              <w:numPr>
                <w:numId w:val="112"/>
              </w:numPr>
              <w:spacing w:before="120" w:after="120" w:line="288" w:lineRule="auto"/>
              <w:ind w:left="0"/>
              <w:jc w:val="left"/>
            </w:pPr>
            <w:r>
              <w:rPr>
                <w:rFonts w:eastAsia="等线" w:ascii="Arial" w:cs="Arial" w:hAnsi="Arial"/>
                <w:sz w:val="22"/>
              </w:rPr>
              <w:t>Channel</w:t>
            </w:r>
          </w:p>
          <w:p>
            <w:pPr>
              <w:numPr>
                <w:numId w:val="113"/>
              </w:numPr>
              <w:spacing w:before="120" w:after="120" w:line="288" w:lineRule="auto"/>
              <w:ind w:left="0"/>
              <w:jc w:val="left"/>
            </w:pPr>
            <w:r>
              <w:rPr>
                <w:rFonts w:eastAsia="等线" w:ascii="Arial" w:cs="Arial" w:hAnsi="Arial"/>
                <w:sz w:val="22"/>
              </w:rPr>
              <w:t>SolaPex</w:t>
            </w: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SolaPex 新增的，用于标记来源</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支付地址</w:t>
            </w:r>
          </w:p>
          <w:p>
            <w:pPr>
              <w:spacing w:before="120" w:after="120" w:line="288" w:lineRule="auto"/>
              <w:ind w:left="0"/>
              <w:jc w:val="left"/>
            </w:pPr>
            <w:r>
              <w:rPr>
                <w:rFonts w:eastAsia="等线" w:ascii="Arial" w:cs="Arial" w:hAnsi="Arial"/>
                <w:sz w:val="22"/>
              </w:rPr>
              <w:t>from_address</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目标地址</w:t>
            </w:r>
          </w:p>
          <w:p>
            <w:pPr>
              <w:spacing w:before="120" w:after="120" w:line="288" w:lineRule="auto"/>
              <w:ind w:left="0"/>
              <w:jc w:val="left"/>
            </w:pPr>
            <w:r>
              <w:rPr>
                <w:rFonts w:eastAsia="等线" w:ascii="Arial" w:cs="Arial" w:hAnsi="Arial"/>
                <w:sz w:val="22"/>
              </w:rPr>
              <w:t>to_address</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金额</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支付单状态</w:t>
            </w:r>
          </w:p>
          <w:p>
            <w:pPr>
              <w:spacing w:before="120" w:after="120" w:line="288" w:lineRule="auto"/>
              <w:ind w:left="0"/>
              <w:jc w:val="left"/>
            </w:pPr>
            <w:r>
              <w:rPr>
                <w:rFonts w:eastAsia="等线" w:ascii="Arial" w:cs="Arial" w:hAnsi="Arial"/>
                <w:sz w:val="22"/>
              </w:rPr>
              <w:t>PaymentStatus</w:t>
            </w:r>
          </w:p>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渠道状态Available options: </w:t>
            </w:r>
          </w:p>
          <w:p>
            <w:pPr>
              <w:spacing w:before="120" w:after="120" w:line="288" w:lineRule="auto"/>
              <w:ind w:left="0"/>
              <w:jc w:val="left"/>
            </w:pPr>
            <w:r>
              <w:rPr>
                <w:rFonts w:eastAsia="等线" w:ascii="Arial" w:cs="Arial" w:hAnsi="Arial"/>
                <w:sz w:val="22"/>
              </w:rPr>
              <w:t xml:space="preserve">Submitted, </w:t>
            </w:r>
          </w:p>
          <w:p>
            <w:pPr>
              <w:spacing w:before="120" w:after="120" w:line="288" w:lineRule="auto"/>
              <w:ind w:left="0"/>
              <w:jc w:val="left"/>
            </w:pPr>
            <w:r>
              <w:rPr>
                <w:rFonts w:eastAsia="等线" w:ascii="Arial" w:cs="Arial" w:hAnsi="Arial"/>
                <w:sz w:val="22"/>
              </w:rPr>
              <w:t xml:space="preserve">PendingScreening, </w:t>
            </w:r>
          </w:p>
          <w:p>
            <w:pPr>
              <w:spacing w:before="120" w:after="120" w:line="288" w:lineRule="auto"/>
              <w:ind w:left="0"/>
              <w:jc w:val="left"/>
            </w:pPr>
            <w:r>
              <w:rPr>
                <w:rFonts w:eastAsia="等线" w:ascii="Arial" w:cs="Arial" w:hAnsi="Arial"/>
                <w:sz w:val="22"/>
              </w:rPr>
              <w:t xml:space="preserve">PendingAuthorization, </w:t>
            </w:r>
          </w:p>
          <w:p>
            <w:pPr>
              <w:spacing w:before="120" w:after="120" w:line="288" w:lineRule="auto"/>
              <w:ind w:left="0"/>
              <w:jc w:val="left"/>
            </w:pPr>
            <w:r>
              <w:rPr>
                <w:rFonts w:eastAsia="等线" w:ascii="Arial" w:cs="Arial" w:hAnsi="Arial"/>
                <w:sz w:val="22"/>
              </w:rPr>
              <w:t xml:space="preserve">PendingSignature, </w:t>
            </w:r>
          </w:p>
          <w:p>
            <w:pPr>
              <w:spacing w:before="120" w:after="120" w:line="288" w:lineRule="auto"/>
              <w:ind w:left="0"/>
              <w:jc w:val="left"/>
            </w:pPr>
            <w:r>
              <w:rPr>
                <w:rFonts w:eastAsia="等线" w:ascii="Arial" w:cs="Arial" w:hAnsi="Arial"/>
                <w:sz w:val="22"/>
              </w:rPr>
              <w:t xml:space="preserve">Broadcasting, </w:t>
            </w:r>
          </w:p>
          <w:p>
            <w:pPr>
              <w:spacing w:before="120" w:after="120" w:line="288" w:lineRule="auto"/>
              <w:ind w:left="0"/>
              <w:jc w:val="left"/>
            </w:pPr>
            <w:r>
              <w:rPr>
                <w:rFonts w:eastAsia="等线" w:ascii="Arial" w:cs="Arial" w:hAnsi="Arial"/>
                <w:sz w:val="22"/>
              </w:rPr>
              <w:t xml:space="preserve">Confirming, </w:t>
            </w:r>
          </w:p>
          <w:p>
            <w:pPr>
              <w:spacing w:before="120" w:after="120" w:line="288" w:lineRule="auto"/>
              <w:ind w:left="0"/>
              <w:jc w:val="left"/>
            </w:pPr>
            <w:r>
              <w:rPr>
                <w:rFonts w:eastAsia="等线" w:ascii="Arial" w:cs="Arial" w:hAnsi="Arial"/>
                <w:sz w:val="22"/>
              </w:rPr>
              <w:t xml:space="preserve">Completed, </w:t>
            </w:r>
          </w:p>
          <w:p>
            <w:pPr>
              <w:spacing w:before="120" w:after="120" w:line="288" w:lineRule="auto"/>
              <w:ind w:left="0"/>
              <w:jc w:val="left"/>
            </w:pPr>
            <w:r>
              <w:rPr>
                <w:rFonts w:eastAsia="等线" w:ascii="Arial" w:cs="Arial" w:hAnsi="Arial"/>
                <w:sz w:val="22"/>
              </w:rPr>
              <w:t xml:space="preserve">Failed, </w:t>
            </w:r>
          </w:p>
          <w:p>
            <w:pPr>
              <w:spacing w:before="120" w:after="120" w:line="288" w:lineRule="auto"/>
              <w:ind w:left="0"/>
              <w:jc w:val="left"/>
            </w:pPr>
            <w:r>
              <w:rPr>
                <w:rFonts w:eastAsia="等线" w:ascii="Arial" w:cs="Arial" w:hAnsi="Arial"/>
                <w:sz w:val="22"/>
              </w:rPr>
              <w:t xml:space="preserve">Rejected, </w:t>
            </w:r>
          </w:p>
          <w:p>
            <w:pPr>
              <w:spacing w:before="120" w:after="120" w:line="288" w:lineRule="auto"/>
              <w:ind w:left="0"/>
              <w:jc w:val="left"/>
            </w:pPr>
            <w:r>
              <w:rPr>
                <w:rFonts w:eastAsia="等线" w:ascii="Arial" w:cs="Arial" w:hAnsi="Arial"/>
                <w:sz w:val="22"/>
              </w:rPr>
              <w:t>Pending</w:t>
            </w:r>
          </w:p>
          <w:p>
            <w:pPr>
              <w:spacing w:before="120" w:after="120" w:line="288" w:lineRule="auto"/>
              <w:ind w:left="0"/>
              <w:jc w:val="left"/>
            </w:pPr>
            <w:r>
              <w:rPr>
                <w:rFonts w:eastAsia="等线" w:ascii="Arial" w:cs="Arial" w:hAnsi="Arial"/>
                <w:sz w:val="22"/>
              </w:rPr>
              <w:t>Abnormal</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支付单交易哈希值 tx_hash</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支付单代币币种token_id</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支付时用户选用的网络和币种</w:t>
            </w: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交易对手counterparty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渠道返回，为后续风控保留信息</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目标对手destination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渠道返回，为后续风控保留信息</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w:t>
            </w:r>
          </w:p>
          <w:p>
            <w:pPr>
              <w:spacing w:before="120" w:after="120" w:line="288" w:lineRule="auto"/>
              <w:ind w:left="0"/>
              <w:jc w:val="left"/>
            </w:pPr>
            <w:r>
              <w:rPr>
                <w:rFonts w:eastAsia="等线" w:ascii="Arial" w:cs="Arial" w:hAnsi="Arial"/>
                <w:sz w:val="22"/>
              </w:rPr>
              <w:t>RefundList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w:t>
            </w: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上游业务方请求创建，or 内部创建</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可退金额</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多付可退金额</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退款单</w:t>
              <w:br/>
            </w:r>
            <w:r>
              <w:rPr>
                <w:rFonts w:eastAsia="等线" w:ascii="Arial" w:cs="Arial" w:hAnsi="Arial"/>
                <w:sz w:val="22"/>
              </w:rPr>
              <w:t>Refund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RefundId</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路由规则编码 route_id</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交易单命中的路由规则，用于确认送到哪个渠道</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object</w:t>
            </w: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渠道编号</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渠道商户号</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渠道单号</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补单标识</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布尔值</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true=内部异常订单补单生成的</w:t>
            </w:r>
          </w:p>
          <w:p>
            <w:pPr>
              <w:spacing w:before="120" w:after="120" w:line="288" w:lineRule="auto"/>
              <w:ind w:left="0"/>
              <w:jc w:val="left"/>
            </w:pPr>
            <w:r>
              <w:rPr>
                <w:rFonts w:eastAsia="等线" w:ascii="Arial" w:cs="Arial" w:hAnsi="Arial"/>
                <w:sz w:val="22"/>
              </w:rPr>
              <w:t>false=正常订单</w:t>
            </w: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风控信息</w:t>
            </w:r>
          </w:p>
          <w:p>
            <w:pPr>
              <w:spacing w:before="120" w:after="120" w:line="288" w:lineRule="auto"/>
              <w:ind w:left="0"/>
              <w:jc w:val="left"/>
            </w:pPr>
            <w:r>
              <w:rPr>
                <w:rFonts w:eastAsia="等线" w:ascii="Arial" w:cs="Arial" w:hAnsi="Arial"/>
                <w:sz w:val="22"/>
              </w:rPr>
              <w:t>riskinfo</w:t>
            </w:r>
          </w:p>
          <w:p>
            <w:pPr>
              <w:spacing w:before="120" w:after="120" w:line="288" w:lineRule="auto"/>
              <w:ind w:left="0"/>
              <w:jc w:val="left"/>
            </w:pPr>
            <w:r>
              <w:rPr>
                <w:rFonts w:eastAsia="等线" w:ascii="Arial" w:cs="Arial" w:hAnsi="Arial"/>
                <w:sz w:val="22"/>
              </w:rPr>
              <w:t>-client_ip</w:t>
            </w:r>
          </w:p>
          <w:p>
            <w:pPr>
              <w:spacing w:before="120" w:after="120" w:line="288" w:lineRule="auto"/>
              <w:ind w:left="0"/>
              <w:jc w:val="left"/>
            </w:pPr>
            <w:r>
              <w:rPr>
                <w:rFonts w:eastAsia="等线" w:ascii="Arial" w:cs="Arial" w:hAnsi="Arial"/>
                <w:sz w:val="22"/>
              </w:rPr>
              <w:t>-user_agent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用于收集一些风控字段</w:t>
            </w:r>
          </w:p>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错误码</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错误描述</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过期时间</w:t>
            </w:r>
          </w:p>
        </w:tc>
        <w:tc>
          <w:tcPr>
            <w:tcW w:w="8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 1h，支持商户自定义</w:t>
            </w:r>
          </w:p>
        </w:tc>
        <w:tc>
          <w:tcPr>
            <w:tcW w:w="225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9" w:id="9"/>
      <w:r>
        <w:rPr>
          <w:rFonts w:eastAsia="等线" w:ascii="Arial" w:cs="Arial" w:hAnsi="Arial"/>
          <w:color w:val="3370ff"/>
          <w:sz w:val="32"/>
        </w:rPr>
        <w:t xml:space="preserve">2.3 </w:t>
      </w:r>
      <w:r>
        <w:rPr>
          <w:rFonts w:eastAsia="等线" w:ascii="Arial" w:cs="Arial" w:hAnsi="Arial"/>
          <w:b w:val="true"/>
          <w:sz w:val="32"/>
        </w:rPr>
        <w:t>用户动线框线图说明 (UserCase)--- 必须</w:t>
      </w:r>
      <w:bookmarkEnd w:id="9"/>
    </w:p>
    <w:p>
      <w:pPr>
        <w:spacing w:before="120" w:after="120" w:line="288" w:lineRule="auto"/>
        <w:ind w:left="0"/>
        <w:jc w:val="left"/>
      </w:pPr>
      <w:r>
        <w:rPr>
          <w:rFonts w:eastAsia="等线" w:ascii="Arial" w:cs="Arial" w:hAnsi="Arial"/>
          <w:sz w:val="22"/>
        </w:rPr>
        <w:t>参考用户侧交易全流程</w:t>
      </w:r>
    </w:p>
    <w:p>
      <w:pPr>
        <w:spacing w:before="120" w:after="120" w:line="288" w:lineRule="auto"/>
        <w:ind w:left="0"/>
        <w:jc w:val="center"/>
      </w:pPr>
      <w:r>
        <w:drawing>
          <wp:inline distT="0" distR="0" distB="0" distL="0">
            <wp:extent cx="5257800" cy="41338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5"/>
                    <a:stretch>
                      <a:fillRect/>
                    </a:stretch>
                  </pic:blipFill>
                  <pic:spPr>
                    <a:xfrm>
                      <a:off x="0" y="0"/>
                      <a:ext cx="5257800" cy="4133850"/>
                    </a:xfrm>
                    <a:prstGeom prst="rect">
                      <a:avLst/>
                    </a:prstGeom>
                  </pic:spPr>
                </pic:pic>
              </a:graphicData>
            </a:graphic>
          </wp:inline>
        </w:drawing>
      </w:r>
    </w:p>
    <w:p>
      <w:pPr>
        <w:pStyle w:val="1"/>
        <w:spacing w:before="380" w:after="140" w:line="288" w:lineRule="auto"/>
        <w:ind w:left="0"/>
        <w:jc w:val="left"/>
        <w:outlineLvl w:val="0"/>
      </w:pPr>
      <w:bookmarkStart w:name="heading_10" w:id="10"/>
      <w:r>
        <w:rPr>
          <w:rFonts w:eastAsia="等线" w:ascii="Arial" w:cs="Arial" w:hAnsi="Arial"/>
          <w:color w:val="3370ff"/>
          <w:sz w:val="36"/>
        </w:rPr>
        <w:t xml:space="preserve">3. </w:t>
      </w:r>
      <w:r>
        <w:rPr>
          <w:rFonts w:eastAsia="等线" w:ascii="Arial" w:cs="Arial" w:hAnsi="Arial"/>
          <w:b w:val="true"/>
          <w:sz w:val="36"/>
        </w:rPr>
        <w:t>产品</w:t>
      </w:r>
      <w:r>
        <w:rPr>
          <w:rFonts w:eastAsia="等线" w:ascii="Arial" w:cs="Arial" w:hAnsi="Arial"/>
          <w:b w:val="true"/>
          <w:sz w:val="36"/>
        </w:rPr>
        <w:t>详细需求、流程与界面 (Detailed Requirements, Process &amp; UI)</w:t>
      </w:r>
      <w:bookmarkEnd w:id="10"/>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3.1 </w:t>
      </w:r>
      <w:r>
        <w:rPr>
          <w:rFonts w:eastAsia="等线" w:ascii="Arial" w:cs="Arial" w:hAnsi="Arial"/>
          <w:b w:val="true"/>
          <w:sz w:val="32"/>
        </w:rPr>
        <w:t>One-time Links API</w:t>
      </w:r>
      <w:bookmarkEnd w:id="11"/>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3.1.1 </w:t>
      </w:r>
      <w:r>
        <w:rPr>
          <w:rFonts w:eastAsia="等线" w:ascii="Arial" w:cs="Arial" w:hAnsi="Arial"/>
          <w:b w:val="true"/>
          <w:sz w:val="30"/>
        </w:rPr>
        <w:t>时序图</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sequenceDiagram</w:t>
              <w:br/>
              <w:t>    autonumber</w:t>
              <w:br/>
              <w:t>    participant C as Customer</w:t>
              <w:br/>
              <w:t>    participant M as Shoplazza Merchant</w:t>
              <w:br/>
              <w:t>    participant SP as Shoplazza Payment</w:t>
              <w:br/>
              <w:t>    participant S as Solapex</w:t>
              <w:br/>
              <w:t>    participant B as Billing</w:t>
              <w:br/>
              <w:t>    participant SE as Settlement </w:t>
              <w:br/>
              <w:t>    participant co as Cobo</w:t>
              <w:br/>
              <w:t>    participant W as Web3 Wallet </w:t>
              <w:br/>
              <w:br/>
              <w:br/>
              <w:t>    Note over C, W: 1.创建订单环节</w:t>
              <w:br/>
              <w:t>    C-&gt;&gt;M: Purchase（order Amount =100 USD）</w:t>
              <w:br/>
              <w:t>    M-&gt;&gt;SP: Checkout request</w:t>
              <w:br/>
              <w:t>    SP--&gt;&gt;M: Response checkout page</w:t>
              <w:br/>
              <w:t>    C-&gt;&gt;SP: Select Crypto pay</w:t>
              <w:br/>
              <w:t>    SP-&gt;&gt;S: Crypto pay request</w:t>
              <w:br/>
              <w:t>    S-&gt;&gt;S:check merchant/product status</w:t>
              <w:br/>
              <w:t>    S-&gt;&gt;S:Routing, choose channel=cobo</w:t>
              <w:br/>
              <w:t>    S-&gt;&gt;co: Created payin-order link within 100 USD </w:t>
              <w:br/>
              <w:t>    co--&gt;&gt;S: Return Paymentlink URL</w:t>
              <w:br/>
              <w:t>    S--&gt;&gt;SP: Return paymentlink URL（using SolaPex domain）   </w:t>
              <w:br/>
              <w:t>    SP--&gt;&gt;C: Redirect to Payment page</w:t>
              <w:br/>
              <w:br/>
              <w:br/>
              <w:br/>
              <w:t>    Note over C, W: 2.支付环节</w:t>
              <w:br/>
              <w:t>    C-&gt;&gt; W: Completed Payment in web3 wallets</w:t>
              <w:br/>
              <w:t>    W-&gt;&gt;co: Move token（USDT/USDC）to Cobo </w:t>
              <w:br/>
              <w:br/>
              <w:br/>
              <w:br/>
              <w:t>alt </w:t>
              <w:br/>
              <w:t>rect rgba(0, 255, 0, 0.1)</w:t>
              <w:br/>
              <w:t>    Note over C, co: 3.1 订单未过期，订单状态到达success，overpaid时，立刻异步通知商户</w:t>
              <w:br/>
              <w:t>    co--&gt;&gt;S: Webhook results=success，overpaid，expired</w:t>
              <w:br/>
              <w:t>    S-&gt;&gt;S: Update order status</w:t>
              <w:br/>
              <w:t>    S--&gt;&gt;SP: Webhook results</w:t>
              <w:br/>
              <w:t>    SP--&gt;&gt;M: Webhook results</w:t>
              <w:br/>
              <w:t>    M--&gt;&gt;C: result page</w:t>
              <w:br/>
              <w:t>end</w:t>
              <w:br/>
              <w:t>end</w:t>
              <w:br/>
              <w:br/>
              <w:t>alt </w:t>
              <w:br/>
              <w:t>    co--&gt;&gt;S: Webhook results - underpaid</w:t>
              <w:br/>
              <w:t>    S-&gt;&gt;S: Update order status = underpaid</w:t>
              <w:br/>
              <w:t>alt  Customer continue to pay</w:t>
              <w:br/>
              <w:t>rect rgba(255, 165, 0, 0.1)</w:t>
              <w:br/>
              <w:t>    C-&gt;&gt;W:remaining payment</w:t>
              <w:br/>
              <w:t>    W-&gt;&gt;co: Move token/USDT/USDC to Cobo </w:t>
              <w:br/>
              <w:t>    Note over co, C: 3.2 订单未过期，underpaid--&gt;&gt;success,overpaid，立刻发起异步通知</w:t>
              <w:br/>
              <w:br/>
              <w:t>    co--&gt;&gt;S: Webhook results - Success</w:t>
              <w:br/>
              <w:t>    S-&gt;&gt;S: Update order status </w:t>
              <w:br/>
              <w:br/>
              <w:t>    S--&gt;&gt;SP: Webhook results</w:t>
              <w:br/>
              <w:t>    SP--&gt;&gt;M: Webhook results</w:t>
              <w:br/>
              <w:t>    M--&gt;&gt;C: result page</w:t>
              <w:br/>
              <w:t>    Note over co, C: 3.3 订单过期时通知商户 UnpaidExpired or Underpaid</w:t>
              <w:br/>
              <w:t>    S--&gt;&gt;SP: Webhook results</w:t>
              <w:br/>
              <w:t>    SP--&gt;&gt;M: Webhook results</w:t>
              <w:br/>
              <w:t>end </w:t>
              <w:br/>
              <w:t>end</w:t>
              <w:br/>
              <w:t>end</w:t>
              <w:br/>
              <w:t>    Note over S, SE: 4.驱动清分记账</w:t>
              <w:br/>
              <w:t>    S-&gt;&gt;B: notify payment result</w:t>
              <w:br/>
              <w:t>     B-&gt;&gt;B: fee handling</w:t>
              <w:br/>
              <w:t>    B-&gt;&gt;SE: settle</w:t>
              <w:br/>
              <w:t>alt </w:t>
              <w:br/>
              <w:t>    Note over C, W: 5.订单过期后付款，为异常订单，不主动结算。</w:t>
              <w:br/>
              <w:t>    C-&gt;&gt; W: transfer by saved collection address</w:t>
              <w:br/>
              <w:t>    W-&gt;&gt;co: Move token（USDT/USDC）to Cobo </w:t>
              <w:br/>
              <w:t>    co--&gt;&gt;S: Webhook results - Transaction.later</w:t>
              <w:br/>
              <w:t>    S-&gt;&gt;S: 1.record the payment 2.add money to Suspense Account</w:t>
              <w:br/>
              <w:t>    S--&gt;&gt;SP: Webhook results</w:t>
              <w:br/>
              <w:t>    S--&gt;&gt;SP: email to merchant</w:t>
              <w:br/>
              <w:t>   </w:t>
              <w:br/>
              <w:br/>
              <w:t>end</w:t>
              <w:br/>
              <w:br/>
              <w:br/>
              <w:t> </w:t>
              <w:br/>
              <w:br/>
              <w:br/>
            </w:r>
          </w:p>
        </w:tc>
      </w:tr>
    </w:tbl>
    <w:p>
      <w:pPr>
        <w:pStyle w:val="3"/>
        <w:spacing w:before="300" w:after="120" w:line="288" w:lineRule="auto"/>
        <w:ind w:left="0"/>
        <w:jc w:val="left"/>
        <w:outlineLvl w:val="2"/>
      </w:pPr>
      <w:bookmarkStart w:name="heading_13" w:id="13"/>
      <w:r>
        <w:rPr>
          <w:rFonts w:eastAsia="等线" w:ascii="Arial" w:cs="Arial" w:hAnsi="Arial"/>
          <w:color w:val="3370ff"/>
          <w:sz w:val="30"/>
        </w:rPr>
        <w:t xml:space="preserve">3.1.2 </w:t>
      </w:r>
      <w:r>
        <w:rPr>
          <w:rFonts w:eastAsia="等线" w:ascii="Arial" w:cs="Arial" w:hAnsi="Arial"/>
          <w:b w:val="true"/>
          <w:sz w:val="30"/>
        </w:rPr>
        <w:t>创建One-time Link</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4305"/>
        <w:gridCol w:w="2595"/>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需求清单</w:t>
            </w:r>
          </w:p>
        </w:tc>
        <w:tc>
          <w:tcPr>
            <w:tcW w:w="4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需求详情</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交互说明</w:t>
            </w:r>
          </w:p>
        </w:tc>
      </w:tr>
      <w:tr>
        <w:tc>
          <w:tcPr>
            <w:tcW w:w="1380" w:type="dxa"/>
            <w:tcMar>
              <w:top w:type="dxa" w:w="60"/>
              <w:left w:type="dxa" w:w="120"/>
              <w:bottom w:type="dxa" w:w="30"/>
              <w:right w:type="dxa" w:w="120"/>
            </w:tcMar>
          </w:tcPr>
          <w:p>
            <w:pPr>
              <w:numPr>
                <w:numId w:val="114"/>
              </w:numPr>
              <w:spacing w:before="120" w:after="120" w:line="288" w:lineRule="auto"/>
              <w:ind w:left="0"/>
              <w:jc w:val="left"/>
            </w:pPr>
            <w:r>
              <w:rPr>
                <w:rFonts w:eastAsia="等线" w:ascii="Arial" w:cs="Arial" w:hAnsi="Arial"/>
                <w:sz w:val="22"/>
              </w:rPr>
              <w:t>API 接口，创建订单Paymentlink</w:t>
            </w:r>
          </w:p>
          <w:p>
            <w:pPr>
              <w:spacing w:before="120" w:after="120" w:line="288" w:lineRule="auto"/>
              <w:ind w:left="0"/>
              <w:jc w:val="left"/>
            </w:pPr>
          </w:p>
        </w:tc>
        <w:tc>
          <w:tcPr>
            <w:tcW w:w="4305" w:type="dxa"/>
            <w:tcMar>
              <w:top w:type="dxa" w:w="60"/>
              <w:left w:type="dxa" w:w="120"/>
              <w:bottom w:type="dxa" w:w="30"/>
              <w:right w:type="dxa" w:w="120"/>
            </w:tcMar>
          </w:tcPr>
          <w:p>
            <w:pPr>
              <w:numPr>
                <w:numId w:val="115"/>
              </w:numPr>
              <w:spacing w:before="120" w:after="120" w:line="288" w:lineRule="auto"/>
              <w:ind w:left="0"/>
              <w:jc w:val="left"/>
            </w:pPr>
            <w:r>
              <w:rPr>
                <w:rFonts w:eastAsia="等线" w:ascii="Arial" w:cs="Arial" w:hAnsi="Arial"/>
                <w:sz w:val="22"/>
              </w:rPr>
              <w:t>提供业务方的创建Crypto 收单接口</w:t>
            </w:r>
          </w:p>
          <w:p>
            <w:pPr>
              <w:numPr>
                <w:numId w:val="116"/>
              </w:numPr>
              <w:spacing w:before="120" w:after="120" w:line="288" w:lineRule="auto"/>
              <w:ind w:left="453"/>
              <w:jc w:val="left"/>
            </w:pPr>
            <w:r>
              <w:rPr>
                <w:rFonts w:eastAsia="等线" w:ascii="Arial" w:cs="Arial" w:hAnsi="Arial"/>
                <w:sz w:val="22"/>
              </w:rPr>
              <w:t>支持业务方自定义 logo 和 company</w:t>
            </w:r>
          </w:p>
          <w:p>
            <w:pPr>
              <w:spacing w:before="120" w:after="120" w:line="288" w:lineRule="auto"/>
              <w:ind w:left="453"/>
              <w:jc w:val="center"/>
            </w:pPr>
            <w:r>
              <w:drawing>
                <wp:inline distT="0" distR="0" distB="0" distL="0">
                  <wp:extent cx="2581275" cy="8667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6"/>
                          <a:stretch>
                            <a:fillRect/>
                          </a:stretch>
                        </pic:blipFill>
                        <pic:spPr>
                          <a:xfrm>
                            <a:off x="0" y="0"/>
                            <a:ext cx="2581275" cy="866775"/>
                          </a:xfrm>
                          <a:prstGeom prst="rect">
                            <a:avLst/>
                          </a:prstGeom>
                        </pic:spPr>
                      </pic:pic>
                    </a:graphicData>
                  </a:graphic>
                </wp:inline>
              </w:drawing>
            </w:r>
          </w:p>
          <w:p>
            <w:pPr>
              <w:numPr>
                <w:numId w:val="117"/>
              </w:numPr>
              <w:spacing w:before="120" w:after="120" w:line="288" w:lineRule="auto"/>
              <w:ind w:left="0"/>
              <w:jc w:val="left"/>
            </w:pPr>
            <w:r>
              <w:rPr>
                <w:rFonts w:eastAsia="等线" w:ascii="Arial" w:cs="Arial" w:hAnsi="Arial"/>
                <w:sz w:val="22"/>
              </w:rPr>
              <w:t>拿到后端收银台地址后， 需要将渠道的收银台放到 SolaPex 域名的一个空白页。确保渠道信息不外漏，SolaPex的域名：</w:t>
            </w:r>
            <w:hyperlink r:id="rId17">
              <w:r>
                <w:rPr>
                  <w:rFonts w:eastAsia="等线" w:ascii="Arial" w:cs="Arial" w:hAnsi="Arial"/>
                  <w:color w:val="3370ff"/>
                  <w:sz w:val="22"/>
                </w:rPr>
                <w:t>solapex.lazzapay.com</w:t>
              </w:r>
            </w:hyperlink>
          </w:p>
          <w:p>
            <w:pPr>
              <w:numPr>
                <w:numId w:val="118"/>
              </w:numPr>
              <w:spacing w:before="120" w:after="120" w:line="288" w:lineRule="auto"/>
              <w:ind w:left="0"/>
              <w:jc w:val="left"/>
            </w:pPr>
            <w:r>
              <w:rPr>
                <w:rFonts w:eastAsia="等线" w:ascii="Arial" w:cs="Arial" w:hAnsi="Arial"/>
                <w:sz w:val="22"/>
              </w:rPr>
              <w:t>URL单会话独占访问控制</w:t>
            </w:r>
          </w:p>
          <w:p>
            <w:pPr>
              <w:numPr>
                <w:numId w:val="119"/>
              </w:numPr>
              <w:spacing w:before="120" w:after="120" w:line="288" w:lineRule="auto"/>
              <w:ind w:left="453"/>
              <w:jc w:val="left"/>
            </w:pPr>
            <w:r>
              <w:rPr>
                <w:rFonts w:eastAsia="等线" w:ascii="Arial" w:cs="Arial" w:hAnsi="Arial"/>
                <w:sz w:val="22"/>
              </w:rPr>
              <w:t>当用户首次打开某 URL 时，系统为该会话分配独占锁。</w:t>
            </w:r>
          </w:p>
          <w:p>
            <w:pPr>
              <w:numPr>
                <w:numId w:val="120"/>
              </w:numPr>
              <w:spacing w:before="120" w:after="120" w:line="288" w:lineRule="auto"/>
              <w:ind w:left="453"/>
              <w:jc w:val="left"/>
            </w:pPr>
            <w:r>
              <w:rPr>
                <w:rFonts w:eastAsia="等线" w:ascii="Arial" w:cs="Arial" w:hAnsi="Arial"/>
                <w:sz w:val="22"/>
              </w:rPr>
              <w:t>同一用户（或任意用户）尝试在其他标签页/浏览器中打开相同 URL 时，系统应阻止加载并提示：</w:t>
            </w:r>
          </w:p>
          <w:p>
            <w:pPr>
              <w:spacing w:before="120" w:after="120" w:line="288" w:lineRule="auto"/>
              <w:ind w:left="453"/>
              <w:jc w:val="left"/>
            </w:pPr>
            <w:r>
              <w:rPr>
                <w:rFonts w:eastAsia="等线" w:ascii="Arial" w:cs="Arial" w:hAnsi="Arial"/>
                <w:sz w:val="22"/>
              </w:rPr>
              <w:t>“该页面已在其他地方打开，请关闭其他窗口后再试。”</w:t>
            </w:r>
          </w:p>
          <w:p>
            <w:pPr>
              <w:numPr>
                <w:numId w:val="121"/>
              </w:numPr>
              <w:spacing w:before="120" w:after="120" w:line="288" w:lineRule="auto"/>
              <w:ind w:left="453"/>
              <w:jc w:val="left"/>
            </w:pPr>
            <w:r>
              <w:rPr>
                <w:rFonts w:eastAsia="等线" w:ascii="Arial" w:cs="Arial" w:hAnsi="Arial"/>
                <w:sz w:val="22"/>
              </w:rPr>
              <w:t>锁机制应具备超时自动释放能力（建议超时时间：5分钟），并支持正常关闭页面时立即释放。</w:t>
            </w:r>
          </w:p>
          <w:p>
            <w:pPr>
              <w:numPr>
                <w:numId w:val="122"/>
              </w:numPr>
              <w:spacing w:before="120" w:after="120" w:line="288" w:lineRule="auto"/>
              <w:ind w:left="453"/>
              <w:jc w:val="left"/>
            </w:pPr>
            <w:r>
              <w:rPr>
                <w:rFonts w:eastAsia="等线" w:ascii="Arial" w:cs="Arial" w:hAnsi="Arial"/>
                <w:sz w:val="22"/>
              </w:rPr>
              <w:t>允许用户手动刷新当前页面而不丢失锁（同一会话内保持活跃）。</w:t>
            </w:r>
          </w:p>
          <w:p>
            <w:pPr>
              <w:numPr>
                <w:numId w:val="123"/>
              </w:numPr>
              <w:spacing w:before="120" w:after="120" w:line="288" w:lineRule="auto"/>
              <w:ind w:left="0"/>
              <w:jc w:val="left"/>
            </w:pPr>
            <w:r>
              <w:rPr>
                <w:rFonts w:eastAsia="等线" w:ascii="Arial" w:cs="Arial" w:hAnsi="Arial"/>
                <w:sz w:val="22"/>
              </w:rPr>
              <w:t>交易中增设容差字段，商户可配置，默认为 0</w:t>
            </w:r>
          </w:p>
          <w:p>
            <w:pPr>
              <w:numPr>
                <w:numId w:val="124"/>
              </w:numPr>
              <w:spacing w:before="120" w:after="120" w:line="288" w:lineRule="auto"/>
              <w:ind w:left="453"/>
              <w:jc w:val="left"/>
            </w:pPr>
            <w:r>
              <w:rPr>
                <w:rFonts w:eastAsia="等线" w:ascii="Arial" w:cs="Arial" w:hAnsi="Arial"/>
                <w:sz w:val="22"/>
              </w:rPr>
              <w:t>设置为 0 时，实际付款金额需要=订单金额，交易状态为  Paid，大于时为Overpaid</w:t>
            </w:r>
          </w:p>
          <w:p>
            <w:pPr>
              <w:numPr>
                <w:numId w:val="125"/>
              </w:numPr>
              <w:spacing w:before="120" w:after="120" w:line="288" w:lineRule="auto"/>
              <w:ind w:left="453"/>
              <w:jc w:val="left"/>
            </w:pPr>
            <w:r>
              <w:rPr>
                <w:rFonts w:eastAsia="等线" w:ascii="Arial" w:cs="Arial" w:hAnsi="Arial"/>
                <w:sz w:val="22"/>
              </w:rPr>
              <w:t>设置为 0.5 时，实付金额±容差金额=订单金额，status=Paid， 实付金额±容差金额&gt;订单金额，status= Overpaid，实付金额±容差金额&lt;订单金额，status= Underpaid</w:t>
            </w:r>
          </w:p>
          <w:p>
            <w:pPr>
              <w:numPr>
                <w:numId w:val="126"/>
              </w:numPr>
              <w:spacing w:before="120" w:after="120" w:line="288" w:lineRule="auto"/>
              <w:ind w:left="0"/>
              <w:jc w:val="left"/>
            </w:pPr>
            <w:r>
              <w:rPr>
                <w:rFonts w:eastAsia="等线" w:ascii="Arial" w:cs="Arial" w:hAnsi="Arial"/>
                <w:sz w:val="22"/>
              </w:rPr>
              <w:t>交易判断，Crypto 收单请求时，订单金额需要＞=最小金额-容差金额。</w:t>
            </w:r>
          </w:p>
          <w:p>
            <w:pPr>
              <w:numPr>
                <w:numId w:val="127"/>
              </w:numPr>
              <w:spacing w:before="120" w:after="120" w:line="288" w:lineRule="auto"/>
              <w:ind w:left="453"/>
              <w:jc w:val="left"/>
            </w:pPr>
            <w:r>
              <w:rPr>
                <w:rFonts w:eastAsia="等线" w:ascii="Arial" w:cs="Arial" w:hAnsi="Arial"/>
                <w:sz w:val="22"/>
              </w:rPr>
              <w:t>应付金额不为 0</w:t>
            </w:r>
          </w:p>
          <w:p>
            <w:pPr>
              <w:spacing w:before="120" w:after="120" w:line="288" w:lineRule="auto"/>
              <w:ind w:left="0"/>
              <w:jc w:val="left"/>
            </w:pPr>
          </w:p>
        </w:tc>
        <w:tc>
          <w:tcPr>
            <w:tcW w:w="2595" w:type="dxa"/>
            <w:tcMar>
              <w:top w:type="dxa" w:w="60"/>
              <w:left w:type="dxa" w:w="120"/>
              <w:bottom w:type="dxa" w:w="30"/>
              <w:right w:type="dxa" w:w="120"/>
            </w:tcMar>
          </w:tcPr>
          <w:p>
            <w:pPr>
              <w:spacing w:before="120" w:after="120" w:line="288" w:lineRule="auto"/>
              <w:ind w:left="0"/>
              <w:jc w:val="center"/>
            </w:pPr>
            <w:r>
              <w:drawing>
                <wp:inline distT="0" distR="0" distB="0" distL="0">
                  <wp:extent cx="1495425" cy="7239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8"/>
                          <a:stretch>
                            <a:fillRect/>
                          </a:stretch>
                        </pic:blipFill>
                        <pic:spPr>
                          <a:xfrm>
                            <a:off x="0" y="0"/>
                            <a:ext cx="1495425" cy="723900"/>
                          </a:xfrm>
                          <a:prstGeom prst="rect">
                            <a:avLst/>
                          </a:prstGeom>
                        </pic:spPr>
                      </pic:pic>
                    </a:graphicData>
                  </a:graphic>
                </wp:inline>
              </w:drawing>
            </w:r>
          </w:p>
          <w:p>
            <w:pPr>
              <w:spacing w:before="120" w:after="120" w:line="288" w:lineRule="auto"/>
              <w:ind w:left="0"/>
              <w:jc w:val="center"/>
            </w:pPr>
            <w:r>
              <w:drawing>
                <wp:inline distT="0" distR="0" distB="0" distL="0">
                  <wp:extent cx="1495425" cy="9334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9"/>
                          <a:stretch>
                            <a:fillRect/>
                          </a:stretch>
                        </pic:blipFill>
                        <pic:spPr>
                          <a:xfrm>
                            <a:off x="0" y="0"/>
                            <a:ext cx="1495425" cy="933450"/>
                          </a:xfrm>
                          <a:prstGeom prst="rect">
                            <a:avLst/>
                          </a:prstGeom>
                        </pic:spPr>
                      </pic:pic>
                    </a:graphicData>
                  </a:graphic>
                </wp:inline>
              </w:drawing>
            </w:r>
          </w:p>
        </w:tc>
      </w:tr>
      <w:tr>
        <w:tc>
          <w:tcPr>
            <w:tcW w:w="1380" w:type="dxa"/>
            <w:tcMar>
              <w:top w:type="dxa" w:w="60"/>
              <w:left w:type="dxa" w:w="120"/>
              <w:bottom w:type="dxa" w:w="30"/>
              <w:right w:type="dxa" w:w="120"/>
            </w:tcMar>
          </w:tcPr>
          <w:p>
            <w:pPr>
              <w:numPr>
                <w:numId w:val="128"/>
              </w:numPr>
              <w:spacing w:before="120" w:after="120" w:line="288" w:lineRule="auto"/>
              <w:ind w:left="0"/>
              <w:jc w:val="left"/>
            </w:pPr>
            <w:r>
              <w:rPr>
                <w:rFonts w:eastAsia="等线" w:ascii="Arial" w:cs="Arial" w:hAnsi="Arial"/>
                <w:sz w:val="22"/>
              </w:rPr>
              <w:t>多支付单处理</w:t>
            </w:r>
          </w:p>
          <w:p>
            <w:pPr>
              <w:spacing w:before="120" w:after="120" w:line="288" w:lineRule="auto"/>
              <w:ind w:left="0"/>
              <w:jc w:val="left"/>
            </w:pPr>
          </w:p>
        </w:tc>
        <w:tc>
          <w:tcPr>
            <w:tcW w:w="4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当出现用户付款金额小于订单金额时，状态为 underpaid，用户可通过链接继续支付，完成订单，订单状态到达 paid</w:t>
            </w:r>
          </w:p>
          <w:p>
            <w:pPr>
              <w:numPr>
                <w:numId w:val="129"/>
              </w:numPr>
              <w:spacing w:before="120" w:after="120" w:line="288" w:lineRule="auto"/>
              <w:ind w:left="0"/>
              <w:jc w:val="left"/>
            </w:pPr>
            <w:r>
              <w:rPr>
                <w:rFonts w:eastAsia="等线" w:ascii="Arial" w:cs="Arial" w:hAnsi="Arial"/>
                <w:sz w:val="22"/>
              </w:rPr>
              <w:t>订单有效期内，交易单状态变更</w:t>
            </w:r>
          </w:p>
          <w:p>
            <w:pPr>
              <w:numPr>
                <w:numId w:val="130"/>
              </w:numPr>
              <w:spacing w:before="120" w:after="120" w:line="288" w:lineRule="auto"/>
              <w:ind w:left="0"/>
              <w:jc w:val="left"/>
            </w:pPr>
            <w:r>
              <w:rPr>
                <w:rFonts w:eastAsia="等线" w:ascii="Arial" w:cs="Arial" w:hAnsi="Arial"/>
                <w:sz w:val="22"/>
              </w:rPr>
              <w:t>订单有效期外，交易单状态不变更</w:t>
            </w:r>
          </w:p>
          <w:p>
            <w:pPr>
              <w:spacing w:before="120" w:after="120" w:line="288" w:lineRule="auto"/>
              <w:ind w:left="0"/>
              <w:jc w:val="left"/>
            </w:pPr>
          </w:p>
        </w:tc>
        <w:tc>
          <w:tcPr>
            <w:tcW w:w="2595" w:type="dxa"/>
            <w:tcMar>
              <w:top w:type="dxa" w:w="60"/>
              <w:left w:type="dxa" w:w="120"/>
              <w:bottom w:type="dxa" w:w="30"/>
              <w:right w:type="dxa" w:w="120"/>
            </w:tcMar>
          </w:tcPr>
          <w:p>
            <w:pPr>
              <w:spacing w:before="120" w:after="120" w:line="288" w:lineRule="auto"/>
              <w:ind w:left="0"/>
              <w:jc w:val="center"/>
            </w:pPr>
            <w:r>
              <w:drawing>
                <wp:inline distT="0" distR="0" distB="0" distL="0">
                  <wp:extent cx="1495425" cy="3810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0"/>
                          <a:stretch>
                            <a:fillRect/>
                          </a:stretch>
                        </pic:blipFill>
                        <pic:spPr>
                          <a:xfrm>
                            <a:off x="0" y="0"/>
                            <a:ext cx="1495425" cy="381000"/>
                          </a:xfrm>
                          <a:prstGeom prst="rect">
                            <a:avLst/>
                          </a:prstGeom>
                        </pic:spPr>
                      </pic:pic>
                    </a:graphicData>
                  </a:graphic>
                </wp:inline>
              </w:drawing>
            </w:r>
          </w:p>
        </w:tc>
      </w:tr>
      <w:tr>
        <w:tc>
          <w:tcPr>
            <w:tcW w:w="1380" w:type="dxa"/>
            <w:tcMar>
              <w:top w:type="dxa" w:w="60"/>
              <w:left w:type="dxa" w:w="120"/>
              <w:bottom w:type="dxa" w:w="30"/>
              <w:right w:type="dxa" w:w="120"/>
            </w:tcMar>
          </w:tcPr>
          <w:p>
            <w:pPr>
              <w:spacing w:before="120" w:after="120" w:line="288" w:lineRule="auto"/>
              <w:ind w:left="0"/>
              <w:jc w:val="left"/>
            </w:pPr>
          </w:p>
        </w:tc>
        <w:tc>
          <w:tcPr>
            <w:tcW w:w="4305" w:type="dxa"/>
            <w:tcMar>
              <w:top w:type="dxa" w:w="60"/>
              <w:left w:type="dxa" w:w="120"/>
              <w:bottom w:type="dxa" w:w="30"/>
              <w:right w:type="dxa" w:w="120"/>
            </w:tcMar>
          </w:tcPr>
          <w:p>
            <w:pPr>
              <w:spacing w:before="120" w:after="120" w:line="288" w:lineRule="auto"/>
              <w:ind w:left="0"/>
              <w:jc w:val="left"/>
            </w:pPr>
          </w:p>
        </w:tc>
        <w:tc>
          <w:tcPr>
            <w:tcW w:w="2595"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14" w:id="14"/>
      <w:r>
        <w:rPr>
          <w:rFonts w:eastAsia="等线" w:ascii="Arial" w:cs="Arial" w:hAnsi="Arial"/>
          <w:b w:val="true"/>
          <w:sz w:val="28"/>
        </w:rPr>
        <w:t>API: Create a One-time Link</w:t>
      </w:r>
      <w:bookmarkEnd w:id="14"/>
    </w:p>
    <w:p>
      <w:pPr>
        <w:spacing w:before="120" w:after="120" w:line="288" w:lineRule="auto"/>
        <w:ind w:left="0"/>
        <w:jc w:val="left"/>
      </w:pPr>
      <w:r>
        <w:rPr>
          <w:rFonts w:eastAsia="等线" w:ascii="Arial" w:cs="Arial" w:hAnsi="Arial"/>
          <w:sz w:val="22"/>
        </w:rPr>
        <w:t>Shoplazza Payment --&gt; SolaPex</w:t>
      </w:r>
    </w:p>
    <w:p>
      <w:pPr>
        <w:spacing w:before="120" w:after="120" w:line="288" w:lineRule="auto"/>
        <w:ind w:left="0"/>
        <w:jc w:val="left"/>
      </w:pPr>
      <w:r>
        <w:rPr>
          <w:rFonts w:eastAsia="等线" w:ascii="Arial" w:cs="Arial" w:hAnsi="Arial"/>
          <w:sz w:val="22"/>
        </w:rPr>
        <w:t>post</w:t>
      </w:r>
    </w:p>
    <w:p>
      <w:pPr>
        <w:spacing w:before="120" w:after="120" w:line="288" w:lineRule="auto"/>
        <w:ind w:left="0"/>
        <w:jc w:val="center"/>
      </w:pPr>
      <w:r>
        <w:drawing>
          <wp:inline distT="0" distR="0" distB="0" distL="0">
            <wp:extent cx="5257800" cy="52578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1"/>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3.1.3 </w:t>
      </w:r>
      <w:r>
        <w:rPr>
          <w:rFonts w:eastAsia="等线" w:ascii="Arial" w:cs="Arial" w:hAnsi="Arial"/>
          <w:b w:val="true"/>
          <w:sz w:val="30"/>
        </w:rPr>
        <w:t>订单处理 -使订单过期</w:t>
      </w:r>
      <w:bookmarkEnd w:id="15"/>
    </w:p>
    <w:p>
      <w:pPr>
        <w:spacing w:before="120" w:after="120" w:line="288" w:lineRule="auto"/>
        <w:ind w:left="0"/>
        <w:jc w:val="left"/>
      </w:pPr>
      <w:r>
        <w:rPr>
          <w:rFonts w:eastAsia="等线" w:ascii="Arial" w:cs="Arial" w:hAnsi="Arial"/>
          <w:sz w:val="22"/>
        </w:rPr>
        <w:t>强制订单到过期状态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65"/>
        <w:gridCol w:w="1665"/>
        <w:gridCol w:w="2670"/>
        <w:gridCol w:w="2565"/>
      </w:tblGrid>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需求清单</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需求详情</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时序图</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交互说明</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订单过期处理</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提供商户请求的 API 接口</w:t>
            </w:r>
          </w:p>
          <w:p>
            <w:pPr>
              <w:spacing w:before="120" w:after="120" w:line="288" w:lineRule="auto"/>
              <w:ind w:left="0"/>
              <w:jc w:val="left"/>
            </w:pPr>
            <w:r>
              <w:rPr>
                <w:rFonts w:eastAsia="等线" w:ascii="Arial" w:cs="Arial" w:hAnsi="Arial"/>
                <w:sz w:val="22"/>
              </w:rPr>
              <w:t>请求核心的参数，</w:t>
            </w:r>
            <w:r>
              <w:rPr>
                <w:rFonts w:eastAsia="等线" w:ascii="Arial" w:cs="Arial" w:hAnsi="Arial"/>
                <w:b w:val="true"/>
                <w:sz w:val="22"/>
              </w:rPr>
              <w:t>我方的订单号。</w:t>
            </w:r>
          </w:p>
          <w:p>
            <w:pPr>
              <w:spacing w:before="120" w:after="120" w:line="288" w:lineRule="auto"/>
              <w:ind w:left="0"/>
              <w:jc w:val="left"/>
            </w:pPr>
          </w:p>
          <w:p>
            <w:pPr>
              <w:numPr>
                <w:numId w:val="131"/>
              </w:numPr>
              <w:spacing w:before="120" w:after="120" w:line="288" w:lineRule="auto"/>
              <w:ind w:left="0"/>
              <w:jc w:val="left"/>
            </w:pPr>
            <w:r>
              <w:rPr>
                <w:rFonts w:eastAsia="等线" w:ascii="Arial" w:cs="Arial" w:hAnsi="Arial"/>
                <w:sz w:val="22"/>
              </w:rPr>
              <w:t>商户请求我们做过期处理</w:t>
            </w:r>
          </w:p>
          <w:p>
            <w:pPr>
              <w:numPr>
                <w:numId w:val="132"/>
              </w:numPr>
              <w:spacing w:before="120" w:after="120" w:line="288" w:lineRule="auto"/>
              <w:ind w:left="0"/>
              <w:jc w:val="left"/>
            </w:pPr>
            <w:r>
              <w:rPr>
                <w:rFonts w:eastAsia="等线" w:ascii="Arial" w:cs="Arial" w:hAnsi="Arial"/>
                <w:sz w:val="22"/>
              </w:rPr>
              <w:t>我们请求 cobo 做过期处理</w:t>
            </w:r>
          </w:p>
          <w:p>
            <w:pPr>
              <w:numPr>
                <w:numId w:val="133"/>
              </w:numPr>
              <w:spacing w:before="120" w:after="120" w:line="288" w:lineRule="auto"/>
              <w:ind w:left="0"/>
              <w:jc w:val="left"/>
            </w:pPr>
            <w:r>
              <w:rPr>
                <w:rFonts w:eastAsia="等线" w:ascii="Arial" w:cs="Arial" w:hAnsi="Arial"/>
                <w:sz w:val="22"/>
              </w:rPr>
              <w:t>渠道反馈我们处理结果</w:t>
            </w:r>
          </w:p>
          <w:p>
            <w:pPr>
              <w:numPr>
                <w:numId w:val="134"/>
              </w:numPr>
              <w:spacing w:before="120" w:after="120" w:line="288" w:lineRule="auto"/>
              <w:ind w:left="453"/>
              <w:jc w:val="left"/>
            </w:pPr>
            <w:r>
              <w:rPr>
                <w:rFonts w:eastAsia="等线" w:ascii="Arial" w:cs="Arial" w:hAnsi="Arial"/>
                <w:sz w:val="22"/>
              </w:rPr>
              <w:t>成功，我们处理交易单为 UnpaidExpired，并更新过期时间</w:t>
            </w:r>
          </w:p>
          <w:p>
            <w:pPr>
              <w:numPr>
                <w:numId w:val="135"/>
              </w:numPr>
              <w:spacing w:before="120" w:after="120" w:line="288" w:lineRule="auto"/>
              <w:ind w:left="453"/>
              <w:jc w:val="left"/>
            </w:pPr>
            <w:r>
              <w:rPr>
                <w:rFonts w:eastAsia="等线" w:ascii="Arial" w:cs="Arial" w:hAnsi="Arial"/>
                <w:sz w:val="22"/>
              </w:rPr>
              <w:t>失败，我们不处理</w:t>
            </w:r>
          </w:p>
          <w:p>
            <w:pPr>
              <w:numPr>
                <w:numId w:val="136"/>
              </w:numPr>
              <w:spacing w:before="120" w:after="120" w:line="288" w:lineRule="auto"/>
              <w:ind w:left="0"/>
              <w:jc w:val="left"/>
            </w:pPr>
            <w:r>
              <w:rPr>
                <w:rFonts w:eastAsia="等线" w:ascii="Arial" w:cs="Arial" w:hAnsi="Arial"/>
                <w:sz w:val="22"/>
              </w:rPr>
              <w:t>反馈商家处理结果</w:t>
            </w:r>
          </w:p>
          <w:p>
            <w:pPr>
              <w:spacing w:before="120" w:after="120" w:line="288" w:lineRule="auto"/>
              <w:ind w:left="0"/>
              <w:jc w:val="left"/>
            </w:pPr>
          </w:p>
          <w:p>
            <w:pPr>
              <w:spacing w:before="120" w:after="120" w:line="288" w:lineRule="auto"/>
              <w:ind w:left="0"/>
              <w:jc w:val="left"/>
            </w:pPr>
          </w:p>
        </w:tc>
        <w:tc>
          <w:tcPr>
            <w:tcW w:w="267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30"/>
            </w:tblGrid>
            <w:tr>
              <w:tc>
                <w:tcPr>
                  <w:tcW w:w="243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sequenceDiagram</w:t>
                    <w:br/>
                    <w:t>    participant M as Merchant</w:t>
                    <w:br/>
                    <w:t>    participant S as SolaPex</w:t>
                    <w:br/>
                    <w:t>    participant C as Cobo</w:t>
                    <w:br/>
                    <w:br/>
                    <w:t>    M-&gt;&gt;S:  发起过期请求</w:t>
                    <w:br/>
                    <w:t>    activate S</w:t>
                    <w:br/>
                    <w:t>    S-&gt;&gt;C:  调用渠道Update pay-in order接口</w:t>
                    <w:br/>
                    <w:t>    activate C</w:t>
                    <w:br/>
                    <w:t>    C-&gt;&gt;C: 处理订单过期</w:t>
                    <w:br/>
                    <w:t>    C--&gt;&gt;S: 返回处理结果</w:t>
                    <w:br/>
                    <w:t xml:space="preserve">    S-&gt;&gt;S: 处理订单过期</w:t>
                    <w:br/>
                    <w:t>    deactivate C</w:t>
                    <w:br/>
                    <w:t>    S--&gt;&gt;M: 返回过期处理结果</w:t>
                    <w:br/>
                    <w:t>    deactivate S</w:t>
                    <w:br/>
                  </w:r>
                </w:p>
              </w:tc>
            </w:tr>
          </w:tbl>
          <w:p/>
        </w:tc>
        <w:tc>
          <w:tcPr>
            <w:tcW w:w="2565" w:type="dxa"/>
            <w:tcMar>
              <w:top w:type="dxa" w:w="60"/>
              <w:left w:type="dxa" w:w="120"/>
              <w:bottom w:type="dxa" w:w="30"/>
              <w:right w:type="dxa" w:w="120"/>
            </w:tcMar>
          </w:tcPr>
          <w:p>
            <w:pPr>
              <w:spacing w:before="120" w:after="120" w:line="288" w:lineRule="auto"/>
              <w:ind w:left="0"/>
              <w:jc w:val="left"/>
            </w:pPr>
            <w:r>
              <w:drawing>
                <wp:inline distT="0" distR="0" distB="0" distL="0">
                  <wp:extent cx="1333500" cy="29146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2"/>
                          <a:stretch>
                            <a:fillRect/>
                          </a:stretch>
                        </pic:blipFill>
                        <pic:spPr>
                          <a:xfrm>
                            <a:off x="0" y="0"/>
                            <a:ext cx="1333500" cy="2914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过期后，URL 再次打开显示状态</w:t>
            </w:r>
          </w:p>
        </w:tc>
      </w:tr>
      <w:tr>
        <w:tc>
          <w:tcPr>
            <w:tcW w:w="13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2670" w:type="dxa"/>
            <w:tcMar>
              <w:top w:type="dxa" w:w="60"/>
              <w:left w:type="dxa" w:w="120"/>
              <w:bottom w:type="dxa" w:w="30"/>
              <w:right w:type="dxa" w:w="120"/>
            </w:tcMar>
          </w:tcPr>
          <w:p>
            <w:pPr>
              <w:spacing w:before="120" w:after="120" w:line="288" w:lineRule="auto"/>
              <w:ind w:left="0"/>
              <w:jc w:val="left"/>
            </w:pPr>
          </w:p>
        </w:tc>
        <w:tc>
          <w:tcPr>
            <w:tcW w:w="2565"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16" w:id="16"/>
      <w:r>
        <w:rPr>
          <w:rFonts w:eastAsia="等线" w:ascii="Arial" w:cs="Arial" w:hAnsi="Arial"/>
          <w:b w:val="true"/>
          <w:sz w:val="28"/>
        </w:rPr>
        <w:t>API：Expire  One-time Link</w:t>
      </w:r>
      <w:bookmarkEnd w:id="16"/>
    </w:p>
    <w:p>
      <w:pPr>
        <w:spacing w:before="120" w:after="120" w:line="288" w:lineRule="auto"/>
        <w:ind w:left="0"/>
        <w:jc w:val="left"/>
      </w:pPr>
      <w:r>
        <w:rPr>
          <w:rFonts w:eastAsia="等线" w:ascii="Arial" w:cs="Arial" w:hAnsi="Arial"/>
          <w:sz w:val="22"/>
        </w:rPr>
        <w:t>Shoplazza Payment --&gt; SolaPex</w:t>
      </w:r>
    </w:p>
    <w:p>
      <w:pPr>
        <w:spacing w:before="120" w:after="120" w:line="288" w:lineRule="auto"/>
        <w:ind w:left="0"/>
        <w:jc w:val="left"/>
      </w:pPr>
      <w:r>
        <w:rPr>
          <w:rFonts w:eastAsia="等线" w:ascii="Arial" w:cs="Arial" w:hAnsi="Arial"/>
          <w:sz w:val="22"/>
        </w:rPr>
        <w:t>post</w:t>
      </w:r>
    </w:p>
    <w:p>
      <w:pPr>
        <w:spacing w:before="120" w:after="120" w:line="288" w:lineRule="auto"/>
        <w:ind w:left="0"/>
        <w:jc w:val="center"/>
      </w:pPr>
      <w:r>
        <w:drawing>
          <wp:inline distT="0" distR="0" distB="0" distL="0">
            <wp:extent cx="5257800" cy="9334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3"/>
                    <a:stretch>
                      <a:fillRect/>
                    </a:stretch>
                  </pic:blipFill>
                  <pic:spPr>
                    <a:xfrm>
                      <a:off x="0" y="0"/>
                      <a:ext cx="5257800" cy="93345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3.1.4 </w:t>
      </w:r>
      <w:r>
        <w:rPr>
          <w:rFonts w:eastAsia="等线" w:ascii="Arial" w:cs="Arial" w:hAnsi="Arial"/>
          <w:b w:val="true"/>
          <w:sz w:val="30"/>
        </w:rPr>
        <w:t>订单查询</w:t>
      </w:r>
      <w:bookmarkEnd w:id="17"/>
    </w:p>
    <w:p>
      <w:pPr>
        <w:spacing w:before="120" w:after="120" w:line="288" w:lineRule="auto"/>
        <w:ind w:left="0"/>
        <w:jc w:val="left"/>
      </w:pPr>
      <w:r>
        <w:rPr>
          <w:rFonts w:eastAsia="等线" w:ascii="Arial" w:cs="Arial" w:hAnsi="Arial"/>
          <w:sz w:val="22"/>
        </w:rPr>
        <w:t>提供商户主动查询订单详情的接口。支持单笔查询，批量查询。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35"/>
        <w:gridCol w:w="3480"/>
        <w:gridCol w:w="3165"/>
      </w:tblGrid>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需求清单</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需求详情</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时序图</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订单查询接口</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请求核心的参数，</w:t>
            </w:r>
            <w:r>
              <w:rPr>
                <w:rFonts w:eastAsia="等线" w:ascii="Arial" w:cs="Arial" w:hAnsi="Arial"/>
                <w:b w:val="true"/>
                <w:sz w:val="22"/>
              </w:rPr>
              <w:t>我方的订单号，或者商户订单号，2 选 1</w:t>
            </w:r>
          </w:p>
          <w:p>
            <w:pPr>
              <w:spacing w:before="120" w:after="120" w:line="288" w:lineRule="auto"/>
              <w:ind w:left="0"/>
              <w:jc w:val="left"/>
            </w:pPr>
            <w:r>
              <w:rPr>
                <w:rFonts w:eastAsia="等线" w:ascii="Arial" w:cs="Arial" w:hAnsi="Arial"/>
                <w:sz w:val="22"/>
              </w:rPr>
              <w:t>返回查询结果</w:t>
            </w:r>
          </w:p>
          <w:p>
            <w:pPr>
              <w:spacing w:before="120" w:after="120" w:line="288" w:lineRule="auto"/>
              <w:ind w:left="0"/>
              <w:jc w:val="left"/>
            </w:pPr>
          </w:p>
        </w:tc>
        <w:tc>
          <w:tcPr>
            <w:tcW w:w="3165"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925"/>
            </w:tblGrid>
            <w:tr>
              <w:tc>
                <w:tcPr>
                  <w:tcW w:w="292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r>
                  <w:r>
                    <w:rPr>
                      <w:rFonts w:eastAsia="Consolas" w:ascii="Consolas" w:cs="Consolas" w:hAnsi="Consolas"/>
                      <w:sz w:val="22"/>
                    </w:rPr>
                    <w:t>sequenceDiagram</w:t>
                    <w:br/>
                    <w:t>    participant M as Merchant</w:t>
                    <w:br/>
                    <w:t>    participant S as SolaPex</w:t>
                    <w:br/>
                    <w:t>  </w:t>
                    <w:br/>
                    <w:br/>
                    <w:t>    M-&gt;&gt;S: API订单查询请求（支持时间段）</w:t>
                    <w:br/>
                    <w:t>    activate S</w:t>
                    <w:br/>
                    <w:t> </w:t>
                    <w:br/>
                    <w:br/>
                    <w:t>   </w:t>
                    <w:br/>
                    <w:t>    S--&gt;&gt;M: 返回订单详情 or 详情列表</w:t>
                    <w:br/>
                    <w:t>    deactivate S</w:t>
                    <w:br/>
                  </w:r>
                </w:p>
              </w:tc>
            </w:tr>
          </w:tbl>
          <w:p>
            <w:pPr>
              <w:spacing w:before="120" w:after="120" w:line="288" w:lineRule="auto"/>
              <w:ind w:left="0"/>
              <w:jc w:val="left"/>
            </w:pP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订单批量查询接口</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请求核心的参数，</w:t>
            </w:r>
            <w:r>
              <w:rPr>
                <w:rFonts w:eastAsia="等线" w:ascii="Arial" w:cs="Arial" w:hAnsi="Arial"/>
                <w:b w:val="true"/>
                <w:sz w:val="22"/>
              </w:rPr>
              <w:t>starttime-endtime，时间戳</w:t>
            </w:r>
          </w:p>
          <w:p>
            <w:pPr>
              <w:spacing w:before="120" w:after="120" w:line="288" w:lineRule="auto"/>
              <w:ind w:left="0"/>
              <w:jc w:val="left"/>
            </w:pPr>
            <w:r>
              <w:rPr>
                <w:rFonts w:eastAsia="等线" w:ascii="Arial" w:cs="Arial" w:hAnsi="Arial"/>
                <w:sz w:val="22"/>
              </w:rPr>
              <w:t>技术考虑下返回数据较多的情况下处理方案</w:t>
            </w:r>
          </w:p>
        </w:tc>
        <w:tc>
          <w:tcPr>
            <w:tcW w:w="316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18" w:id="18"/>
      <w:r>
        <w:rPr>
          <w:rFonts w:eastAsia="等线" w:ascii="Arial" w:cs="Arial" w:hAnsi="Arial"/>
          <w:b w:val="true"/>
          <w:sz w:val="28"/>
        </w:rPr>
        <w:t>API: Get One-time Link information</w:t>
      </w:r>
      <w:bookmarkEnd w:id="18"/>
    </w:p>
    <w:p>
      <w:pPr>
        <w:spacing w:before="120" w:after="120" w:line="288" w:lineRule="auto"/>
        <w:ind w:left="0"/>
        <w:jc w:val="left"/>
      </w:pPr>
      <w:r>
        <w:rPr>
          <w:rFonts w:eastAsia="等线" w:ascii="Arial" w:cs="Arial" w:hAnsi="Arial"/>
          <w:sz w:val="22"/>
        </w:rPr>
        <w:t>Shoplazza Payment --&gt; SolaPex</w:t>
      </w:r>
    </w:p>
    <w:p>
      <w:pPr>
        <w:spacing w:before="120" w:after="120" w:line="288" w:lineRule="auto"/>
        <w:ind w:left="0"/>
        <w:jc w:val="left"/>
      </w:pPr>
      <w:r>
        <w:rPr>
          <w:rFonts w:eastAsia="等线" w:ascii="Arial" w:cs="Arial" w:hAnsi="Arial"/>
          <w:sz w:val="22"/>
        </w:rPr>
        <w:t>post</w:t>
      </w:r>
    </w:p>
    <w:p>
      <w:pPr>
        <w:spacing w:before="120" w:after="120" w:line="288" w:lineRule="auto"/>
        <w:ind w:left="0"/>
        <w:jc w:val="center"/>
      </w:pPr>
      <w:r>
        <w:drawing>
          <wp:inline distT="0" distR="0" distB="0" distL="0">
            <wp:extent cx="5257800" cy="12573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4"/>
                    <a:stretch>
                      <a:fillRect/>
                    </a:stretch>
                  </pic:blipFill>
                  <pic:spPr>
                    <a:xfrm>
                      <a:off x="0" y="0"/>
                      <a:ext cx="5257800" cy="1257300"/>
                    </a:xfrm>
                    <a:prstGeom prst="rect">
                      <a:avLst/>
                    </a:prstGeom>
                  </pic:spPr>
                </pic:pic>
              </a:graphicData>
            </a:graphic>
          </wp:inline>
        </w:drawing>
      </w:r>
    </w:p>
    <w:p>
      <w:pPr>
        <w:pStyle w:val="4"/>
        <w:spacing w:before="260" w:after="120" w:line="288" w:lineRule="auto"/>
        <w:ind w:left="0"/>
        <w:jc w:val="left"/>
        <w:outlineLvl w:val="3"/>
      </w:pPr>
      <w:bookmarkStart w:name="heading_19" w:id="19"/>
      <w:r>
        <w:rPr>
          <w:rFonts w:eastAsia="等线" w:ascii="Arial" w:cs="Arial" w:hAnsi="Arial"/>
          <w:b w:val="true"/>
          <w:sz w:val="28"/>
        </w:rPr>
        <w:t>API: Get One-time Links</w:t>
      </w:r>
      <w:bookmarkEnd w:id="19"/>
    </w:p>
    <w:p>
      <w:pPr>
        <w:spacing w:before="120" w:after="120" w:line="288" w:lineRule="auto"/>
        <w:ind w:left="0"/>
        <w:jc w:val="left"/>
      </w:pPr>
      <w:r>
        <w:rPr>
          <w:rFonts w:eastAsia="等线" w:ascii="Arial" w:cs="Arial" w:hAnsi="Arial"/>
          <w:sz w:val="22"/>
        </w:rPr>
        <w:t>Shoplazza Payment --&gt; SolaPex</w:t>
      </w:r>
    </w:p>
    <w:p>
      <w:pPr>
        <w:spacing w:before="120" w:after="120" w:line="288" w:lineRule="auto"/>
        <w:ind w:left="0"/>
        <w:jc w:val="left"/>
      </w:pPr>
      <w:r>
        <w:rPr>
          <w:rFonts w:eastAsia="等线" w:ascii="Arial" w:cs="Arial" w:hAnsi="Arial"/>
          <w:sz w:val="22"/>
        </w:rPr>
        <w:t>post</w:t>
      </w:r>
    </w:p>
    <w:p>
      <w:pPr>
        <w:spacing w:before="120" w:after="120" w:line="288" w:lineRule="auto"/>
        <w:ind w:left="0"/>
        <w:jc w:val="center"/>
      </w:pPr>
      <w:r>
        <w:drawing>
          <wp:inline distT="0" distR="0" distB="0" distL="0">
            <wp:extent cx="5257800" cy="125730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5"/>
                    <a:stretch>
                      <a:fillRect/>
                    </a:stretch>
                  </pic:blipFill>
                  <pic:spPr>
                    <a:xfrm>
                      <a:off x="0" y="0"/>
                      <a:ext cx="5257800" cy="1257300"/>
                    </a:xfrm>
                    <a:prstGeom prst="rect">
                      <a:avLst/>
                    </a:prstGeom>
                  </pic:spPr>
                </pic:pic>
              </a:graphicData>
            </a:graphic>
          </wp:inline>
        </w:drawing>
      </w:r>
    </w:p>
    <w:p>
      <w:pPr>
        <w:pStyle w:val="3"/>
        <w:spacing w:before="300" w:after="120" w:line="288" w:lineRule="auto"/>
        <w:ind w:left="0"/>
        <w:jc w:val="left"/>
        <w:outlineLvl w:val="2"/>
      </w:pPr>
      <w:bookmarkStart w:name="heading_20" w:id="20"/>
      <w:r>
        <w:rPr>
          <w:rFonts w:eastAsia="等线" w:ascii="Arial" w:cs="Arial" w:hAnsi="Arial"/>
          <w:color w:val="3370ff"/>
          <w:sz w:val="30"/>
        </w:rPr>
        <w:t xml:space="preserve">3.1.5 </w:t>
      </w:r>
      <w:r>
        <w:rPr>
          <w:rFonts w:eastAsia="等线" w:ascii="Arial" w:cs="Arial" w:hAnsi="Arial"/>
          <w:b w:val="true"/>
          <w:sz w:val="30"/>
        </w:rPr>
        <w:t>Webhook</w:t>
      </w:r>
      <w:bookmarkEnd w:id="20"/>
    </w:p>
    <w:p>
      <w:pPr>
        <w:spacing w:before="120" w:after="120" w:line="288" w:lineRule="auto"/>
        <w:ind w:left="0"/>
        <w:jc w:val="left"/>
      </w:pPr>
      <w:r>
        <w:rPr>
          <w:rFonts w:eastAsia="等线" w:ascii="Arial" w:cs="Arial" w:hAnsi="Arial"/>
          <w:sz w:val="22"/>
        </w:rPr>
        <w:t>SolaPex 给到商家的异步通知有3 类，</w:t>
      </w:r>
    </w:p>
    <w:p>
      <w:pPr>
        <w:spacing w:before="120" w:after="120" w:line="288" w:lineRule="auto"/>
        <w:ind w:left="0"/>
        <w:jc w:val="left"/>
      </w:pPr>
      <w:r>
        <w:rPr>
          <w:rFonts w:eastAsia="等线" w:ascii="Arial" w:cs="Arial" w:hAnsi="Arial"/>
          <w:sz w:val="22"/>
        </w:rPr>
        <w:t>1.支付单通知</w:t>
      </w:r>
    </w:p>
    <w:p>
      <w:pPr>
        <w:spacing w:before="120" w:after="120" w:line="288" w:lineRule="auto"/>
        <w:ind w:left="0"/>
        <w:jc w:val="left"/>
      </w:pPr>
      <w:r>
        <w:rPr>
          <w:rFonts w:eastAsia="等线" w:ascii="Arial" w:cs="Arial" w:hAnsi="Arial"/>
          <w:sz w:val="22"/>
        </w:rPr>
        <w:t>SolaPex--&gt; shoplazza Payment</w:t>
      </w:r>
    </w:p>
    <w:p>
      <w:pPr>
        <w:numPr>
          <w:numId w:val="137"/>
        </w:numPr>
        <w:spacing w:before="120" w:after="120" w:line="288" w:lineRule="auto"/>
        <w:ind w:left="453"/>
        <w:jc w:val="left"/>
      </w:pPr>
      <w:r>
        <w:rPr>
          <w:rFonts w:eastAsia="等线" w:ascii="Arial" w:cs="Arial" w:hAnsi="Arial"/>
          <w:sz w:val="22"/>
        </w:rPr>
        <w:t>支付单到达终态时给商家通知，包括（Available options: Completed）</w:t>
      </w:r>
    </w:p>
    <w:p>
      <w:pPr>
        <w:spacing w:before="120" w:after="120" w:line="288" w:lineRule="auto"/>
        <w:ind w:left="0"/>
        <w:jc w:val="left"/>
      </w:pPr>
      <w:r>
        <w:rPr>
          <w:rFonts w:eastAsia="等线" w:ascii="Arial" w:cs="Arial" w:hAnsi="Arial"/>
          <w:sz w:val="22"/>
        </w:rPr>
        <w:t>2.交易单通知</w:t>
      </w:r>
    </w:p>
    <w:p>
      <w:pPr>
        <w:spacing w:before="120" w:after="120" w:line="288" w:lineRule="auto"/>
        <w:ind w:left="0"/>
        <w:jc w:val="left"/>
      </w:pPr>
      <w:r>
        <w:rPr>
          <w:rFonts w:eastAsia="等线" w:ascii="Arial" w:cs="Arial" w:hAnsi="Arial"/>
          <w:sz w:val="22"/>
        </w:rPr>
        <w:t>SolaPex--&gt; shoplazza Payment</w:t>
      </w:r>
    </w:p>
    <w:p>
      <w:pPr>
        <w:numPr>
          <w:numId w:val="138"/>
        </w:numPr>
        <w:spacing w:before="120" w:after="120" w:line="288" w:lineRule="auto"/>
        <w:ind w:left="453"/>
        <w:jc w:val="left"/>
      </w:pPr>
      <w:r>
        <w:rPr>
          <w:rFonts w:eastAsia="等线" w:ascii="Arial" w:cs="Arial" w:hAnsi="Arial"/>
          <w:sz w:val="22"/>
        </w:rPr>
        <w:t>交易订单一旦到达以下状态时立刻通知，Paid、Overpaid、Underpaid</w:t>
      </w:r>
    </w:p>
    <w:p>
      <w:pPr>
        <w:numPr>
          <w:numId w:val="139"/>
        </w:numPr>
        <w:spacing w:before="120" w:after="120" w:line="288" w:lineRule="auto"/>
        <w:ind w:left="453"/>
        <w:jc w:val="left"/>
      </w:pPr>
      <w:r>
        <w:rPr>
          <w:rFonts w:eastAsia="等线" w:ascii="Arial" w:cs="Arial" w:hAnsi="Arial"/>
          <w:sz w:val="22"/>
        </w:rPr>
        <w:t>交易订单到过期时间时通知，UnpaidExpired</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给到自有支付的通知策略，当前自有支付的交易单状态扭转仅支持一次，所以需要单独支持。</w:t>
      </w:r>
    </w:p>
    <w:p>
      <w:pPr>
        <w:numPr>
          <w:numId w:val="140"/>
        </w:numPr>
        <w:spacing w:before="120" w:after="120" w:line="288" w:lineRule="auto"/>
        <w:ind w:left="0"/>
        <w:jc w:val="left"/>
      </w:pPr>
      <w:r>
        <w:rPr>
          <w:rFonts w:eastAsia="等线" w:ascii="Arial" w:cs="Arial" w:hAnsi="Arial"/>
          <w:sz w:val="22"/>
        </w:rPr>
        <w:t>到达关单时间时，判断交易单达到以下状态（Paid、Overpaid、Underpaid、UnpaidExpired）时</w:t>
      </w:r>
    </w:p>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3.1.6 </w:t>
      </w:r>
      <w:r>
        <w:rPr>
          <w:rFonts w:eastAsia="等线" w:ascii="Arial" w:cs="Arial" w:hAnsi="Arial"/>
          <w:b w:val="true"/>
          <w:sz w:val="30"/>
        </w:rPr>
        <w:t>驱动对账</w:t>
      </w:r>
      <w:bookmarkEnd w:id="21"/>
    </w:p>
    <w:p>
      <w:pPr>
        <w:spacing w:before="120" w:after="120" w:line="288" w:lineRule="auto"/>
        <w:ind w:left="0"/>
        <w:jc w:val="left"/>
      </w:pPr>
      <w:r>
        <w:rPr>
          <w:rFonts w:eastAsia="等线" w:ascii="Arial" w:cs="Arial" w:hAnsi="Arial"/>
          <w:sz w:val="22"/>
        </w:rPr>
        <w:t>当交易到达终态时，业务服务需要将待对账的交易提交至对账中心，完成对账、清分、结算处理。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85"/>
        <w:gridCol w:w="4005"/>
        <w:gridCol w:w="2190"/>
      </w:tblGrid>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触发条件</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执行动作</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2085" w:type="dxa"/>
            <w:tcMar>
              <w:top w:type="dxa" w:w="60"/>
              <w:left w:type="dxa" w:w="120"/>
              <w:bottom w:type="dxa" w:w="30"/>
              <w:right w:type="dxa" w:w="120"/>
            </w:tcMar>
          </w:tcPr>
          <w:p>
            <w:pPr>
              <w:numPr>
                <w:numId w:val="141"/>
              </w:numPr>
              <w:spacing w:before="120" w:after="120" w:line="288" w:lineRule="auto"/>
              <w:ind w:left="0"/>
              <w:jc w:val="left"/>
            </w:pPr>
            <w:r>
              <w:rPr>
                <w:rFonts w:eastAsia="等线" w:ascii="Arial" w:cs="Arial" w:hAnsi="Arial"/>
                <w:sz w:val="22"/>
              </w:rPr>
              <w:t>当订单到达关单时间后</w:t>
            </w:r>
          </w:p>
          <w:p>
            <w:pPr>
              <w:spacing w:before="120" w:after="120" w:line="288" w:lineRule="auto"/>
              <w:ind w:left="0"/>
              <w:jc w:val="left"/>
            </w:pP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 webhook，对应待结算通知对账中心、计费中心</w:t>
            </w:r>
          </w:p>
          <w:p>
            <w:pPr>
              <w:spacing w:before="120" w:after="120" w:line="288" w:lineRule="auto"/>
              <w:ind w:left="0"/>
              <w:jc w:val="left"/>
            </w:pPr>
            <w:r>
              <w:rPr>
                <w:rFonts w:eastAsia="等线" w:ascii="Arial" w:cs="Arial" w:hAnsi="Arial"/>
                <w:sz w:val="22"/>
              </w:rPr>
              <w:t xml:space="preserve">交易状态= Paid、Underpaid、Overpaid </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对账中心、计费中心需要完根据通知，完成后计费、对账、清分、结算等后续任务</w:t>
            </w:r>
          </w:p>
        </w:tc>
      </w:tr>
      <w:tr>
        <w:tc>
          <w:tcPr>
            <w:tcW w:w="2085" w:type="dxa"/>
            <w:tcMar>
              <w:top w:type="dxa" w:w="60"/>
              <w:left w:type="dxa" w:w="120"/>
              <w:bottom w:type="dxa" w:w="30"/>
              <w:right w:type="dxa" w:w="120"/>
            </w:tcMar>
          </w:tcPr>
          <w:p>
            <w:pPr>
              <w:numPr>
                <w:numId w:val="142"/>
              </w:numPr>
              <w:spacing w:before="120" w:after="120" w:line="288" w:lineRule="auto"/>
              <w:ind w:left="0"/>
              <w:jc w:val="left"/>
            </w:pPr>
            <w:r>
              <w:rPr>
                <w:rFonts w:eastAsia="等线" w:ascii="Arial" w:cs="Arial" w:hAnsi="Arial"/>
                <w:sz w:val="22"/>
              </w:rPr>
              <w:t>自然日的北京时间 0:00 00 跑批任务</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检查 D-7 日的交易单，将交易状态为终态，结算状态=待结算的订单补充提交给对账中心</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兜底策略</w:t>
            </w:r>
          </w:p>
        </w:tc>
      </w:tr>
      <w:tr>
        <w:tc>
          <w:tcPr>
            <w:tcW w:w="2085" w:type="dxa"/>
            <w:tcMar>
              <w:top w:type="dxa" w:w="60"/>
              <w:left w:type="dxa" w:w="120"/>
              <w:bottom w:type="dxa" w:w="30"/>
              <w:right w:type="dxa" w:w="120"/>
            </w:tcMar>
          </w:tcPr>
          <w:p>
            <w:pPr>
              <w:spacing w:before="120" w:after="120" w:line="288" w:lineRule="auto"/>
              <w:ind w:left="0"/>
              <w:jc w:val="left"/>
            </w:pPr>
          </w:p>
        </w:tc>
        <w:tc>
          <w:tcPr>
            <w:tcW w:w="4005" w:type="dxa"/>
            <w:tcMar>
              <w:top w:type="dxa" w:w="60"/>
              <w:left w:type="dxa" w:w="120"/>
              <w:bottom w:type="dxa" w:w="30"/>
              <w:right w:type="dxa" w:w="120"/>
            </w:tcMar>
          </w:tcPr>
          <w:p>
            <w:pPr>
              <w:spacing w:before="120" w:after="120" w:line="288" w:lineRule="auto"/>
              <w:ind w:left="0"/>
              <w:jc w:val="left"/>
            </w:pPr>
          </w:p>
        </w:tc>
        <w:tc>
          <w:tcPr>
            <w:tcW w:w="219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22" w:id="22"/>
      <w:r>
        <w:rPr>
          <w:rFonts w:eastAsia="等线" w:ascii="Arial" w:cs="Arial" w:hAnsi="Arial"/>
          <w:color w:val="3370ff"/>
          <w:sz w:val="30"/>
        </w:rPr>
        <w:t xml:space="preserve">3.1.7 </w:t>
      </w:r>
      <w:r>
        <w:rPr>
          <w:rFonts w:eastAsia="等线" w:ascii="Arial" w:cs="Arial" w:hAnsi="Arial"/>
          <w:b w:val="true"/>
          <w:sz w:val="30"/>
        </w:rPr>
        <w:t>商家后台-- 不做了</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50"/>
        <w:gridCol w:w="2595"/>
        <w:gridCol w:w="3735"/>
      </w:tblGrid>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交互图</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LazzaAccount /Paymentlink</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https://readdy.ai/project/be5f9eb2-9eaf-49ca-b0ef-dc3d9d197658</w:t>
            </w:r>
          </w:p>
          <w:p>
            <w:pPr>
              <w:spacing w:before="120" w:after="120" w:line="288" w:lineRule="auto"/>
              <w:ind w:left="0"/>
              <w:jc w:val="left"/>
            </w:pPr>
            <w:r>
              <w:rPr>
                <w:rFonts w:eastAsia="等线" w:ascii="Arial" w:cs="Arial" w:hAnsi="Arial"/>
                <w:sz w:val="22"/>
              </w:rPr>
              <w:t>订单列表页面</w:t>
            </w:r>
          </w:p>
          <w:p>
            <w:pPr>
              <w:spacing w:before="120" w:after="120" w:line="288" w:lineRule="auto"/>
              <w:ind w:left="0"/>
              <w:jc w:val="center"/>
            </w:pPr>
            <w:r>
              <w:drawing>
                <wp:inline distT="0" distR="0" distB="0" distL="0">
                  <wp:extent cx="1495425" cy="11334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6"/>
                          <a:stretch>
                            <a:fillRect/>
                          </a:stretch>
                        </pic:blipFill>
                        <pic:spPr>
                          <a:xfrm>
                            <a:off x="0" y="0"/>
                            <a:ext cx="1495425" cy="11334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筛选下拉框</w:t>
            </w:r>
          </w:p>
          <w:p>
            <w:pPr>
              <w:spacing w:before="120" w:after="120" w:line="288" w:lineRule="auto"/>
              <w:ind w:left="0"/>
              <w:jc w:val="center"/>
            </w:pPr>
            <w:r>
              <w:drawing>
                <wp:inline distT="0" distR="0" distB="0" distL="0">
                  <wp:extent cx="1495425" cy="84772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7"/>
                          <a:stretch>
                            <a:fillRect/>
                          </a:stretch>
                        </pic:blipFill>
                        <pic:spPr>
                          <a:xfrm>
                            <a:off x="0" y="0"/>
                            <a:ext cx="1495425" cy="847725"/>
                          </a:xfrm>
                          <a:prstGeom prst="rect">
                            <a:avLst/>
                          </a:prstGeom>
                        </pic:spPr>
                      </pic:pic>
                    </a:graphicData>
                  </a:graphic>
                </wp:inline>
              </w:drawing>
            </w:r>
          </w:p>
          <w:p>
            <w:pPr>
              <w:spacing w:before="120" w:after="120" w:line="288" w:lineRule="auto"/>
              <w:ind w:left="0"/>
              <w:jc w:val="left"/>
            </w:pPr>
          </w:p>
        </w:tc>
        <w:tc>
          <w:tcPr>
            <w:tcW w:w="3735" w:type="dxa"/>
            <w:tcMar>
              <w:top w:type="dxa" w:w="60"/>
              <w:left w:type="dxa" w:w="120"/>
              <w:bottom w:type="dxa" w:w="30"/>
              <w:right w:type="dxa" w:w="120"/>
            </w:tcMar>
          </w:tcPr>
          <w:p>
            <w:pPr>
              <w:numPr>
                <w:numId w:val="143"/>
              </w:numPr>
              <w:spacing w:before="120" w:after="120" w:line="288" w:lineRule="auto"/>
              <w:ind w:left="0"/>
              <w:jc w:val="left"/>
            </w:pPr>
            <w:r>
              <w:rPr>
                <w:rFonts w:eastAsia="等线" w:ascii="Arial" w:cs="Arial" w:hAnsi="Arial"/>
                <w:sz w:val="22"/>
              </w:rPr>
              <w:t>新增子菜单，Paymentlink</w:t>
            </w:r>
          </w:p>
          <w:p>
            <w:pPr>
              <w:spacing w:before="120" w:after="120" w:line="288" w:lineRule="auto"/>
              <w:ind w:left="0"/>
              <w:jc w:val="left"/>
            </w:pPr>
          </w:p>
        </w:tc>
      </w:tr>
      <w:tr>
        <w:tc>
          <w:tcPr>
            <w:tcW w:w="1950" w:type="dxa"/>
            <w:tcMar>
              <w:top w:type="dxa" w:w="60"/>
              <w:left w:type="dxa" w:w="120"/>
              <w:bottom w:type="dxa" w:w="30"/>
              <w:right w:type="dxa" w:w="120"/>
            </w:tcMar>
          </w:tcPr>
          <w:p>
            <w:pPr>
              <w:spacing w:before="120" w:after="120" w:line="288" w:lineRule="auto"/>
              <w:ind w:left="0"/>
              <w:jc w:val="left"/>
            </w:pP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详情页面</w:t>
            </w:r>
          </w:p>
          <w:p>
            <w:pPr>
              <w:spacing w:before="120" w:after="120" w:line="288" w:lineRule="auto"/>
              <w:ind w:left="0"/>
              <w:jc w:val="center"/>
            </w:pPr>
            <w:r>
              <w:drawing>
                <wp:inline distT="0" distR="0" distB="0" distL="0">
                  <wp:extent cx="1495425" cy="84772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8"/>
                          <a:stretch>
                            <a:fillRect/>
                          </a:stretch>
                        </pic:blipFill>
                        <pic:spPr>
                          <a:xfrm>
                            <a:off x="0" y="0"/>
                            <a:ext cx="1495425" cy="847725"/>
                          </a:xfrm>
                          <a:prstGeom prst="rect">
                            <a:avLst/>
                          </a:prstGeom>
                        </pic:spPr>
                      </pic:pic>
                    </a:graphicData>
                  </a:graphic>
                </wp:inline>
              </w:drawing>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p>
        </w:tc>
      </w:tr>
      <w:tr>
        <w:tc>
          <w:tcPr>
            <w:tcW w:w="1950" w:type="dxa"/>
            <w:tcMar>
              <w:top w:type="dxa" w:w="60"/>
              <w:left w:type="dxa" w:w="120"/>
              <w:bottom w:type="dxa" w:w="30"/>
              <w:right w:type="dxa" w:w="120"/>
            </w:tcMar>
          </w:tcPr>
          <w:p>
            <w:pPr>
              <w:spacing w:before="120" w:after="120" w:line="288" w:lineRule="auto"/>
              <w:ind w:left="0"/>
              <w:jc w:val="left"/>
            </w:pPr>
          </w:p>
        </w:tc>
        <w:tc>
          <w:tcPr>
            <w:tcW w:w="2595" w:type="dxa"/>
            <w:tcMar>
              <w:top w:type="dxa" w:w="60"/>
              <w:left w:type="dxa" w:w="120"/>
              <w:bottom w:type="dxa" w:w="30"/>
              <w:right w:type="dxa" w:w="120"/>
            </w:tcMar>
          </w:tcPr>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23" w:id="23"/>
      <w:r>
        <w:rPr>
          <w:rFonts w:eastAsia="等线" w:ascii="Arial" w:cs="Arial" w:hAnsi="Arial"/>
          <w:color w:val="3370ff"/>
          <w:sz w:val="30"/>
        </w:rPr>
        <w:t xml:space="preserve">3.1.8 </w:t>
      </w:r>
      <w:r>
        <w:rPr>
          <w:rFonts w:eastAsia="等线" w:ascii="Arial" w:cs="Arial" w:hAnsi="Arial"/>
          <w:b w:val="true"/>
          <w:sz w:val="30"/>
        </w:rPr>
        <w:t>账户操作接口</w:t>
      </w:r>
      <w:bookmarkEnd w:id="23"/>
    </w:p>
    <w:p>
      <w:pPr>
        <w:numPr>
          <w:numId w:val="144"/>
        </w:numPr>
        <w:spacing w:before="120" w:after="120" w:line="288" w:lineRule="auto"/>
        <w:ind w:left="0"/>
        <w:jc w:val="left"/>
      </w:pPr>
      <w:r>
        <w:rPr>
          <w:rFonts w:eastAsia="等线" w:ascii="Arial" w:cs="Arial" w:hAnsi="Arial"/>
          <w:sz w:val="22"/>
        </w:rPr>
        <w:t>提供账户权限查询接口，给自有支付使用</w:t>
      </w:r>
    </w:p>
    <w:p>
      <w:pPr>
        <w:numPr>
          <w:numId w:val="145"/>
        </w:numPr>
        <w:spacing w:before="120" w:after="120" w:line="288" w:lineRule="auto"/>
        <w:ind w:left="0"/>
        <w:jc w:val="left"/>
      </w:pPr>
      <w:r>
        <w:rPr>
          <w:rFonts w:eastAsia="等线" w:ascii="Arial" w:cs="Arial" w:hAnsi="Arial"/>
          <w:sz w:val="22"/>
        </w:rPr>
        <w:t>提供账户止入、止出、恢复正常的操作接口给自有支付调用</w:t>
      </w:r>
    </w:p>
    <w:p>
      <w:pPr>
        <w:pStyle w:val="2"/>
        <w:spacing w:before="320" w:after="120" w:line="288" w:lineRule="auto"/>
        <w:ind w:left="0"/>
        <w:jc w:val="left"/>
        <w:outlineLvl w:val="1"/>
      </w:pPr>
      <w:bookmarkStart w:name="heading_24" w:id="24"/>
      <w:r>
        <w:rPr>
          <w:rFonts w:eastAsia="等线" w:ascii="Arial" w:cs="Arial" w:hAnsi="Arial"/>
          <w:color w:val="3370ff"/>
          <w:sz w:val="32"/>
        </w:rPr>
        <w:t xml:space="preserve">3.2 </w:t>
      </w:r>
      <w:r>
        <w:rPr>
          <w:rFonts w:eastAsia="等线" w:ascii="Arial" w:cs="Arial" w:hAnsi="Arial"/>
          <w:b w:val="true"/>
          <w:sz w:val="32"/>
        </w:rPr>
        <w:t>交易订单记账</w:t>
      </w:r>
      <w:bookmarkEnd w:id="24"/>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3.2.1 </w:t>
      </w:r>
      <w:r>
        <w:rPr>
          <w:rFonts w:eastAsia="等线" w:ascii="Arial" w:cs="Arial" w:hAnsi="Arial"/>
          <w:b w:val="true"/>
          <w:sz w:val="30"/>
        </w:rPr>
        <w:t>正常订单</w:t>
      </w:r>
      <w:bookmarkEnd w:id="25"/>
    </w:p>
    <w:p>
      <w:pPr>
        <w:numPr>
          <w:numId w:val="146"/>
        </w:numPr>
        <w:spacing w:before="120" w:after="120" w:line="288" w:lineRule="auto"/>
        <w:ind w:left="0"/>
        <w:jc w:val="left"/>
      </w:pPr>
      <w:r>
        <w:rPr>
          <w:rFonts w:eastAsia="等线" w:ascii="Arial" w:cs="Arial" w:hAnsi="Arial"/>
          <w:b w:val="true"/>
          <w:sz w:val="22"/>
        </w:rPr>
        <w:t>资金流</w:t>
      </w:r>
    </w:p>
    <w:p>
      <w:pPr>
        <w:spacing w:before="120" w:after="120" w:line="288" w:lineRule="auto"/>
        <w:ind w:left="0"/>
        <w:jc w:val="left"/>
      </w:pPr>
      <w:r>
        <w:rPr>
          <w:rFonts w:eastAsia="等线" w:ascii="Arial" w:cs="Arial" w:hAnsi="Arial"/>
          <w:sz w:val="22"/>
        </w:rPr>
        <w:t>举例 100USD 下单， 用户使用 USDC 付款，假设汇率 1:1，cobo 收 SolaPex手续费 2%，SolaPex收 ShoplazzaPayment手续费2%，ShoplazzaPayment 收商户手续费 3%</w:t>
      </w:r>
    </w:p>
    <w:p>
      <w:pPr>
        <w:spacing w:before="120" w:after="120" w:line="288" w:lineRule="auto"/>
        <w:ind w:left="0"/>
        <w:jc w:val="left"/>
      </w:pPr>
      <w:r>
        <w:rPr>
          <w:rFonts w:eastAsia="等线" w:ascii="Arial" w:cs="Arial" w:hAnsi="Arial"/>
          <w:sz w:val="22"/>
        </w:rPr>
        <w:t>场景 1： 订单有效期内，足额付款</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55"/>
        <w:gridCol w:w="525"/>
        <w:gridCol w:w="1035"/>
        <w:gridCol w:w="735"/>
        <w:gridCol w:w="735"/>
        <w:gridCol w:w="525"/>
        <w:gridCol w:w="810"/>
        <w:gridCol w:w="1860"/>
        <w:gridCol w:w="585"/>
      </w:tblGrid>
      <w:tr>
        <w:tc>
          <w:tcPr>
            <w:tcW w:w="1455" w:type="dxa"/>
            <w:tcMar>
              <w:top w:type="dxa" w:w="60"/>
              <w:left w:type="dxa" w:w="120"/>
              <w:bottom w:type="dxa" w:w="30"/>
              <w:right w:type="dxa" w:w="120"/>
            </w:tcMar>
          </w:tcPr>
          <w:p>
            <w:pPr>
              <w:spacing w:before="120" w:after="120" w:line="288" w:lineRule="auto"/>
              <w:ind w:left="0"/>
              <w:jc w:val="left"/>
            </w:pPr>
          </w:p>
        </w:tc>
        <w:tc>
          <w:tcPr>
            <w:tcW w:w="303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内部记账</w:t>
            </w:r>
          </w:p>
        </w:tc>
        <w:tc>
          <w:tcPr>
            <w:tcW w:w="1035" w:type="dxa"/>
            <w:hMerge w:val="continue"/>
            <w:tcMar>
              <w:top w:type="dxa" w:w="60"/>
              <w:left w:type="dxa" w:w="120"/>
              <w:bottom w:type="dxa" w:w="30"/>
              <w:right w:type="dxa" w:w="120"/>
            </w:tcMar>
          </w:tcPr>
          <w:p>
            <w:pPr>
              <w:spacing w:before="120" w:after="120" w:line="288" w:lineRule="auto"/>
              <w:ind w:left="0"/>
              <w:jc w:val="left"/>
            </w:pPr>
          </w:p>
        </w:tc>
        <w:tc>
          <w:tcPr>
            <w:tcW w:w="735" w:type="dxa"/>
            <w:hMerge w:val="continue"/>
            <w:tcMar>
              <w:top w:type="dxa" w:w="60"/>
              <w:left w:type="dxa" w:w="120"/>
              <w:bottom w:type="dxa" w:w="30"/>
              <w:right w:type="dxa" w:w="120"/>
            </w:tcMar>
          </w:tcPr>
          <w:p>
            <w:pPr>
              <w:spacing w:before="120" w:after="120" w:line="288" w:lineRule="auto"/>
              <w:ind w:left="0"/>
              <w:jc w:val="left"/>
            </w:pPr>
          </w:p>
        </w:tc>
        <w:tc>
          <w:tcPr>
            <w:tcW w:w="735" w:type="dxa"/>
            <w:hMerge w:val="continue"/>
            <w:tcMar>
              <w:top w:type="dxa" w:w="60"/>
              <w:left w:type="dxa" w:w="120"/>
              <w:bottom w:type="dxa" w:w="30"/>
              <w:right w:type="dxa" w:w="120"/>
            </w:tcMar>
          </w:tcPr>
          <w:p>
            <w:pPr>
              <w:spacing w:before="120" w:after="120" w:line="288" w:lineRule="auto"/>
              <w:ind w:left="0"/>
              <w:jc w:val="left"/>
            </w:pPr>
          </w:p>
        </w:tc>
        <w:tc>
          <w:tcPr>
            <w:tcW w:w="37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资金流</w:t>
            </w:r>
          </w:p>
        </w:tc>
        <w:tc>
          <w:tcPr>
            <w:tcW w:w="810" w:type="dxa"/>
            <w:hMerge w:val="continue"/>
            <w:tcMar>
              <w:top w:type="dxa" w:w="60"/>
              <w:left w:type="dxa" w:w="120"/>
              <w:bottom w:type="dxa" w:w="30"/>
              <w:right w:type="dxa" w:w="120"/>
            </w:tcMar>
          </w:tcPr>
          <w:p>
            <w:pPr>
              <w:spacing w:before="120" w:after="120" w:line="288" w:lineRule="auto"/>
              <w:ind w:left="0"/>
              <w:jc w:val="left"/>
            </w:pPr>
          </w:p>
        </w:tc>
        <w:tc>
          <w:tcPr>
            <w:tcW w:w="1860" w:type="dxa"/>
            <w:hMerge w:val="continue"/>
            <w:tcMar>
              <w:top w:type="dxa" w:w="60"/>
              <w:left w:type="dxa" w:w="120"/>
              <w:bottom w:type="dxa" w:w="30"/>
              <w:right w:type="dxa" w:w="120"/>
            </w:tcMar>
          </w:tcPr>
          <w:p>
            <w:pPr>
              <w:spacing w:before="120" w:after="120" w:line="288" w:lineRule="auto"/>
              <w:ind w:left="0"/>
              <w:jc w:val="left"/>
            </w:pPr>
          </w:p>
        </w:tc>
        <w:tc>
          <w:tcPr>
            <w:tcW w:w="585" w:type="dxa"/>
            <w:hMerge w:val="continue"/>
            <w:tcMar>
              <w:top w:type="dxa" w:w="60"/>
              <w:left w:type="dxa" w:w="120"/>
              <w:bottom w:type="dxa" w:w="30"/>
              <w:right w:type="dxa" w:w="120"/>
            </w:tcMar>
          </w:tcPr>
          <w:p>
            <w:pPr>
              <w:spacing w:before="120" w:after="120" w:line="288" w:lineRule="auto"/>
              <w:ind w:left="0"/>
              <w:jc w:val="left"/>
            </w:pPr>
          </w:p>
        </w:tc>
      </w:tr>
      <w:tr>
        <w:tc>
          <w:tcPr>
            <w:tcW w:w="145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步骤</w:t>
            </w:r>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Merchant</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Shoplazza Payment</w:t>
            </w:r>
          </w:p>
        </w:tc>
        <w:tc>
          <w:tcPr>
            <w:tcW w:w="14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SolaPex</w:t>
            </w:r>
          </w:p>
        </w:tc>
        <w:tc>
          <w:tcPr>
            <w:tcW w:w="735" w:type="dxa"/>
            <w:hMerge w:val="continue"/>
            <w:tcMar>
              <w:top w:type="dxa" w:w="60"/>
              <w:left w:type="dxa" w:w="120"/>
              <w:bottom w:type="dxa" w:w="30"/>
              <w:right w:type="dxa" w:w="120"/>
            </w:tcMar>
          </w:tcPr>
          <w:p>
            <w:pPr>
              <w:spacing w:before="120" w:after="120" w:line="288" w:lineRule="auto"/>
              <w:ind w:left="0"/>
              <w:jc w:val="center"/>
            </w:pP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Consumer</w:t>
            </w:r>
          </w:p>
        </w:tc>
        <w:tc>
          <w:tcPr>
            <w:tcW w:w="325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cobo</w:t>
            </w:r>
          </w:p>
        </w:tc>
        <w:tc>
          <w:tcPr>
            <w:tcW w:w="1860" w:type="dxa"/>
            <w:hMerge w:val="continue"/>
            <w:tcMar>
              <w:top w:type="dxa" w:w="60"/>
              <w:left w:type="dxa" w:w="120"/>
              <w:bottom w:type="dxa" w:w="30"/>
              <w:right w:type="dxa" w:w="120"/>
            </w:tcMar>
          </w:tcPr>
          <w:p>
            <w:pPr>
              <w:spacing w:before="120" w:after="120" w:line="288" w:lineRule="auto"/>
              <w:ind w:left="0"/>
              <w:jc w:val="center"/>
            </w:pPr>
          </w:p>
        </w:tc>
        <w:tc>
          <w:tcPr>
            <w:tcW w:w="585" w:type="dxa"/>
            <w:hMerge w:val="continue"/>
            <w:tcMar>
              <w:top w:type="dxa" w:w="60"/>
              <w:left w:type="dxa" w:w="120"/>
              <w:bottom w:type="dxa" w:w="30"/>
              <w:right w:type="dxa" w:w="120"/>
            </w:tcMar>
          </w:tcPr>
          <w:p>
            <w:pPr>
              <w:spacing w:before="120" w:after="120" w:line="288" w:lineRule="auto"/>
              <w:ind w:left="0"/>
              <w:jc w:val="center"/>
            </w:pPr>
          </w:p>
        </w:tc>
      </w:tr>
      <w:tr>
        <w:tc>
          <w:tcPr>
            <w:tcW w:w="1455" w:type="dxa"/>
            <w:vMerge w:val="continue"/>
            <w:tcMar>
              <w:top w:type="dxa" w:w="60"/>
              <w:left w:type="dxa" w:w="120"/>
              <w:bottom w:type="dxa" w:w="30"/>
              <w:right w:type="dxa" w:w="120"/>
            </w:tcMar>
          </w:tcPr>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基本户</w:t>
            </w:r>
          </w:p>
          <w:p>
            <w:pPr>
              <w:spacing w:before="120" w:after="120" w:line="288" w:lineRule="auto"/>
              <w:ind w:left="0"/>
              <w:jc w:val="left"/>
            </w:pPr>
            <w:r>
              <w:rPr>
                <w:rFonts w:eastAsia="等线" w:ascii="Arial" w:cs="Arial" w:hAnsi="Arial"/>
                <w:sz w:val="22"/>
              </w:rPr>
              <w:t>USDC</w:t>
            </w:r>
          </w:p>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基本户</w:t>
            </w:r>
          </w:p>
          <w:p>
            <w:pPr>
              <w:spacing w:before="120" w:after="120" w:line="288" w:lineRule="auto"/>
              <w:ind w:left="0"/>
              <w:jc w:val="left"/>
            </w:pPr>
            <w:r>
              <w:rPr>
                <w:rFonts w:eastAsia="等线" w:ascii="Arial" w:cs="Arial" w:hAnsi="Arial"/>
                <w:sz w:val="22"/>
              </w:rPr>
              <w:t>USDC</w:t>
            </w:r>
          </w:p>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平台收益账户</w:t>
            </w:r>
          </w:p>
          <w:p>
            <w:pPr>
              <w:spacing w:before="120" w:after="120" w:line="288" w:lineRule="auto"/>
              <w:ind w:left="0"/>
              <w:jc w:val="left"/>
            </w:pPr>
            <w:r>
              <w:rPr>
                <w:rFonts w:eastAsia="等线" w:ascii="Arial" w:cs="Arial" w:hAnsi="Arial"/>
                <w:sz w:val="22"/>
              </w:rPr>
              <w:t>USDC</w:t>
            </w:r>
          </w:p>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通道可用账户</w:t>
            </w:r>
          </w:p>
          <w:p>
            <w:pPr>
              <w:spacing w:before="120" w:after="120" w:line="288" w:lineRule="auto"/>
              <w:ind w:left="0"/>
              <w:jc w:val="left"/>
            </w:pPr>
            <w:r>
              <w:rPr>
                <w:rFonts w:eastAsia="等线" w:ascii="Arial" w:cs="Arial" w:hAnsi="Arial"/>
                <w:sz w:val="22"/>
              </w:rPr>
              <w:t>USDC</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web3 wallet</w:t>
            </w:r>
          </w:p>
          <w:p>
            <w:pPr>
              <w:spacing w:before="120" w:after="120" w:line="288" w:lineRule="auto"/>
              <w:ind w:left="0"/>
              <w:jc w:val="left"/>
            </w:pPr>
            <w:r>
              <w:rPr>
                <w:rFonts w:eastAsia="等线" w:ascii="Arial" w:cs="Arial" w:hAnsi="Arial"/>
                <w:sz w:val="22"/>
              </w:rPr>
              <w:t>USDC</w:t>
            </w:r>
          </w:p>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deposit address</w:t>
            </w:r>
          </w:p>
          <w:p>
            <w:pPr>
              <w:spacing w:before="120" w:after="120" w:line="288" w:lineRule="auto"/>
              <w:ind w:left="0"/>
              <w:jc w:val="left"/>
            </w:pPr>
            <w:r>
              <w:rPr>
                <w:rFonts w:eastAsia="等线" w:ascii="Arial" w:cs="Arial" w:hAnsi="Arial"/>
                <w:sz w:val="22"/>
              </w:rPr>
              <w:t>USDC</w:t>
            </w:r>
          </w:p>
          <w:p>
            <w:pPr>
              <w:spacing w:before="120" w:after="120" w:line="288" w:lineRule="auto"/>
              <w:ind w:left="0"/>
              <w:jc w:val="left"/>
            </w:pP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Consolidation Address</w:t>
            </w:r>
          </w:p>
          <w:p>
            <w:pPr>
              <w:spacing w:before="120" w:after="120" w:line="288" w:lineRule="auto"/>
              <w:ind w:left="0"/>
              <w:jc w:val="left"/>
            </w:pPr>
            <w:r>
              <w:rPr>
                <w:rFonts w:eastAsia="等线" w:ascii="Arial" w:cs="Arial" w:hAnsi="Arial"/>
                <w:sz w:val="22"/>
              </w:rPr>
              <w:t>USDC</w:t>
            </w:r>
          </w:p>
          <w:p>
            <w:pPr>
              <w:numPr>
                <w:numId w:val="147"/>
              </w:numPr>
              <w:spacing w:before="120" w:after="120" w:line="288" w:lineRule="auto"/>
              <w:ind w:left="0"/>
              <w:jc w:val="left"/>
            </w:pPr>
            <w:r>
              <w:rPr>
                <w:rFonts w:eastAsia="等线" w:ascii="Arial" w:cs="Arial" w:hAnsi="Arial"/>
                <w:sz w:val="22"/>
              </w:rPr>
              <w:t>Merchant （Merchant Balance）</w:t>
            </w:r>
          </w:p>
          <w:p>
            <w:pPr>
              <w:numPr>
                <w:numId w:val="148"/>
              </w:numPr>
              <w:spacing w:before="120" w:after="120" w:line="288" w:lineRule="auto"/>
              <w:ind w:left="0"/>
              <w:jc w:val="left"/>
            </w:pPr>
            <w:r>
              <w:rPr>
                <w:rFonts w:eastAsia="等线" w:ascii="Arial" w:cs="Arial" w:hAnsi="Arial"/>
                <w:sz w:val="22"/>
              </w:rPr>
              <w:t>PSP （Developer Balance）</w:t>
            </w:r>
          </w:p>
          <w:p>
            <w:pPr>
              <w:spacing w:before="120" w:after="120" w:line="288" w:lineRule="auto"/>
              <w:ind w:left="0"/>
              <w:jc w:val="left"/>
            </w:pPr>
            <w:r>
              <w:rPr>
                <w:rFonts w:eastAsia="等线" w:ascii="Arial" w:cs="Arial" w:hAnsi="Arial"/>
                <w:sz w:val="22"/>
              </w:rPr>
              <w:t>这个地址集的实收金额= Merchant+PSP2 个名义账户</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 station</w:t>
            </w:r>
          </w:p>
          <w:p>
            <w:pPr>
              <w:spacing w:before="120" w:after="120" w:line="288" w:lineRule="auto"/>
              <w:ind w:left="0"/>
              <w:jc w:val="left"/>
            </w:pPr>
            <w:r>
              <w:rPr>
                <w:rFonts w:eastAsia="等线" w:ascii="Arial" w:cs="Arial" w:hAnsi="Arial"/>
                <w:sz w:val="22"/>
              </w:rPr>
              <w:t>USDC</w:t>
            </w:r>
          </w:p>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1.用户付款</w:t>
            </w:r>
          </w:p>
        </w:tc>
        <w:tc>
          <w:tcPr>
            <w:tcW w:w="525" w:type="dxa"/>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p>
            <w:pPr>
              <w:spacing w:before="120" w:after="120" w:line="288" w:lineRule="auto"/>
              <w:ind w:left="0"/>
              <w:jc w:val="left"/>
            </w:pPr>
            <w:r>
              <w:rPr>
                <w:rFonts w:eastAsia="等线" w:ascii="Arial" w:cs="Arial" w:hAnsi="Arial"/>
                <w:sz w:val="22"/>
              </w:rPr>
              <w:t>用户主动向收款地址转账</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p>
            <w:pPr>
              <w:spacing w:before="120" w:after="120" w:line="288" w:lineRule="auto"/>
              <w:ind w:left="0"/>
              <w:jc w:val="left"/>
            </w:pPr>
            <w:r>
              <w:rPr>
                <w:rFonts w:eastAsia="等线" w:ascii="Arial" w:cs="Arial" w:hAnsi="Arial"/>
                <w:sz w:val="22"/>
              </w:rPr>
              <w:t>收款地址中资金到账</w:t>
            </w:r>
          </w:p>
        </w:tc>
        <w:tc>
          <w:tcPr>
            <w:tcW w:w="1860"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-webhook/Transaction 付款完成</w:t>
            </w:r>
          </w:p>
          <w:p>
            <w:pPr>
              <w:spacing w:before="120" w:after="120" w:line="288" w:lineRule="auto"/>
              <w:ind w:left="0"/>
              <w:jc w:val="left"/>
            </w:pPr>
            <w:r>
              <w:rPr>
                <w:rFonts w:eastAsia="等线" w:ascii="Arial" w:cs="Arial" w:hAnsi="Arial"/>
                <w:b w:val="true"/>
                <w:sz w:val="22"/>
              </w:rPr>
              <w:t xml:space="preserve">支付单维度 </w:t>
            </w:r>
          </w:p>
        </w:tc>
        <w:tc>
          <w:tcPr>
            <w:tcW w:w="525" w:type="dxa"/>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cobo 通道+100</w:t>
            </w:r>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1860"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Cobo自动归集结算</w:t>
            </w:r>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p>
            <w:pPr>
              <w:spacing w:before="120" w:after="120" w:line="288" w:lineRule="auto"/>
              <w:ind w:left="0"/>
              <w:jc w:val="left"/>
            </w:pPr>
            <w:r>
              <w:rPr>
                <w:rFonts w:eastAsia="等线" w:ascii="Arial" w:cs="Arial" w:hAnsi="Arial"/>
                <w:sz w:val="22"/>
              </w:rPr>
              <w:t xml:space="preserve"> </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Merchant +100</w:t>
            </w:r>
          </w:p>
          <w:p>
            <w:pPr>
              <w:spacing w:before="120" w:after="120" w:line="288" w:lineRule="auto"/>
              <w:ind w:left="0"/>
              <w:jc w:val="left"/>
            </w:pPr>
            <w:r>
              <w:rPr>
                <w:rFonts w:eastAsia="等线" w:ascii="Arial" w:cs="Arial" w:hAnsi="Arial"/>
                <w:sz w:val="22"/>
              </w:rPr>
              <w:t>cobo从收款地址合并资金到归集地址</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p>
            <w:pPr>
              <w:spacing w:before="120" w:after="120" w:line="288" w:lineRule="auto"/>
              <w:ind w:left="0"/>
              <w:jc w:val="left"/>
            </w:pPr>
            <w:r>
              <w:rPr>
                <w:rFonts w:eastAsia="等线" w:ascii="Arial" w:cs="Arial" w:hAnsi="Arial"/>
                <w:sz w:val="22"/>
              </w:rPr>
              <w:t>同时扣手续费</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2.SolaPex 结算完成后给ShoplazzaPayment结算上账</w:t>
            </w:r>
          </w:p>
        </w:tc>
        <w:tc>
          <w:tcPr>
            <w:tcW w:w="525" w:type="dxa"/>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+98</w:t>
            </w:r>
          </w:p>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+2</w:t>
            </w:r>
          </w:p>
          <w:p>
            <w:pPr>
              <w:spacing w:before="120" w:after="120" w:line="288" w:lineRule="auto"/>
              <w:ind w:left="0"/>
              <w:jc w:val="left"/>
            </w:pPr>
            <w:r>
              <w:rPr>
                <w:rFonts w:eastAsia="等线" w:ascii="Arial" w:cs="Arial" w:hAnsi="Arial"/>
                <w:sz w:val="22"/>
              </w:rPr>
              <w:t>月结时扣除</w:t>
            </w:r>
          </w:p>
        </w:tc>
        <w:tc>
          <w:tcPr>
            <w:tcW w:w="735" w:type="dxa"/>
            <w:tcMar>
              <w:top w:type="dxa" w:w="60"/>
              <w:left w:type="dxa" w:w="120"/>
              <w:bottom w:type="dxa" w:w="30"/>
              <w:right w:type="dxa" w:w="120"/>
            </w:tcMar>
          </w:tcPr>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1860"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3.Shoplazza Payment 资金调拨，实现商户结算</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+97</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-97</w:t>
            </w:r>
          </w:p>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1860"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 xml:space="preserve"> 最终结果</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商户到账 97</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 xml:space="preserve"> ShoplazzaPayment盈利 1</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SolaPex 不盈利</w:t>
            </w:r>
          </w:p>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消费者支出 100</w:t>
            </w:r>
          </w:p>
        </w:tc>
        <w:tc>
          <w:tcPr>
            <w:tcW w:w="325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Cobo 盈利 2</w:t>
            </w:r>
          </w:p>
        </w:tc>
        <w:tc>
          <w:tcPr>
            <w:tcW w:w="1860" w:type="dxa"/>
            <w:hMerge w:val="continue"/>
            <w:tcMar>
              <w:top w:type="dxa" w:w="60"/>
              <w:left w:type="dxa" w:w="120"/>
              <w:bottom w:type="dxa" w:w="30"/>
              <w:right w:type="dxa" w:w="120"/>
            </w:tcMar>
          </w:tcPr>
          <w:p>
            <w:pPr>
              <w:spacing w:before="120" w:after="120" w:line="288" w:lineRule="auto"/>
              <w:ind w:left="0"/>
              <w:jc w:val="left"/>
            </w:pPr>
          </w:p>
        </w:tc>
        <w:tc>
          <w:tcPr>
            <w:tcW w:w="585" w:type="dxa"/>
            <w:hMerge w:val="continue"/>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26" w:id="26"/>
      <w:r>
        <w:rPr>
          <w:rFonts w:eastAsia="等线" w:ascii="Arial" w:cs="Arial" w:hAnsi="Arial"/>
          <w:color w:val="3370ff"/>
          <w:sz w:val="30"/>
        </w:rPr>
        <w:t xml:space="preserve">3.2.2 </w:t>
      </w:r>
      <w:r>
        <w:rPr>
          <w:rFonts w:eastAsia="等线" w:ascii="Arial" w:cs="Arial" w:hAnsi="Arial"/>
          <w:b w:val="true"/>
          <w:sz w:val="30"/>
        </w:rPr>
        <w:t>少付订单</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5"/>
        <w:gridCol w:w="720"/>
        <w:gridCol w:w="4470"/>
        <w:gridCol w:w="2265"/>
      </w:tblGrid>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订单生命周期</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w:t>
            </w:r>
          </w:p>
        </w:tc>
        <w:tc>
          <w:tcPr>
            <w:tcW w:w="4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需求详情</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订单过期前</w:t>
            </w:r>
          </w:p>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少付</w:t>
            </w:r>
          </w:p>
          <w:p>
            <w:pPr>
              <w:spacing w:before="120" w:after="120" w:line="288" w:lineRule="auto"/>
              <w:ind w:left="0"/>
              <w:jc w:val="left"/>
            </w:pPr>
          </w:p>
        </w:tc>
        <w:tc>
          <w:tcPr>
            <w:tcW w:w="4470" w:type="dxa"/>
            <w:tcMar>
              <w:top w:type="dxa" w:w="60"/>
              <w:left w:type="dxa" w:w="120"/>
              <w:bottom w:type="dxa" w:w="30"/>
              <w:right w:type="dxa" w:w="120"/>
            </w:tcMar>
          </w:tcPr>
          <w:p>
            <w:pPr>
              <w:numPr>
                <w:numId w:val="149"/>
              </w:numPr>
              <w:spacing w:before="120" w:after="120" w:line="288" w:lineRule="auto"/>
              <w:ind w:left="0"/>
              <w:jc w:val="left"/>
            </w:pPr>
            <w:r>
              <w:rPr>
                <w:rFonts w:eastAsia="等线" w:ascii="Arial" w:cs="Arial" w:hAnsi="Arial"/>
                <w:b w:val="true"/>
                <w:sz w:val="22"/>
              </w:rPr>
              <w:t>状态：</w:t>
            </w:r>
            <w:r>
              <w:rPr>
                <w:rFonts w:eastAsia="等线" w:ascii="Arial" w:cs="Arial" w:hAnsi="Arial"/>
                <w:sz w:val="22"/>
              </w:rPr>
              <w:t xml:space="preserve">根据渠道的异步通知判定underpaid </w:t>
            </w:r>
          </w:p>
          <w:p>
            <w:pPr>
              <w:numPr>
                <w:numId w:val="150"/>
              </w:numPr>
              <w:spacing w:before="120" w:after="120" w:line="288" w:lineRule="auto"/>
              <w:ind w:left="0"/>
              <w:jc w:val="left"/>
            </w:pPr>
            <w:r>
              <w:rPr>
                <w:rFonts w:eastAsia="等线" w:ascii="Arial" w:cs="Arial" w:hAnsi="Arial"/>
                <w:b w:val="true"/>
                <w:sz w:val="22"/>
              </w:rPr>
              <w:t>金额处理：</w:t>
            </w:r>
          </w:p>
          <w:p>
            <w:pPr>
              <w:numPr>
                <w:numId w:val="151"/>
              </w:numPr>
              <w:spacing w:before="120" w:after="120" w:line="288" w:lineRule="auto"/>
              <w:ind w:left="453"/>
              <w:jc w:val="left"/>
            </w:pPr>
            <w:r>
              <w:rPr>
                <w:rFonts w:eastAsia="等线" w:ascii="Arial" w:cs="Arial" w:hAnsi="Arial"/>
                <w:sz w:val="22"/>
              </w:rPr>
              <w:t>订单增设actual amount 字段，用于记录实际付款金额</w:t>
            </w:r>
          </w:p>
          <w:p>
            <w:pPr>
              <w:numPr>
                <w:numId w:val="152"/>
              </w:numPr>
              <w:spacing w:before="120" w:after="120" w:line="288" w:lineRule="auto"/>
              <w:ind w:left="453"/>
              <w:jc w:val="left"/>
            </w:pPr>
            <w:r>
              <w:rPr>
                <w:rFonts w:eastAsia="等线" w:ascii="Arial" w:cs="Arial" w:hAnsi="Arial"/>
                <w:sz w:val="22"/>
              </w:rPr>
              <w:t>按实付金额结算</w:t>
            </w:r>
          </w:p>
          <w:p>
            <w:pPr>
              <w:numPr>
                <w:numId w:val="153"/>
              </w:numPr>
              <w:spacing w:before="120" w:after="120" w:line="288" w:lineRule="auto"/>
              <w:ind w:left="0"/>
              <w:jc w:val="left"/>
            </w:pPr>
            <w:r>
              <w:rPr>
                <w:rFonts w:eastAsia="等线" w:ascii="Arial" w:cs="Arial" w:hAnsi="Arial"/>
                <w:b w:val="true"/>
                <w:sz w:val="22"/>
              </w:rPr>
              <w:t>计算手续费基准</w:t>
            </w:r>
            <w:r>
              <w:rPr>
                <w:rFonts w:eastAsia="等线" w:ascii="Arial" w:cs="Arial" w:hAnsi="Arial"/>
                <w:sz w:val="22"/>
              </w:rPr>
              <w:t>：以实收金额收取手续费</w:t>
            </w:r>
          </w:p>
          <w:p>
            <w:pPr>
              <w:numPr>
                <w:numId w:val="154"/>
              </w:numPr>
              <w:spacing w:before="120" w:after="120" w:line="288" w:lineRule="auto"/>
              <w:ind w:left="0"/>
              <w:jc w:val="left"/>
            </w:pPr>
            <w:r>
              <w:rPr>
                <w:rFonts w:eastAsia="等线" w:ascii="Arial" w:cs="Arial" w:hAnsi="Arial"/>
                <w:b w:val="true"/>
                <w:sz w:val="22"/>
              </w:rPr>
              <w:t>订单处理</w:t>
            </w:r>
          </w:p>
          <w:p>
            <w:pPr>
              <w:numPr>
                <w:numId w:val="155"/>
              </w:numPr>
              <w:spacing w:before="120" w:after="120" w:line="288" w:lineRule="auto"/>
              <w:ind w:left="453"/>
              <w:jc w:val="left"/>
            </w:pPr>
            <w:r>
              <w:rPr>
                <w:rFonts w:eastAsia="等线" w:ascii="Arial" w:cs="Arial" w:hAnsi="Arial"/>
                <w:sz w:val="22"/>
              </w:rPr>
              <w:t>商户可联系用户继续付款以完成订单</w:t>
            </w:r>
          </w:p>
          <w:p>
            <w:pPr>
              <w:numPr>
                <w:numId w:val="156"/>
              </w:numPr>
              <w:spacing w:before="120" w:after="120" w:line="288" w:lineRule="auto"/>
              <w:ind w:left="453"/>
              <w:jc w:val="left"/>
            </w:pPr>
            <w:r>
              <w:rPr>
                <w:rFonts w:eastAsia="等线" w:ascii="Arial" w:cs="Arial" w:hAnsi="Arial"/>
                <w:sz w:val="22"/>
              </w:rPr>
              <w:t>对订单发起退款（选择订单退款）</w:t>
            </w:r>
          </w:p>
          <w:p>
            <w:pPr>
              <w:spacing w:before="120" w:after="120" w:line="288" w:lineRule="auto"/>
              <w:ind w:left="0"/>
              <w:jc w:val="left"/>
            </w:pPr>
          </w:p>
        </w:tc>
        <w:tc>
          <w:tcPr>
            <w:tcW w:w="22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退款的关联设计</w:t>
            </w:r>
          </w:p>
          <w:p>
            <w:pPr>
              <w:numPr>
                <w:numId w:val="157"/>
              </w:numPr>
              <w:spacing w:before="120" w:after="120" w:line="288" w:lineRule="auto"/>
              <w:ind w:left="0"/>
              <w:jc w:val="left"/>
            </w:pPr>
            <w:r>
              <w:rPr>
                <w:rFonts w:eastAsia="等线" w:ascii="Arial" w:cs="Arial" w:hAnsi="Arial"/>
                <w:sz w:val="22"/>
              </w:rPr>
              <w:t>退款需要明确资金来源，默认为基本户，可指定多付中间户</w:t>
            </w:r>
          </w:p>
          <w:p>
            <w:pPr>
              <w:spacing w:before="120" w:after="120" w:line="288" w:lineRule="auto"/>
              <w:ind w:left="0"/>
              <w:jc w:val="left"/>
            </w:pPr>
            <w:r>
              <w:rPr>
                <w:rFonts w:eastAsia="等线" w:ascii="Arial" w:cs="Arial" w:hAnsi="Arial"/>
                <w:sz w:val="22"/>
              </w:rPr>
              <w:t>业务方无需感知，通过传参退款类型我方处理。</w:t>
            </w:r>
          </w:p>
          <w:p>
            <w:pPr>
              <w:spacing w:before="120" w:after="120" w:line="288" w:lineRule="auto"/>
              <w:ind w:left="0"/>
              <w:jc w:val="left"/>
            </w:pPr>
            <w:r>
              <w:rPr>
                <w:rFonts w:eastAsia="等线" w:ascii="Arial" w:cs="Arial" w:hAnsi="Arial"/>
                <w:b w:val="true"/>
                <w:sz w:val="22"/>
              </w:rPr>
              <w:t>订单退款</w:t>
            </w:r>
            <w:r>
              <w:rPr>
                <w:rFonts w:eastAsia="等线" w:ascii="Arial" w:cs="Arial" w:hAnsi="Arial"/>
                <w:sz w:val="22"/>
              </w:rPr>
              <w:t>：默认选项，从基本户出金</w:t>
            </w:r>
          </w:p>
          <w:p>
            <w:pPr>
              <w:spacing w:before="120" w:after="120" w:line="288" w:lineRule="auto"/>
              <w:ind w:left="0"/>
              <w:jc w:val="left"/>
            </w:pPr>
            <w:r>
              <w:rPr>
                <w:rFonts w:eastAsia="等线" w:ascii="Arial" w:cs="Arial" w:hAnsi="Arial"/>
                <w:b w:val="true"/>
                <w:sz w:val="22"/>
              </w:rPr>
              <w:t>多付退款：</w:t>
            </w:r>
            <w:r>
              <w:rPr>
                <w:rFonts w:eastAsia="等线" w:ascii="Arial" w:cs="Arial" w:hAnsi="Arial"/>
                <w:sz w:val="22"/>
              </w:rPr>
              <w:t>从平台中间户出</w:t>
            </w:r>
          </w:p>
          <w:p>
            <w:pPr>
              <w:spacing w:before="120" w:after="120" w:line="288" w:lineRule="auto"/>
              <w:ind w:left="0"/>
              <w:jc w:val="left"/>
            </w:pPr>
            <w:r>
              <w:rPr>
                <w:rFonts w:eastAsia="等线" w:ascii="Arial" w:cs="Arial" w:hAnsi="Arial"/>
                <w:b w:val="true"/>
                <w:sz w:val="22"/>
              </w:rPr>
              <w:t>挂账资金认领后，会生成一笔新的订单，可基于新的订单发起订单退款。</w:t>
            </w:r>
          </w:p>
          <w:p>
            <w:pPr>
              <w:spacing w:before="120" w:after="120" w:line="288" w:lineRule="auto"/>
              <w:ind w:left="0"/>
              <w:jc w:val="left"/>
            </w:pPr>
          </w:p>
        </w:tc>
      </w:tr>
      <w:tr>
        <w:tc>
          <w:tcPr>
            <w:tcW w:w="825"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p>
        </w:tc>
        <w:tc>
          <w:tcPr>
            <w:tcW w:w="4470" w:type="dxa"/>
            <w:tcMar>
              <w:top w:type="dxa" w:w="60"/>
              <w:left w:type="dxa" w:w="120"/>
              <w:bottom w:type="dxa" w:w="30"/>
              <w:right w:type="dxa" w:w="120"/>
            </w:tcMar>
          </w:tcPr>
          <w:p>
            <w:pPr>
              <w:spacing w:before="120" w:after="120" w:line="288" w:lineRule="auto"/>
              <w:ind w:left="0"/>
              <w:jc w:val="left"/>
            </w:pPr>
          </w:p>
        </w:tc>
        <w:tc>
          <w:tcPr>
            <w:tcW w:w="2265" w:type="dxa"/>
            <w:vMerge w:val="continue"/>
            <w:tcMar>
              <w:top w:type="dxa" w:w="60"/>
              <w:left w:type="dxa" w:w="120"/>
              <w:bottom w:type="dxa" w:w="30"/>
              <w:right w:type="dxa" w:w="120"/>
            </w:tcMar>
          </w:tcPr>
          <w:p>
            <w:pPr>
              <w:spacing w:before="120" w:after="120" w:line="288" w:lineRule="auto"/>
              <w:ind w:left="0"/>
              <w:jc w:val="left"/>
            </w:pPr>
          </w:p>
        </w:tc>
      </w:tr>
    </w:tbl>
    <w:p>
      <w:pPr>
        <w:numPr>
          <w:numId w:val="158"/>
        </w:numPr>
        <w:spacing w:before="120" w:after="120" w:line="288" w:lineRule="auto"/>
        <w:ind w:left="0"/>
        <w:jc w:val="left"/>
      </w:pPr>
      <w:r>
        <w:rPr>
          <w:rFonts w:eastAsia="等线" w:ascii="Arial" w:cs="Arial" w:hAnsi="Arial"/>
          <w:b w:val="true"/>
          <w:sz w:val="22"/>
        </w:rPr>
        <w:t>资金流</w:t>
      </w:r>
    </w:p>
    <w:p>
      <w:pPr>
        <w:spacing w:before="120" w:after="120" w:line="288" w:lineRule="auto"/>
        <w:ind w:left="0"/>
        <w:jc w:val="left"/>
      </w:pPr>
      <w:r>
        <w:rPr>
          <w:rFonts w:eastAsia="等线" w:ascii="Arial" w:cs="Arial" w:hAnsi="Arial"/>
          <w:sz w:val="22"/>
        </w:rPr>
        <w:t>举例 100USD 下单， 用户使用 USDC 付款，假设汇率 1:1，cobo 收 SolaPex手续费 2%，SolaPex收 ShoplazzaPayment手续费2%，ShoplazzaPayment 收商户手续费 3%</w:t>
      </w:r>
    </w:p>
    <w:p>
      <w:pPr>
        <w:spacing w:before="120" w:after="120" w:line="288" w:lineRule="auto"/>
        <w:ind w:left="0"/>
        <w:jc w:val="left"/>
      </w:pPr>
      <w:r>
        <w:rPr>
          <w:rFonts w:eastAsia="等线" w:ascii="Arial" w:cs="Arial" w:hAnsi="Arial"/>
          <w:sz w:val="22"/>
        </w:rPr>
        <w:t>场景 2：订单有效期内少付，后续无继续付款动作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45"/>
        <w:gridCol w:w="630"/>
        <w:gridCol w:w="990"/>
        <w:gridCol w:w="660"/>
        <w:gridCol w:w="690"/>
        <w:gridCol w:w="480"/>
        <w:gridCol w:w="660"/>
        <w:gridCol w:w="2145"/>
        <w:gridCol w:w="480"/>
      </w:tblGrid>
      <w:tr>
        <w:tc>
          <w:tcPr>
            <w:tcW w:w="1545" w:type="dxa"/>
            <w:tcMar>
              <w:top w:type="dxa" w:w="60"/>
              <w:left w:type="dxa" w:w="120"/>
              <w:bottom w:type="dxa" w:w="30"/>
              <w:right w:type="dxa" w:w="120"/>
            </w:tcMar>
          </w:tcPr>
          <w:p>
            <w:pPr>
              <w:spacing w:before="120" w:after="120" w:line="288" w:lineRule="auto"/>
              <w:ind w:left="0"/>
              <w:jc w:val="left"/>
            </w:pPr>
          </w:p>
        </w:tc>
        <w:tc>
          <w:tcPr>
            <w:tcW w:w="29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内部记账</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660" w:type="dxa"/>
            <w:hMerge w:val="continue"/>
            <w:tcMar>
              <w:top w:type="dxa" w:w="60"/>
              <w:left w:type="dxa" w:w="120"/>
              <w:bottom w:type="dxa" w:w="30"/>
              <w:right w:type="dxa" w:w="120"/>
            </w:tcMar>
          </w:tcPr>
          <w:p>
            <w:pPr>
              <w:spacing w:before="120" w:after="120" w:line="288" w:lineRule="auto"/>
              <w:ind w:left="0"/>
              <w:jc w:val="left"/>
            </w:pPr>
          </w:p>
        </w:tc>
        <w:tc>
          <w:tcPr>
            <w:tcW w:w="690" w:type="dxa"/>
            <w:hMerge w:val="continue"/>
            <w:tcMar>
              <w:top w:type="dxa" w:w="60"/>
              <w:left w:type="dxa" w:w="120"/>
              <w:bottom w:type="dxa" w:w="30"/>
              <w:right w:type="dxa" w:w="120"/>
            </w:tcMar>
          </w:tcPr>
          <w:p>
            <w:pPr>
              <w:spacing w:before="120" w:after="120" w:line="288" w:lineRule="auto"/>
              <w:ind w:left="0"/>
              <w:jc w:val="left"/>
            </w:pPr>
          </w:p>
        </w:tc>
        <w:tc>
          <w:tcPr>
            <w:tcW w:w="37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资金流</w:t>
            </w:r>
          </w:p>
        </w:tc>
        <w:tc>
          <w:tcPr>
            <w:tcW w:w="660" w:type="dxa"/>
            <w:hMerge w:val="continue"/>
            <w:tcMar>
              <w:top w:type="dxa" w:w="60"/>
              <w:left w:type="dxa" w:w="120"/>
              <w:bottom w:type="dxa" w:w="30"/>
              <w:right w:type="dxa" w:w="120"/>
            </w:tcMar>
          </w:tcPr>
          <w:p>
            <w:pPr>
              <w:spacing w:before="120" w:after="120" w:line="288" w:lineRule="auto"/>
              <w:ind w:left="0"/>
              <w:jc w:val="left"/>
            </w:pPr>
          </w:p>
        </w:tc>
        <w:tc>
          <w:tcPr>
            <w:tcW w:w="2145" w:type="dxa"/>
            <w:hMerge w:val="continue"/>
            <w:tcMar>
              <w:top w:type="dxa" w:w="60"/>
              <w:left w:type="dxa" w:w="120"/>
              <w:bottom w:type="dxa" w:w="30"/>
              <w:right w:type="dxa" w:w="120"/>
            </w:tcMar>
          </w:tcPr>
          <w:p>
            <w:pPr>
              <w:spacing w:before="120" w:after="120" w:line="288" w:lineRule="auto"/>
              <w:ind w:left="0"/>
              <w:jc w:val="left"/>
            </w:pPr>
          </w:p>
        </w:tc>
        <w:tc>
          <w:tcPr>
            <w:tcW w:w="480" w:type="dxa"/>
            <w:hMerge w:val="continue"/>
            <w:tcMar>
              <w:top w:type="dxa" w:w="60"/>
              <w:left w:type="dxa" w:w="120"/>
              <w:bottom w:type="dxa" w:w="30"/>
              <w:right w:type="dxa" w:w="120"/>
            </w:tcMar>
          </w:tcPr>
          <w:p>
            <w:pPr>
              <w:spacing w:before="120" w:after="120" w:line="288" w:lineRule="auto"/>
              <w:ind w:left="0"/>
              <w:jc w:val="left"/>
            </w:pPr>
          </w:p>
        </w:tc>
      </w:tr>
      <w:tr>
        <w:tc>
          <w:tcPr>
            <w:tcW w:w="15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步骤</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Merchant</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Shoplazza Payment</w:t>
            </w:r>
          </w:p>
        </w:tc>
        <w:tc>
          <w:tcPr>
            <w:tcW w:w="13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SolaPex</w:t>
            </w:r>
          </w:p>
        </w:tc>
        <w:tc>
          <w:tcPr>
            <w:tcW w:w="690" w:type="dxa"/>
            <w:hMerge w:val="continue"/>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 Consumer</w:t>
            </w:r>
          </w:p>
        </w:tc>
        <w:tc>
          <w:tcPr>
            <w:tcW w:w="328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cobo</w:t>
            </w:r>
          </w:p>
        </w:tc>
        <w:tc>
          <w:tcPr>
            <w:tcW w:w="2145" w:type="dxa"/>
            <w:hMerge w:val="continue"/>
            <w:tcMar>
              <w:top w:type="dxa" w:w="60"/>
              <w:left w:type="dxa" w:w="120"/>
              <w:bottom w:type="dxa" w:w="30"/>
              <w:right w:type="dxa" w:w="120"/>
            </w:tcMar>
          </w:tcPr>
          <w:p>
            <w:pPr>
              <w:spacing w:before="120" w:after="120" w:line="288" w:lineRule="auto"/>
              <w:ind w:left="0"/>
              <w:jc w:val="left"/>
            </w:pPr>
          </w:p>
        </w:tc>
        <w:tc>
          <w:tcPr>
            <w:tcW w:w="480" w:type="dxa"/>
            <w:hMerge w:val="continue"/>
            <w:tcMar>
              <w:top w:type="dxa" w:w="60"/>
              <w:left w:type="dxa" w:w="120"/>
              <w:bottom w:type="dxa" w:w="30"/>
              <w:right w:type="dxa" w:w="120"/>
            </w:tcMar>
          </w:tcPr>
          <w:p>
            <w:pPr>
              <w:spacing w:before="120" w:after="120" w:line="288" w:lineRule="auto"/>
              <w:ind w:left="0"/>
              <w:jc w:val="left"/>
            </w:pPr>
          </w:p>
        </w:tc>
      </w:tr>
      <w:tr>
        <w:tc>
          <w:tcPr>
            <w:tcW w:w="1545" w:type="dxa"/>
            <w:vMerge w:val="continue"/>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基本户</w:t>
            </w:r>
          </w:p>
          <w:p>
            <w:pPr>
              <w:spacing w:before="120" w:after="120" w:line="288" w:lineRule="auto"/>
              <w:ind w:left="0"/>
              <w:jc w:val="left"/>
            </w:pPr>
            <w:r>
              <w:rPr>
                <w:rFonts w:eastAsia="等线" w:ascii="Arial" w:cs="Arial" w:hAnsi="Arial"/>
                <w:sz w:val="22"/>
              </w:rPr>
              <w:t>USDC</w:t>
            </w:r>
          </w:p>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基本户</w:t>
            </w:r>
          </w:p>
          <w:p>
            <w:pPr>
              <w:spacing w:before="120" w:after="120" w:line="288" w:lineRule="auto"/>
              <w:ind w:left="0"/>
              <w:jc w:val="left"/>
            </w:pPr>
            <w:r>
              <w:rPr>
                <w:rFonts w:eastAsia="等线" w:ascii="Arial" w:cs="Arial" w:hAnsi="Arial"/>
                <w:sz w:val="22"/>
              </w:rPr>
              <w:t>USDC</w:t>
            </w:r>
          </w:p>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收益账户</w:t>
            </w:r>
          </w:p>
          <w:p>
            <w:pPr>
              <w:spacing w:before="120" w:after="120" w:line="288" w:lineRule="auto"/>
              <w:ind w:left="0"/>
              <w:jc w:val="left"/>
            </w:pPr>
            <w:r>
              <w:rPr>
                <w:rFonts w:eastAsia="等线" w:ascii="Arial" w:cs="Arial" w:hAnsi="Arial"/>
                <w:sz w:val="22"/>
              </w:rPr>
              <w:t>USDC</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通道可用账户</w:t>
            </w:r>
          </w:p>
          <w:p>
            <w:pPr>
              <w:spacing w:before="120" w:after="120" w:line="288" w:lineRule="auto"/>
              <w:ind w:left="0"/>
              <w:jc w:val="left"/>
            </w:pPr>
            <w:r>
              <w:rPr>
                <w:rFonts w:eastAsia="等线" w:ascii="Arial" w:cs="Arial" w:hAnsi="Arial"/>
                <w:sz w:val="22"/>
              </w:rPr>
              <w:t>USDC</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web3 wallet</w:t>
            </w:r>
          </w:p>
          <w:p>
            <w:pPr>
              <w:spacing w:before="120" w:after="120" w:line="288" w:lineRule="auto"/>
              <w:ind w:left="0"/>
              <w:jc w:val="left"/>
            </w:pPr>
            <w:r>
              <w:rPr>
                <w:rFonts w:eastAsia="等线" w:ascii="Arial" w:cs="Arial" w:hAnsi="Arial"/>
                <w:sz w:val="22"/>
              </w:rPr>
              <w:t>USDC</w:t>
            </w:r>
          </w:p>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deposit address</w:t>
            </w:r>
          </w:p>
          <w:p>
            <w:pPr>
              <w:spacing w:before="120" w:after="120" w:line="288" w:lineRule="auto"/>
              <w:ind w:left="0"/>
              <w:jc w:val="left"/>
            </w:pPr>
            <w:r>
              <w:rPr>
                <w:rFonts w:eastAsia="等线" w:ascii="Arial" w:cs="Arial" w:hAnsi="Arial"/>
                <w:sz w:val="22"/>
              </w:rPr>
              <w:t>USDC</w:t>
            </w:r>
          </w:p>
          <w:p>
            <w:pPr>
              <w:spacing w:before="120" w:after="120" w:line="288" w:lineRule="auto"/>
              <w:ind w:left="0"/>
              <w:jc w:val="left"/>
            </w:pP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Consolidation Address</w:t>
            </w:r>
          </w:p>
          <w:p>
            <w:pPr>
              <w:spacing w:before="120" w:after="120" w:line="288" w:lineRule="auto"/>
              <w:ind w:left="0"/>
              <w:jc w:val="left"/>
            </w:pPr>
            <w:r>
              <w:rPr>
                <w:rFonts w:eastAsia="等线" w:ascii="Arial" w:cs="Arial" w:hAnsi="Arial"/>
                <w:sz w:val="22"/>
              </w:rPr>
              <w:t>USDC</w:t>
            </w:r>
          </w:p>
          <w:p>
            <w:pPr>
              <w:numPr>
                <w:numId w:val="159"/>
              </w:numPr>
              <w:spacing w:before="120" w:after="120" w:line="288" w:lineRule="auto"/>
              <w:ind w:left="0"/>
              <w:jc w:val="left"/>
            </w:pPr>
            <w:r>
              <w:rPr>
                <w:rFonts w:eastAsia="等线" w:ascii="Arial" w:cs="Arial" w:hAnsi="Arial"/>
                <w:sz w:val="22"/>
              </w:rPr>
              <w:t>Merchant （Merchant Balance）</w:t>
            </w:r>
          </w:p>
          <w:p>
            <w:pPr>
              <w:numPr>
                <w:numId w:val="160"/>
              </w:numPr>
              <w:spacing w:before="120" w:after="120" w:line="288" w:lineRule="auto"/>
              <w:ind w:left="0"/>
              <w:jc w:val="left"/>
            </w:pPr>
            <w:r>
              <w:rPr>
                <w:rFonts w:eastAsia="等线" w:ascii="Arial" w:cs="Arial" w:hAnsi="Arial"/>
                <w:sz w:val="22"/>
              </w:rPr>
              <w:t>PSP （Developer Balance）</w:t>
            </w:r>
          </w:p>
          <w:p>
            <w:pPr>
              <w:spacing w:before="120" w:after="120" w:line="288" w:lineRule="auto"/>
              <w:ind w:left="0"/>
              <w:jc w:val="left"/>
            </w:pPr>
            <w:r>
              <w:rPr>
                <w:rFonts w:eastAsia="等线" w:ascii="Arial" w:cs="Arial" w:hAnsi="Arial"/>
                <w:sz w:val="22"/>
              </w:rPr>
              <w:t>这个地址集的实收金额= Merchant+PSP2 个名义账户</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 station</w:t>
            </w:r>
          </w:p>
          <w:p>
            <w:pPr>
              <w:spacing w:before="120" w:after="120" w:line="288" w:lineRule="auto"/>
              <w:ind w:left="0"/>
              <w:jc w:val="left"/>
            </w:pPr>
            <w:r>
              <w:rPr>
                <w:rFonts w:eastAsia="等线" w:ascii="Arial" w:cs="Arial" w:hAnsi="Arial"/>
                <w:sz w:val="22"/>
              </w:rPr>
              <w:t>USDC</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1.用户付款20</w:t>
            </w:r>
          </w:p>
        </w:tc>
        <w:tc>
          <w:tcPr>
            <w:tcW w:w="63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2145"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-webhook/Transaction </w:t>
            </w:r>
          </w:p>
        </w:tc>
        <w:tc>
          <w:tcPr>
            <w:tcW w:w="63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cobo 通道+20</w:t>
            </w:r>
          </w:p>
        </w:tc>
        <w:tc>
          <w:tcPr>
            <w:tcW w:w="480"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2145"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 用户付款30</w:t>
            </w:r>
          </w:p>
        </w:tc>
        <w:tc>
          <w:tcPr>
            <w:tcW w:w="63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2145"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-webhook/Transaction </w:t>
            </w:r>
          </w:p>
        </w:tc>
        <w:tc>
          <w:tcPr>
            <w:tcW w:w="63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480"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2145"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Cobo 自动归集结算</w:t>
            </w:r>
          </w:p>
        </w:tc>
        <w:tc>
          <w:tcPr>
            <w:tcW w:w="63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Merchant +50</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2.SolaPex 对账后给自有支付结算</w:t>
            </w:r>
          </w:p>
        </w:tc>
        <w:tc>
          <w:tcPr>
            <w:tcW w:w="63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+49</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+1</w:t>
            </w:r>
          </w:p>
        </w:tc>
        <w:tc>
          <w:tcPr>
            <w:tcW w:w="690"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2145"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3.Shoplazza Payment 结算给商户</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+48.5</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-48.5</w:t>
            </w:r>
          </w:p>
        </w:tc>
        <w:tc>
          <w:tcPr>
            <w:tcW w:w="660"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p>
        </w:tc>
        <w:tc>
          <w:tcPr>
            <w:tcW w:w="660" w:type="dxa"/>
            <w:tcMar>
              <w:top w:type="dxa" w:w="60"/>
              <w:left w:type="dxa" w:w="120"/>
              <w:bottom w:type="dxa" w:w="30"/>
              <w:right w:type="dxa" w:w="120"/>
            </w:tcMar>
          </w:tcPr>
          <w:p>
            <w:pPr>
              <w:spacing w:before="120" w:after="120" w:line="288" w:lineRule="auto"/>
              <w:ind w:left="0"/>
              <w:jc w:val="left"/>
            </w:pPr>
          </w:p>
        </w:tc>
        <w:tc>
          <w:tcPr>
            <w:tcW w:w="2145"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 xml:space="preserve"> 最终结果</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商户到账48.5</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 xml:space="preserve"> ShoplazzaPayment盈利 0.5</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SolaPex 不盈利</w:t>
            </w:r>
          </w:p>
        </w:tc>
        <w:tc>
          <w:tcPr>
            <w:tcW w:w="690"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消费者支出 50</w:t>
            </w:r>
          </w:p>
        </w:tc>
        <w:tc>
          <w:tcPr>
            <w:tcW w:w="328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Cobo 盈利 1</w:t>
            </w:r>
          </w:p>
        </w:tc>
        <w:tc>
          <w:tcPr>
            <w:tcW w:w="2145" w:type="dxa"/>
            <w:hMerge w:val="continue"/>
            <w:tcMar>
              <w:top w:type="dxa" w:w="60"/>
              <w:left w:type="dxa" w:w="120"/>
              <w:bottom w:type="dxa" w:w="30"/>
              <w:right w:type="dxa" w:w="120"/>
            </w:tcMar>
          </w:tcPr>
          <w:p>
            <w:pPr>
              <w:spacing w:before="120" w:after="120" w:line="288" w:lineRule="auto"/>
              <w:ind w:left="0"/>
              <w:jc w:val="left"/>
            </w:pPr>
          </w:p>
        </w:tc>
        <w:tc>
          <w:tcPr>
            <w:tcW w:w="480" w:type="dxa"/>
            <w:hMerge w:val="continue"/>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27" w:id="27"/>
      <w:r>
        <w:rPr>
          <w:rFonts w:eastAsia="等线" w:ascii="Arial" w:cs="Arial" w:hAnsi="Arial"/>
          <w:color w:val="3370ff"/>
          <w:sz w:val="30"/>
        </w:rPr>
        <w:t xml:space="preserve">3.2.3 </w:t>
      </w:r>
      <w:r>
        <w:rPr>
          <w:rFonts w:eastAsia="等线" w:ascii="Arial" w:cs="Arial" w:hAnsi="Arial"/>
          <w:b w:val="true"/>
          <w:sz w:val="30"/>
        </w:rPr>
        <w:t>多付订单</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5"/>
        <w:gridCol w:w="720"/>
        <w:gridCol w:w="4470"/>
        <w:gridCol w:w="2265"/>
      </w:tblGrid>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订单生命周期</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w:t>
            </w:r>
          </w:p>
        </w:tc>
        <w:tc>
          <w:tcPr>
            <w:tcW w:w="4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需求详情</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过期前</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多付</w:t>
            </w:r>
          </w:p>
        </w:tc>
        <w:tc>
          <w:tcPr>
            <w:tcW w:w="4470" w:type="dxa"/>
            <w:tcMar>
              <w:top w:type="dxa" w:w="60"/>
              <w:left w:type="dxa" w:w="120"/>
              <w:bottom w:type="dxa" w:w="30"/>
              <w:right w:type="dxa" w:w="120"/>
            </w:tcMar>
          </w:tcPr>
          <w:p>
            <w:pPr>
              <w:numPr>
                <w:numId w:val="161"/>
              </w:numPr>
              <w:spacing w:before="120" w:after="120" w:line="288" w:lineRule="auto"/>
              <w:ind w:left="0"/>
              <w:jc w:val="left"/>
            </w:pPr>
            <w:r>
              <w:rPr>
                <w:rFonts w:eastAsia="等线" w:ascii="Arial" w:cs="Arial" w:hAnsi="Arial"/>
                <w:b w:val="true"/>
                <w:sz w:val="22"/>
              </w:rPr>
              <w:t>状态判断：</w:t>
            </w:r>
            <w:r>
              <w:rPr>
                <w:rFonts w:eastAsia="等线" w:ascii="Arial" w:cs="Arial" w:hAnsi="Arial"/>
                <w:sz w:val="22"/>
              </w:rPr>
              <w:t>根据渠道的异步通知返回 Completed，且实际付款金额＞应付金额；SolaPex 记 Overpaid</w:t>
            </w:r>
          </w:p>
          <w:p>
            <w:pPr>
              <w:numPr>
                <w:numId w:val="162"/>
              </w:numPr>
              <w:spacing w:before="120" w:after="120" w:line="288" w:lineRule="auto"/>
              <w:ind w:left="0"/>
              <w:jc w:val="left"/>
            </w:pPr>
            <w:r>
              <w:rPr>
                <w:rFonts w:eastAsia="等线" w:ascii="Arial" w:cs="Arial" w:hAnsi="Arial"/>
                <w:b w:val="true"/>
                <w:sz w:val="22"/>
              </w:rPr>
              <w:t>金额处理：</w:t>
            </w:r>
          </w:p>
          <w:p>
            <w:pPr>
              <w:numPr>
                <w:numId w:val="163"/>
              </w:numPr>
              <w:spacing w:before="120" w:after="120" w:line="288" w:lineRule="auto"/>
              <w:ind w:left="453"/>
              <w:jc w:val="left"/>
            </w:pPr>
            <w:r>
              <w:rPr>
                <w:rFonts w:eastAsia="等线" w:ascii="Arial" w:cs="Arial" w:hAnsi="Arial"/>
                <w:sz w:val="22"/>
              </w:rPr>
              <w:t>订单增设actual amount 字段，用于记录实际付款金额</w:t>
            </w:r>
          </w:p>
          <w:p>
            <w:pPr>
              <w:numPr>
                <w:numId w:val="164"/>
              </w:numPr>
              <w:spacing w:before="120" w:after="120" w:line="288" w:lineRule="auto"/>
              <w:ind w:left="453"/>
              <w:jc w:val="left"/>
            </w:pPr>
            <w:r>
              <w:rPr>
                <w:rFonts w:eastAsia="等线" w:ascii="Arial" w:cs="Arial" w:hAnsi="Arial"/>
                <w:sz w:val="22"/>
              </w:rPr>
              <w:t>按实际付款金额结算</w:t>
            </w:r>
          </w:p>
          <w:p>
            <w:pPr>
              <w:numPr>
                <w:numId w:val="165"/>
              </w:numPr>
              <w:spacing w:before="120" w:after="120" w:line="288" w:lineRule="auto"/>
              <w:ind w:left="0"/>
              <w:jc w:val="left"/>
            </w:pPr>
            <w:r>
              <w:rPr>
                <w:rFonts w:eastAsia="等线" w:ascii="Arial" w:cs="Arial" w:hAnsi="Arial"/>
                <w:b w:val="true"/>
                <w:sz w:val="22"/>
              </w:rPr>
              <w:t>计算手续费基准：</w:t>
            </w:r>
            <w:r>
              <w:rPr>
                <w:rFonts w:eastAsia="等线" w:ascii="Arial" w:cs="Arial" w:hAnsi="Arial"/>
                <w:sz w:val="22"/>
              </w:rPr>
              <w:t>以实际付款金额计算手续费</w:t>
            </w:r>
          </w:p>
          <w:p>
            <w:pPr>
              <w:numPr>
                <w:numId w:val="166"/>
              </w:numPr>
              <w:spacing w:before="120" w:after="120" w:line="288" w:lineRule="auto"/>
              <w:ind w:left="0"/>
              <w:jc w:val="left"/>
            </w:pPr>
            <w:r>
              <w:rPr>
                <w:rFonts w:eastAsia="等线" w:ascii="Arial" w:cs="Arial" w:hAnsi="Arial"/>
                <w:b w:val="true"/>
                <w:sz w:val="22"/>
              </w:rPr>
              <w:t>订单处理</w:t>
            </w:r>
          </w:p>
          <w:p>
            <w:pPr>
              <w:numPr>
                <w:numId w:val="167"/>
              </w:numPr>
              <w:spacing w:before="120" w:after="120" w:line="288" w:lineRule="auto"/>
              <w:ind w:left="453"/>
              <w:jc w:val="left"/>
            </w:pPr>
            <w:r>
              <w:rPr>
                <w:rFonts w:eastAsia="等线" w:ascii="Arial" w:cs="Arial" w:hAnsi="Arial"/>
                <w:sz w:val="22"/>
              </w:rPr>
              <w:t>可通过商家发起退款，可退金额的上限为实收金额上限（SolaPex 的校验兜底）</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p>
        </w:tc>
      </w:tr>
    </w:tbl>
    <w:p>
      <w:pPr>
        <w:numPr>
          <w:numId w:val="168"/>
        </w:numPr>
        <w:spacing w:before="120" w:after="120" w:line="288" w:lineRule="auto"/>
        <w:ind w:left="0"/>
        <w:jc w:val="left"/>
      </w:pPr>
      <w:r>
        <w:rPr>
          <w:rFonts w:eastAsia="等线" w:ascii="Arial" w:cs="Arial" w:hAnsi="Arial"/>
          <w:b w:val="true"/>
          <w:sz w:val="22"/>
        </w:rPr>
        <w:t>资金流</w:t>
      </w:r>
    </w:p>
    <w:p>
      <w:pPr>
        <w:spacing w:before="120" w:after="120" w:line="288" w:lineRule="auto"/>
        <w:ind w:left="0"/>
        <w:jc w:val="left"/>
      </w:pPr>
      <w:r>
        <w:rPr>
          <w:rFonts w:eastAsia="等线" w:ascii="Arial" w:cs="Arial" w:hAnsi="Arial"/>
          <w:sz w:val="22"/>
        </w:rPr>
        <w:t>举例 100USD 下单， 用户使用 USDC 付款，假设汇率 1:1，cobo 收 SolaPex手续费 2%，SolaPex收 ShoplazzaPayment手续费2%，ShoplazzaPayment 收商户手续费 3%</w:t>
      </w:r>
    </w:p>
    <w:p>
      <w:pPr>
        <w:spacing w:before="120" w:after="120" w:line="288" w:lineRule="auto"/>
        <w:ind w:left="0"/>
        <w:jc w:val="left"/>
      </w:pPr>
      <w:r>
        <w:rPr>
          <w:rFonts w:eastAsia="等线" w:ascii="Arial" w:cs="Arial" w:hAnsi="Arial"/>
          <w:sz w:val="22"/>
        </w:rPr>
        <w:t>场景 2：订单有效期内多付</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35"/>
        <w:gridCol w:w="540"/>
        <w:gridCol w:w="1005"/>
        <w:gridCol w:w="645"/>
        <w:gridCol w:w="540"/>
        <w:gridCol w:w="735"/>
        <w:gridCol w:w="735"/>
        <w:gridCol w:w="1920"/>
        <w:gridCol w:w="540"/>
      </w:tblGrid>
      <w:tr>
        <w:tc>
          <w:tcPr>
            <w:tcW w:w="1635" w:type="dxa"/>
            <w:tcMar>
              <w:top w:type="dxa" w:w="60"/>
              <w:left w:type="dxa" w:w="120"/>
              <w:bottom w:type="dxa" w:w="30"/>
              <w:right w:type="dxa" w:w="120"/>
            </w:tcMar>
          </w:tcPr>
          <w:p>
            <w:pPr>
              <w:spacing w:before="120" w:after="120" w:line="288" w:lineRule="auto"/>
              <w:ind w:left="0"/>
              <w:jc w:val="left"/>
            </w:pPr>
          </w:p>
        </w:tc>
        <w:tc>
          <w:tcPr>
            <w:tcW w:w="273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内部记账</w:t>
            </w: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645" w:type="dxa"/>
            <w:hMerge w:val="continue"/>
            <w:tcMar>
              <w:top w:type="dxa" w:w="60"/>
              <w:left w:type="dxa" w:w="120"/>
              <w:bottom w:type="dxa" w:w="30"/>
              <w:right w:type="dxa" w:w="120"/>
            </w:tcMar>
          </w:tcPr>
          <w:p>
            <w:pPr>
              <w:spacing w:before="120" w:after="120" w:line="288" w:lineRule="auto"/>
              <w:ind w:left="0"/>
              <w:jc w:val="left"/>
            </w:pPr>
          </w:p>
        </w:tc>
        <w:tc>
          <w:tcPr>
            <w:tcW w:w="540" w:type="dxa"/>
            <w:hMerge w:val="continue"/>
            <w:tcMar>
              <w:top w:type="dxa" w:w="60"/>
              <w:left w:type="dxa" w:w="120"/>
              <w:bottom w:type="dxa" w:w="30"/>
              <w:right w:type="dxa" w:w="120"/>
            </w:tcMar>
          </w:tcPr>
          <w:p>
            <w:pPr>
              <w:spacing w:before="120" w:after="120" w:line="288" w:lineRule="auto"/>
              <w:ind w:left="0"/>
              <w:jc w:val="left"/>
            </w:pPr>
          </w:p>
        </w:tc>
        <w:tc>
          <w:tcPr>
            <w:tcW w:w="393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资金流</w:t>
            </w:r>
          </w:p>
        </w:tc>
        <w:tc>
          <w:tcPr>
            <w:tcW w:w="735" w:type="dxa"/>
            <w:hMerge w:val="continue"/>
            <w:tcMar>
              <w:top w:type="dxa" w:w="60"/>
              <w:left w:type="dxa" w:w="120"/>
              <w:bottom w:type="dxa" w:w="30"/>
              <w:right w:type="dxa" w:w="120"/>
            </w:tcMar>
          </w:tcPr>
          <w:p>
            <w:pPr>
              <w:spacing w:before="120" w:after="120" w:line="288" w:lineRule="auto"/>
              <w:ind w:left="0"/>
              <w:jc w:val="left"/>
            </w:pPr>
          </w:p>
        </w:tc>
        <w:tc>
          <w:tcPr>
            <w:tcW w:w="1920" w:type="dxa"/>
            <w:hMerge w:val="continue"/>
            <w:tcMar>
              <w:top w:type="dxa" w:w="60"/>
              <w:left w:type="dxa" w:w="120"/>
              <w:bottom w:type="dxa" w:w="30"/>
              <w:right w:type="dxa" w:w="120"/>
            </w:tcMar>
          </w:tcPr>
          <w:p>
            <w:pPr>
              <w:spacing w:before="120" w:after="120" w:line="288" w:lineRule="auto"/>
              <w:ind w:left="0"/>
              <w:jc w:val="left"/>
            </w:pPr>
          </w:p>
        </w:tc>
        <w:tc>
          <w:tcPr>
            <w:tcW w:w="540" w:type="dxa"/>
            <w:hMerge w:val="continue"/>
            <w:tcMar>
              <w:top w:type="dxa" w:w="60"/>
              <w:left w:type="dxa" w:w="120"/>
              <w:bottom w:type="dxa" w:w="30"/>
              <w:right w:type="dxa" w:w="120"/>
            </w:tcMar>
          </w:tcPr>
          <w:p>
            <w:pPr>
              <w:spacing w:before="120" w:after="120" w:line="288" w:lineRule="auto"/>
              <w:ind w:left="0"/>
              <w:jc w:val="left"/>
            </w:pPr>
          </w:p>
        </w:tc>
      </w:tr>
      <w:tr>
        <w:tc>
          <w:tcPr>
            <w:tcW w:w="163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步骤</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Merchant </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Shoplazza Payment</w:t>
            </w:r>
          </w:p>
        </w:tc>
        <w:tc>
          <w:tcPr>
            <w:tcW w:w="118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SolaPex</w:t>
            </w:r>
          </w:p>
        </w:tc>
        <w:tc>
          <w:tcPr>
            <w:tcW w:w="540" w:type="dxa"/>
            <w:hMerge w:val="continue"/>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w:t>
            </w:r>
          </w:p>
        </w:tc>
        <w:tc>
          <w:tcPr>
            <w:tcW w:w="319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cobo</w:t>
            </w:r>
          </w:p>
        </w:tc>
        <w:tc>
          <w:tcPr>
            <w:tcW w:w="1920" w:type="dxa"/>
            <w:hMerge w:val="continue"/>
            <w:tcMar>
              <w:top w:type="dxa" w:w="60"/>
              <w:left w:type="dxa" w:w="120"/>
              <w:bottom w:type="dxa" w:w="30"/>
              <w:right w:type="dxa" w:w="120"/>
            </w:tcMar>
          </w:tcPr>
          <w:p>
            <w:pPr>
              <w:spacing w:before="120" w:after="120" w:line="288" w:lineRule="auto"/>
              <w:ind w:left="0"/>
              <w:jc w:val="left"/>
            </w:pPr>
          </w:p>
        </w:tc>
        <w:tc>
          <w:tcPr>
            <w:tcW w:w="540" w:type="dxa"/>
            <w:hMerge w:val="continue"/>
            <w:tcMar>
              <w:top w:type="dxa" w:w="60"/>
              <w:left w:type="dxa" w:w="120"/>
              <w:bottom w:type="dxa" w:w="30"/>
              <w:right w:type="dxa" w:w="120"/>
            </w:tcMar>
          </w:tcPr>
          <w:p>
            <w:pPr>
              <w:spacing w:before="120" w:after="120" w:line="288" w:lineRule="auto"/>
              <w:ind w:left="0"/>
              <w:jc w:val="left"/>
            </w:pPr>
          </w:p>
        </w:tc>
      </w:tr>
      <w:tr>
        <w:tc>
          <w:tcPr>
            <w:tcW w:w="1635" w:type="dxa"/>
            <w:vMerge w:val="continue"/>
            <w:tcMar>
              <w:top w:type="dxa" w:w="60"/>
              <w:left w:type="dxa" w:w="120"/>
              <w:bottom w:type="dxa" w:w="30"/>
              <w:right w:type="dxa" w:w="120"/>
            </w:tcMar>
          </w:tcPr>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基本户</w:t>
            </w:r>
          </w:p>
          <w:p>
            <w:pPr>
              <w:spacing w:before="120" w:after="120" w:line="288" w:lineRule="auto"/>
              <w:ind w:left="0"/>
              <w:jc w:val="left"/>
            </w:pPr>
            <w:r>
              <w:rPr>
                <w:rFonts w:eastAsia="等线" w:ascii="Arial" w:cs="Arial" w:hAnsi="Arial"/>
                <w:sz w:val="22"/>
              </w:rPr>
              <w:t>USDC</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基本户</w:t>
            </w:r>
          </w:p>
          <w:p>
            <w:pPr>
              <w:spacing w:before="120" w:after="120" w:line="288" w:lineRule="auto"/>
              <w:ind w:left="0"/>
              <w:jc w:val="left"/>
            </w:pPr>
            <w:r>
              <w:rPr>
                <w:rFonts w:eastAsia="等线" w:ascii="Arial" w:cs="Arial" w:hAnsi="Arial"/>
                <w:sz w:val="22"/>
              </w:rPr>
              <w:t>USDC</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收益账户</w:t>
            </w:r>
          </w:p>
          <w:p>
            <w:pPr>
              <w:spacing w:before="120" w:after="120" w:line="288" w:lineRule="auto"/>
              <w:ind w:left="0"/>
              <w:jc w:val="left"/>
            </w:pPr>
            <w:r>
              <w:rPr>
                <w:rFonts w:eastAsia="等线" w:ascii="Arial" w:cs="Arial" w:hAnsi="Arial"/>
                <w:sz w:val="22"/>
              </w:rPr>
              <w:t>USDC</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通道可用账户 USDC</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web3 wallet</w:t>
            </w:r>
          </w:p>
          <w:p>
            <w:pPr>
              <w:spacing w:before="120" w:after="120" w:line="288" w:lineRule="auto"/>
              <w:ind w:left="0"/>
              <w:jc w:val="left"/>
            </w:pPr>
            <w:r>
              <w:rPr>
                <w:rFonts w:eastAsia="等线" w:ascii="Arial" w:cs="Arial" w:hAnsi="Arial"/>
                <w:sz w:val="22"/>
              </w:rPr>
              <w:t>USDC</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deposit address</w:t>
            </w:r>
          </w:p>
          <w:p>
            <w:pPr>
              <w:spacing w:before="120" w:after="120" w:line="288" w:lineRule="auto"/>
              <w:ind w:left="0"/>
              <w:jc w:val="left"/>
            </w:pPr>
            <w:r>
              <w:rPr>
                <w:rFonts w:eastAsia="等线" w:ascii="Arial" w:cs="Arial" w:hAnsi="Arial"/>
                <w:sz w:val="22"/>
              </w:rPr>
              <w:t>USDC</w:t>
            </w:r>
          </w:p>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Consolidation Address</w:t>
            </w:r>
          </w:p>
          <w:p>
            <w:pPr>
              <w:spacing w:before="120" w:after="120" w:line="288" w:lineRule="auto"/>
              <w:ind w:left="0"/>
              <w:jc w:val="left"/>
            </w:pPr>
            <w:r>
              <w:rPr>
                <w:rFonts w:eastAsia="等线" w:ascii="Arial" w:cs="Arial" w:hAnsi="Arial"/>
                <w:sz w:val="22"/>
              </w:rPr>
              <w:t>USDC</w:t>
            </w:r>
          </w:p>
          <w:p>
            <w:pPr>
              <w:numPr>
                <w:numId w:val="169"/>
              </w:numPr>
              <w:spacing w:before="120" w:after="120" w:line="288" w:lineRule="auto"/>
              <w:ind w:left="0"/>
              <w:jc w:val="left"/>
            </w:pPr>
            <w:r>
              <w:rPr>
                <w:rFonts w:eastAsia="等线" w:ascii="Arial" w:cs="Arial" w:hAnsi="Arial"/>
                <w:sz w:val="22"/>
              </w:rPr>
              <w:t>Merchant （Merchant Balance）</w:t>
            </w:r>
          </w:p>
          <w:p>
            <w:pPr>
              <w:numPr>
                <w:numId w:val="170"/>
              </w:numPr>
              <w:spacing w:before="120" w:after="120" w:line="288" w:lineRule="auto"/>
              <w:ind w:left="0"/>
              <w:jc w:val="left"/>
            </w:pPr>
            <w:r>
              <w:rPr>
                <w:rFonts w:eastAsia="等线" w:ascii="Arial" w:cs="Arial" w:hAnsi="Arial"/>
                <w:sz w:val="22"/>
              </w:rPr>
              <w:t>PSP （Developer Balance）</w:t>
            </w:r>
          </w:p>
          <w:p>
            <w:pPr>
              <w:spacing w:before="120" w:after="120" w:line="288" w:lineRule="auto"/>
              <w:ind w:left="0"/>
              <w:jc w:val="left"/>
            </w:pPr>
            <w:r>
              <w:rPr>
                <w:rFonts w:eastAsia="等线" w:ascii="Arial" w:cs="Arial" w:hAnsi="Arial"/>
                <w:sz w:val="22"/>
              </w:rPr>
              <w:t>这个地址集的实收金额= Merchant+PSP2 个名义账户</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 station</w:t>
            </w:r>
          </w:p>
          <w:p>
            <w:pPr>
              <w:spacing w:before="120" w:after="120" w:line="288" w:lineRule="auto"/>
              <w:ind w:left="0"/>
              <w:jc w:val="left"/>
            </w:pPr>
            <w:r>
              <w:rPr>
                <w:rFonts w:eastAsia="等线" w:ascii="Arial" w:cs="Arial" w:hAnsi="Arial"/>
                <w:sz w:val="22"/>
              </w:rPr>
              <w:t>USDC</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 1.用户付款</w:t>
            </w:r>
          </w:p>
        </w:tc>
        <w:tc>
          <w:tcPr>
            <w:tcW w:w="540"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c>
          <w:tcPr>
            <w:tcW w:w="1920" w:type="dxa"/>
            <w:tcMar>
              <w:top w:type="dxa" w:w="60"/>
              <w:left w:type="dxa" w:w="120"/>
              <w:bottom w:type="dxa" w:w="30"/>
              <w:right w:type="dxa" w:w="120"/>
            </w:tcMar>
          </w:tcPr>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-webhook/Transaction </w:t>
            </w:r>
          </w:p>
        </w:tc>
        <w:tc>
          <w:tcPr>
            <w:tcW w:w="540"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c>
          <w:tcPr>
            <w:tcW w:w="73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Cobo 自动归集结算</w:t>
            </w:r>
          </w:p>
        </w:tc>
        <w:tc>
          <w:tcPr>
            <w:tcW w:w="540"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p>
            <w:pPr>
              <w:spacing w:before="120" w:after="120" w:line="288" w:lineRule="auto"/>
              <w:ind w:left="0"/>
              <w:jc w:val="left"/>
            </w:pPr>
          </w:p>
        </w:tc>
        <w:tc>
          <w:tcPr>
            <w:tcW w:w="1920" w:type="dxa"/>
            <w:tcMar>
              <w:top w:type="dxa" w:w="60"/>
              <w:left w:type="dxa" w:w="120"/>
              <w:bottom w:type="dxa" w:w="30"/>
              <w:right w:type="dxa" w:w="120"/>
            </w:tcMar>
          </w:tcPr>
          <w:p>
            <w:pPr>
              <w:numPr>
                <w:numId w:val="171"/>
              </w:numPr>
              <w:spacing w:before="120" w:after="120" w:line="288" w:lineRule="auto"/>
              <w:ind w:left="0"/>
              <w:jc w:val="left"/>
            </w:pPr>
            <w:r>
              <w:rPr>
                <w:rFonts w:eastAsia="等线" w:ascii="Arial" w:cs="Arial" w:hAnsi="Arial"/>
                <w:sz w:val="22"/>
              </w:rPr>
              <w:t>Merchant + 100</w:t>
            </w:r>
          </w:p>
          <w:p>
            <w:pPr>
              <w:numPr>
                <w:numId w:val="172"/>
              </w:numPr>
              <w:spacing w:before="120" w:after="120" w:line="288" w:lineRule="auto"/>
              <w:ind w:left="0"/>
              <w:jc w:val="left"/>
            </w:pPr>
            <w:r>
              <w:rPr>
                <w:rFonts w:eastAsia="等线" w:ascii="Arial" w:cs="Arial" w:hAnsi="Arial"/>
                <w:sz w:val="22"/>
              </w:rPr>
              <w:t>PSP +100</w:t>
            </w:r>
          </w:p>
          <w:p>
            <w:pPr>
              <w:spacing w:before="120" w:after="120" w:line="288" w:lineRule="auto"/>
              <w:ind w:left="0"/>
              <w:jc w:val="left"/>
            </w:pPr>
            <w:r>
              <w:rPr>
                <w:rFonts w:eastAsia="等线" w:ascii="Arial" w:cs="Arial" w:hAnsi="Arial"/>
                <w:sz w:val="22"/>
              </w:rPr>
              <w:t>多付的钱会被记录到 PSP（developer）账户上</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p>
            <w:pPr>
              <w:spacing w:before="120" w:after="120" w:line="288" w:lineRule="auto"/>
              <w:ind w:left="0"/>
              <w:jc w:val="left"/>
            </w:pP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2.SolaPex 对账后结算 给 Shoplazza Payment</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+196</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100*3%=4</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3.Shoplazza Payment 结算给商户</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+194</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-194</w:t>
            </w:r>
          </w:p>
        </w:tc>
        <w:tc>
          <w:tcPr>
            <w:tcW w:w="645" w:type="dxa"/>
            <w:tcMar>
              <w:top w:type="dxa" w:w="60"/>
              <w:left w:type="dxa" w:w="120"/>
              <w:bottom w:type="dxa" w:w="30"/>
              <w:right w:type="dxa" w:w="120"/>
            </w:tcMar>
          </w:tcPr>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 xml:space="preserve"> 最终结果</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商户到账194</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ShoplazzaPayment盈利 2</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SolaPex 不盈利</w:t>
            </w:r>
          </w:p>
        </w:tc>
        <w:tc>
          <w:tcPr>
            <w:tcW w:w="540"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消费者支出 200</w:t>
            </w:r>
          </w:p>
        </w:tc>
        <w:tc>
          <w:tcPr>
            <w:tcW w:w="319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Cobo 盈利 4</w:t>
            </w:r>
          </w:p>
        </w:tc>
        <w:tc>
          <w:tcPr>
            <w:tcW w:w="1920" w:type="dxa"/>
            <w:hMerge w:val="continue"/>
            <w:tcMar>
              <w:top w:type="dxa" w:w="60"/>
              <w:left w:type="dxa" w:w="120"/>
              <w:bottom w:type="dxa" w:w="30"/>
              <w:right w:type="dxa" w:w="120"/>
            </w:tcMar>
          </w:tcPr>
          <w:p>
            <w:pPr>
              <w:spacing w:before="120" w:after="120" w:line="288" w:lineRule="auto"/>
              <w:ind w:left="0"/>
              <w:jc w:val="left"/>
            </w:pPr>
          </w:p>
        </w:tc>
        <w:tc>
          <w:tcPr>
            <w:tcW w:w="540" w:type="dxa"/>
            <w:hMerge w:val="continue"/>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28" w:id="28"/>
      <w:r>
        <w:rPr>
          <w:rFonts w:eastAsia="等线" w:ascii="Arial" w:cs="Arial" w:hAnsi="Arial"/>
          <w:color w:val="3370ff"/>
          <w:sz w:val="30"/>
        </w:rPr>
        <w:t xml:space="preserve">3.2.4 </w:t>
      </w:r>
      <w:r>
        <w:rPr>
          <w:rFonts w:eastAsia="等线" w:ascii="Arial" w:cs="Arial" w:hAnsi="Arial"/>
          <w:b w:val="true"/>
          <w:sz w:val="30"/>
        </w:rPr>
        <w:t>异常订单</w:t>
      </w:r>
      <w:bookmarkEnd w:id="28"/>
    </w:p>
    <w:p>
      <w:pPr>
        <w:spacing w:before="120" w:after="120" w:line="288" w:lineRule="auto"/>
        <w:ind w:left="0"/>
        <w:jc w:val="center"/>
      </w:pPr>
      <w:r>
        <w:drawing>
          <wp:inline distT="0" distR="0" distB="0" distL="0">
            <wp:extent cx="5257800" cy="7715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9"/>
                    <a:stretch>
                      <a:fillRect/>
                    </a:stretch>
                  </pic:blipFill>
                  <pic:spPr>
                    <a:xfrm>
                      <a:off x="0" y="0"/>
                      <a:ext cx="5257800" cy="771525"/>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5"/>
        <w:gridCol w:w="720"/>
        <w:gridCol w:w="4470"/>
        <w:gridCol w:w="2265"/>
      </w:tblGrid>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订单生命周期</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w:t>
            </w:r>
          </w:p>
        </w:tc>
        <w:tc>
          <w:tcPr>
            <w:tcW w:w="4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需求详情</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订单过期后</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异常订单</w:t>
            </w:r>
          </w:p>
        </w:tc>
        <w:tc>
          <w:tcPr>
            <w:tcW w:w="4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过期后，用户付款，资金挂账到 SolaPex 的平台挂账资金户suspense account，资金不结算给商家</w:t>
            </w:r>
          </w:p>
          <w:p>
            <w:pPr>
              <w:numPr>
                <w:numId w:val="173"/>
              </w:numPr>
              <w:spacing w:before="120" w:after="120" w:line="288" w:lineRule="auto"/>
              <w:ind w:left="0"/>
              <w:jc w:val="left"/>
            </w:pPr>
            <w:r>
              <w:rPr>
                <w:rFonts w:eastAsia="等线" w:ascii="Arial" w:cs="Arial" w:hAnsi="Arial"/>
                <w:sz w:val="22"/>
              </w:rPr>
              <w:t>来账通知</w:t>
            </w:r>
          </w:p>
          <w:p>
            <w:pPr>
              <w:numPr>
                <w:numId w:val="174"/>
              </w:numPr>
              <w:spacing w:before="120" w:after="120" w:line="288" w:lineRule="auto"/>
              <w:ind w:left="453"/>
              <w:jc w:val="left"/>
            </w:pPr>
            <w:r>
              <w:rPr>
                <w:rFonts w:eastAsia="等线" w:ascii="Arial" w:cs="Arial" w:hAnsi="Arial"/>
                <w:sz w:val="22"/>
              </w:rPr>
              <w:t>收到渠道的 Transaction.laterPay 异步通知</w:t>
            </w:r>
          </w:p>
          <w:p>
            <w:pPr>
              <w:numPr>
                <w:numId w:val="175"/>
              </w:numPr>
              <w:spacing w:before="120" w:after="120" w:line="288" w:lineRule="auto"/>
              <w:ind w:left="453"/>
              <w:jc w:val="left"/>
            </w:pPr>
            <w:r>
              <w:rPr>
                <w:rFonts w:eastAsia="等线" w:ascii="Arial" w:cs="Arial" w:hAnsi="Arial"/>
                <w:sz w:val="22"/>
              </w:rPr>
              <w:t>Channel gateway 记录订单信息</w:t>
            </w:r>
          </w:p>
          <w:p>
            <w:pPr>
              <w:numPr>
                <w:numId w:val="176"/>
              </w:numPr>
              <w:spacing w:before="120" w:after="120" w:line="288" w:lineRule="auto"/>
              <w:ind w:left="0"/>
              <w:jc w:val="left"/>
            </w:pPr>
            <w:r>
              <w:rPr>
                <w:rFonts w:eastAsia="等线" w:ascii="Arial" w:cs="Arial" w:hAnsi="Arial"/>
                <w:sz w:val="22"/>
              </w:rPr>
              <w:t>记账处理逻辑：</w:t>
            </w:r>
          </w:p>
          <w:p>
            <w:pPr>
              <w:spacing w:before="120" w:after="120" w:line="288" w:lineRule="auto"/>
              <w:ind w:left="0"/>
              <w:jc w:val="left"/>
            </w:pPr>
            <w:r>
              <w:rPr>
                <w:rFonts w:eastAsia="等线" w:ascii="Arial" w:cs="Arial" w:hAnsi="Arial"/>
                <w:sz w:val="22"/>
              </w:rPr>
              <w:t>渠道对账后，上账时扣除SolaPex 收单手续费</w:t>
            </w:r>
          </w:p>
          <w:p>
            <w:pPr>
              <w:numPr>
                <w:numId w:val="177"/>
              </w:numPr>
              <w:spacing w:before="120" w:after="120" w:line="288" w:lineRule="auto"/>
              <w:ind w:left="0"/>
              <w:jc w:val="left"/>
            </w:pPr>
            <w:r>
              <w:rPr>
                <w:rFonts w:eastAsia="等线" w:ascii="Arial" w:cs="Arial" w:hAnsi="Arial"/>
                <w:sz w:val="22"/>
              </w:rPr>
              <w:t>挂账后的处理：</w:t>
            </w:r>
          </w:p>
          <w:p>
            <w:pPr>
              <w:numPr>
                <w:numId w:val="178"/>
              </w:numPr>
              <w:spacing w:before="120" w:after="120" w:line="288" w:lineRule="auto"/>
              <w:ind w:left="0"/>
              <w:jc w:val="left"/>
            </w:pPr>
            <w:r>
              <w:rPr>
                <w:rFonts w:eastAsia="等线" w:ascii="Arial" w:cs="Arial" w:hAnsi="Arial"/>
                <w:sz w:val="22"/>
              </w:rPr>
              <w:t>飞书通知运营人员，消息中附上交易信息，疑似商户号，商户名称</w:t>
            </w:r>
          </w:p>
          <w:p>
            <w:pPr>
              <w:numPr>
                <w:numId w:val="179"/>
              </w:numPr>
              <w:spacing w:before="120" w:after="120" w:line="288" w:lineRule="auto"/>
              <w:ind w:left="453"/>
              <w:jc w:val="left"/>
            </w:pPr>
            <w:r>
              <w:rPr>
                <w:rFonts w:eastAsia="等线" w:ascii="Arial" w:cs="Arial" w:hAnsi="Arial"/>
                <w:sz w:val="22"/>
              </w:rPr>
              <w:t>若 from address 可以从历史订单信息中比对查到关联订单，可定位到商户</w:t>
            </w:r>
          </w:p>
          <w:p>
            <w:pPr>
              <w:numPr>
                <w:numId w:val="180"/>
              </w:numPr>
              <w:spacing w:before="120" w:after="120" w:line="288" w:lineRule="auto"/>
              <w:ind w:left="453"/>
              <w:jc w:val="left"/>
            </w:pPr>
            <w:r>
              <w:rPr>
                <w:rFonts w:eastAsia="等线" w:ascii="Arial" w:cs="Arial" w:hAnsi="Arial"/>
                <w:sz w:val="22"/>
              </w:rPr>
              <w:t>联系疑似商户，告知异常交易的金额、from address ，网络、币种，交易时间。让商户定位用户，联系用户确认方案</w:t>
            </w:r>
          </w:p>
          <w:p>
            <w:pPr>
              <w:numPr>
                <w:numId w:val="181"/>
              </w:numPr>
              <w:spacing w:before="120" w:after="120" w:line="288" w:lineRule="auto"/>
              <w:ind w:left="907"/>
              <w:jc w:val="left"/>
            </w:pPr>
            <w:r>
              <w:rPr>
                <w:rFonts w:eastAsia="等线" w:ascii="Arial" w:cs="Arial" w:hAnsi="Arial"/>
                <w:sz w:val="22"/>
              </w:rPr>
              <w:t>用户若认领，则需提供交易凭证，交易 hash</w:t>
            </w:r>
          </w:p>
          <w:p>
            <w:pPr>
              <w:numPr>
                <w:numId w:val="182"/>
              </w:numPr>
              <w:spacing w:before="120" w:after="120" w:line="288" w:lineRule="auto"/>
              <w:ind w:left="907"/>
              <w:jc w:val="left"/>
            </w:pPr>
            <w:r>
              <w:rPr>
                <w:rFonts w:eastAsia="等线" w:ascii="Arial" w:cs="Arial" w:hAnsi="Arial"/>
                <w:sz w:val="22"/>
              </w:rPr>
              <w:t>我们系统上传交易凭证和交易 hash，交易比对</w:t>
            </w:r>
          </w:p>
          <w:p>
            <w:pPr>
              <w:spacing w:before="120" w:after="120" w:line="288" w:lineRule="auto"/>
              <w:ind w:left="1360"/>
              <w:jc w:val="left"/>
            </w:pPr>
            <w:r>
              <w:rPr>
                <w:rFonts w:eastAsia="等线" w:ascii="Arial" w:cs="Arial" w:hAnsi="Arial"/>
                <w:sz w:val="22"/>
              </w:rPr>
              <w:t>比对成功：内部系统将订单可退款、或者补单</w:t>
            </w:r>
          </w:p>
          <w:p>
            <w:pPr>
              <w:numPr>
                <w:numId w:val="183"/>
              </w:numPr>
              <w:spacing w:before="120" w:after="120" w:line="288" w:lineRule="auto"/>
              <w:ind w:left="1360"/>
              <w:jc w:val="left"/>
            </w:pPr>
            <w:r>
              <w:rPr>
                <w:rFonts w:eastAsia="等线" w:ascii="Arial" w:cs="Arial" w:hAnsi="Arial"/>
                <w:sz w:val="22"/>
              </w:rPr>
              <w:t>比对失败：反馈结果</w:t>
            </w:r>
          </w:p>
          <w:p>
            <w:pPr>
              <w:spacing w:before="120" w:after="120" w:line="288" w:lineRule="auto"/>
              <w:ind w:left="0"/>
              <w:jc w:val="left"/>
            </w:pPr>
          </w:p>
          <w:p>
            <w:pPr>
              <w:numPr>
                <w:numId w:val="184"/>
              </w:numPr>
              <w:spacing w:before="120" w:after="120" w:line="288" w:lineRule="auto"/>
              <w:ind w:left="0"/>
              <w:jc w:val="left"/>
            </w:pPr>
            <w:r>
              <w:rPr>
                <w:rFonts w:eastAsia="等线" w:ascii="Arial" w:cs="Arial" w:hAnsi="Arial"/>
                <w:sz w:val="22"/>
              </w:rPr>
              <w:t>异常订单认领后，退款</w:t>
            </w:r>
          </w:p>
          <w:p>
            <w:pPr>
              <w:numPr>
                <w:numId w:val="185"/>
              </w:numPr>
              <w:spacing w:before="120" w:after="120" w:line="288" w:lineRule="auto"/>
              <w:ind w:left="453"/>
              <w:jc w:val="left"/>
            </w:pPr>
            <w:r>
              <w:rPr>
                <w:rFonts w:eastAsia="等线" w:ascii="Arial" w:cs="Arial" w:hAnsi="Arial"/>
                <w:sz w:val="22"/>
              </w:rPr>
              <w:t>需要用户提供收款地址提供给我们</w:t>
            </w:r>
          </w:p>
          <w:p>
            <w:pPr>
              <w:numPr>
                <w:numId w:val="186"/>
              </w:numPr>
              <w:spacing w:before="120" w:after="120" w:line="288" w:lineRule="auto"/>
              <w:ind w:left="453"/>
              <w:jc w:val="left"/>
            </w:pPr>
            <w:r>
              <w:rPr>
                <w:rFonts w:eastAsia="等线" w:ascii="Arial" w:cs="Arial" w:hAnsi="Arial"/>
                <w:sz w:val="22"/>
              </w:rPr>
              <w:t>发起退款</w:t>
            </w:r>
          </w:p>
          <w:p>
            <w:pPr>
              <w:numPr>
                <w:numId w:val="187"/>
              </w:numPr>
              <w:spacing w:before="120" w:after="120" w:line="288" w:lineRule="auto"/>
              <w:ind w:left="0"/>
              <w:jc w:val="left"/>
            </w:pPr>
            <w:r>
              <w:rPr>
                <w:rFonts w:eastAsia="等线" w:ascii="Arial" w:cs="Arial" w:hAnsi="Arial"/>
                <w:sz w:val="22"/>
              </w:rPr>
              <w:t>认领后，可发起交易补单，生成一个新的订单，并生成异步通知给到商户，异步通知可手动触发</w:t>
            </w:r>
          </w:p>
          <w:p>
            <w:pPr>
              <w:numPr>
                <w:numId w:val="188"/>
              </w:numPr>
              <w:spacing w:before="120" w:after="120" w:line="288" w:lineRule="auto"/>
              <w:ind w:left="453"/>
              <w:jc w:val="left"/>
            </w:pPr>
            <w:r>
              <w:rPr>
                <w:rFonts w:eastAsia="等线" w:ascii="Arial" w:cs="Arial" w:hAnsi="Arial"/>
                <w:sz w:val="22"/>
              </w:rPr>
              <w:t>同步创建交易单、交易子单，关联渠道单</w:t>
            </w:r>
          </w:p>
          <w:p>
            <w:pPr>
              <w:numPr>
                <w:numId w:val="189"/>
              </w:numPr>
              <w:spacing w:before="120" w:after="120" w:line="288" w:lineRule="auto"/>
              <w:ind w:left="453"/>
              <w:jc w:val="left"/>
            </w:pPr>
            <w:r>
              <w:rPr>
                <w:rFonts w:eastAsia="等线" w:ascii="Arial" w:cs="Arial" w:hAnsi="Arial"/>
                <w:sz w:val="22"/>
              </w:rPr>
              <w:t>交易结算状态为待结算，T+1 结算给商户</w:t>
            </w:r>
          </w:p>
          <w:p>
            <w:pPr>
              <w:numPr>
                <w:numId w:val="190"/>
              </w:numPr>
              <w:spacing w:before="120" w:after="120" w:line="288" w:lineRule="auto"/>
              <w:ind w:left="453"/>
              <w:jc w:val="left"/>
            </w:pPr>
            <w:r>
              <w:rPr>
                <w:rFonts w:eastAsia="等线" w:ascii="Arial" w:cs="Arial" w:hAnsi="Arial"/>
                <w:sz w:val="22"/>
              </w:rPr>
              <w:t>邮件通知商户运营、财务</w:t>
            </w:r>
          </w:p>
          <w:p>
            <w:pPr>
              <w:numPr>
                <w:numId w:val="191"/>
              </w:numPr>
              <w:spacing w:before="120" w:after="120" w:line="288" w:lineRule="auto"/>
              <w:ind w:left="907"/>
              <w:jc w:val="left"/>
            </w:pPr>
            <w:r>
              <w:rPr>
                <w:rFonts w:eastAsia="等线" w:ascii="Arial" w:cs="Arial" w:hAnsi="Arial"/>
                <w:sz w:val="22"/>
              </w:rPr>
              <w:t>商户可入账后给用户发货</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退款请求页面</w:t>
            </w:r>
          </w:p>
          <w:p>
            <w:pPr>
              <w:spacing w:before="120" w:after="120" w:line="288" w:lineRule="auto"/>
              <w:ind w:left="0"/>
              <w:jc w:val="center"/>
            </w:pPr>
            <w:r>
              <w:drawing>
                <wp:inline distT="0" distR="0" distB="0" distL="0">
                  <wp:extent cx="1285875" cy="132397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30"/>
                          <a:stretch>
                            <a:fillRect/>
                          </a:stretch>
                        </pic:blipFill>
                        <pic:spPr>
                          <a:xfrm>
                            <a:off x="0" y="0"/>
                            <a:ext cx="1285875" cy="1323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转退款需求及 OMS 差异订单处理需求。</w:t>
            </w:r>
          </w:p>
        </w:tc>
      </w:tr>
    </w:tbl>
    <w:p>
      <w:pPr>
        <w:numPr>
          <w:numId w:val="192"/>
        </w:numPr>
        <w:spacing w:before="120" w:after="120" w:line="288" w:lineRule="auto"/>
        <w:ind w:left="0"/>
        <w:jc w:val="left"/>
      </w:pPr>
      <w:r>
        <w:rPr>
          <w:rFonts w:eastAsia="等线" w:ascii="Arial" w:cs="Arial" w:hAnsi="Arial"/>
          <w:b w:val="true"/>
          <w:sz w:val="22"/>
        </w:rPr>
        <w:t>资金流</w:t>
      </w:r>
    </w:p>
    <w:p>
      <w:pPr>
        <w:spacing w:before="120" w:after="120" w:line="288" w:lineRule="auto"/>
        <w:ind w:left="0"/>
        <w:jc w:val="left"/>
      </w:pPr>
      <w:r>
        <w:rPr>
          <w:rFonts w:eastAsia="等线" w:ascii="Arial" w:cs="Arial" w:hAnsi="Arial"/>
          <w:sz w:val="22"/>
        </w:rPr>
        <w:t>举例 100USD 下单， 用户使用 USDC 付款，假设汇率 1:1，cobo 手续费 2%，SolaPex 收3%</w:t>
      </w:r>
    </w:p>
    <w:p>
      <w:pPr>
        <w:spacing w:before="120" w:after="120" w:line="288" w:lineRule="auto"/>
        <w:ind w:left="0"/>
        <w:jc w:val="left"/>
      </w:pPr>
      <w:r>
        <w:rPr>
          <w:rFonts w:eastAsia="等线" w:ascii="Arial" w:cs="Arial" w:hAnsi="Arial"/>
          <w:sz w:val="22"/>
        </w:rPr>
        <w:t>场景 4：订单有效期外</w:t>
      </w:r>
      <w:r>
        <w:rPr>
          <w:rFonts w:eastAsia="等线" w:ascii="Arial" w:cs="Arial" w:hAnsi="Arial"/>
          <w:sz w:val="22"/>
        </w:rPr>
        <w:t>付款（异常订单）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45"/>
        <w:gridCol w:w="555"/>
        <w:gridCol w:w="960"/>
        <w:gridCol w:w="705"/>
        <w:gridCol w:w="645"/>
        <w:gridCol w:w="555"/>
        <w:gridCol w:w="555"/>
        <w:gridCol w:w="765"/>
        <w:gridCol w:w="2010"/>
        <w:gridCol w:w="555"/>
      </w:tblGrid>
      <w:tr>
        <w:tc>
          <w:tcPr>
            <w:tcW w:w="945" w:type="dxa"/>
            <w:tcMar>
              <w:top w:type="dxa" w:w="60"/>
              <w:left w:type="dxa" w:w="120"/>
              <w:bottom w:type="dxa" w:w="30"/>
              <w:right w:type="dxa" w:w="120"/>
            </w:tcMar>
          </w:tcPr>
          <w:p>
            <w:pPr>
              <w:spacing w:before="120" w:after="120" w:line="288" w:lineRule="auto"/>
              <w:ind w:left="0"/>
              <w:jc w:val="left"/>
            </w:pPr>
          </w:p>
        </w:tc>
        <w:tc>
          <w:tcPr>
            <w:tcW w:w="342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内部记账</w:t>
            </w:r>
          </w:p>
        </w:tc>
        <w:tc>
          <w:tcPr>
            <w:tcW w:w="960" w:type="dxa"/>
            <w:hMerge w:val="continue"/>
            <w:tcMar>
              <w:top w:type="dxa" w:w="60"/>
              <w:left w:type="dxa" w:w="120"/>
              <w:bottom w:type="dxa" w:w="30"/>
              <w:right w:type="dxa" w:w="120"/>
            </w:tcMar>
          </w:tcPr>
          <w:p>
            <w:pPr>
              <w:spacing w:before="120" w:after="120" w:line="288" w:lineRule="auto"/>
              <w:ind w:left="0"/>
              <w:jc w:val="left"/>
            </w:pPr>
          </w:p>
        </w:tc>
        <w:tc>
          <w:tcPr>
            <w:tcW w:w="705" w:type="dxa"/>
            <w:hMerge w:val="continue"/>
            <w:tcMar>
              <w:top w:type="dxa" w:w="60"/>
              <w:left w:type="dxa" w:w="120"/>
              <w:bottom w:type="dxa" w:w="30"/>
              <w:right w:type="dxa" w:w="120"/>
            </w:tcMar>
          </w:tcPr>
          <w:p>
            <w:pPr>
              <w:spacing w:before="120" w:after="120" w:line="288" w:lineRule="auto"/>
              <w:ind w:left="0"/>
              <w:jc w:val="left"/>
            </w:pPr>
          </w:p>
        </w:tc>
        <w:tc>
          <w:tcPr>
            <w:tcW w:w="645" w:type="dxa"/>
            <w:hMerge w:val="continue"/>
            <w:tcMar>
              <w:top w:type="dxa" w:w="60"/>
              <w:left w:type="dxa" w:w="120"/>
              <w:bottom w:type="dxa" w:w="30"/>
              <w:right w:type="dxa" w:w="120"/>
            </w:tcMar>
          </w:tcPr>
          <w:p>
            <w:pPr>
              <w:spacing w:before="120" w:after="120" w:line="288" w:lineRule="auto"/>
              <w:ind w:left="0"/>
              <w:jc w:val="left"/>
            </w:pPr>
          </w:p>
        </w:tc>
        <w:tc>
          <w:tcPr>
            <w:tcW w:w="555" w:type="dxa"/>
            <w:hMerge w:val="continue"/>
            <w:tcMar>
              <w:top w:type="dxa" w:w="60"/>
              <w:left w:type="dxa" w:w="120"/>
              <w:bottom w:type="dxa" w:w="30"/>
              <w:right w:type="dxa" w:w="120"/>
            </w:tcMar>
          </w:tcPr>
          <w:p>
            <w:pPr>
              <w:spacing w:before="120" w:after="120" w:line="288" w:lineRule="auto"/>
              <w:ind w:left="0"/>
              <w:jc w:val="left"/>
            </w:pPr>
          </w:p>
        </w:tc>
        <w:tc>
          <w:tcPr>
            <w:tcW w:w="388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资金流</w:t>
            </w:r>
          </w:p>
        </w:tc>
        <w:tc>
          <w:tcPr>
            <w:tcW w:w="765" w:type="dxa"/>
            <w:hMerge w:val="continue"/>
            <w:tcMar>
              <w:top w:type="dxa" w:w="60"/>
              <w:left w:type="dxa" w:w="120"/>
              <w:bottom w:type="dxa" w:w="30"/>
              <w:right w:type="dxa" w:w="120"/>
            </w:tcMar>
          </w:tcPr>
          <w:p>
            <w:pPr>
              <w:spacing w:before="120" w:after="120" w:line="288" w:lineRule="auto"/>
              <w:ind w:left="0"/>
              <w:jc w:val="center"/>
            </w:pPr>
          </w:p>
        </w:tc>
        <w:tc>
          <w:tcPr>
            <w:tcW w:w="2010" w:type="dxa"/>
            <w:hMerge w:val="continue"/>
            <w:tcMar>
              <w:top w:type="dxa" w:w="60"/>
              <w:left w:type="dxa" w:w="120"/>
              <w:bottom w:type="dxa" w:w="30"/>
              <w:right w:type="dxa" w:w="120"/>
            </w:tcMar>
          </w:tcPr>
          <w:p>
            <w:pPr>
              <w:spacing w:before="120" w:after="120" w:line="288" w:lineRule="auto"/>
              <w:ind w:left="0"/>
              <w:jc w:val="center"/>
            </w:pPr>
          </w:p>
        </w:tc>
        <w:tc>
          <w:tcPr>
            <w:tcW w:w="555" w:type="dxa"/>
            <w:hMerge w:val="continue"/>
            <w:tcMar>
              <w:top w:type="dxa" w:w="60"/>
              <w:left w:type="dxa" w:w="120"/>
              <w:bottom w:type="dxa" w:w="30"/>
              <w:right w:type="dxa" w:w="120"/>
            </w:tcMar>
          </w:tcPr>
          <w:p>
            <w:pPr>
              <w:spacing w:before="120" w:after="120" w:line="288" w:lineRule="auto"/>
              <w:ind w:left="0"/>
              <w:jc w:val="center"/>
            </w:pPr>
          </w:p>
        </w:tc>
      </w:tr>
      <w:tr>
        <w:tc>
          <w:tcPr>
            <w:tcW w:w="9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步骤</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Merchant</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Shoplazza Payment</w:t>
            </w:r>
          </w:p>
        </w:tc>
        <w:tc>
          <w:tcPr>
            <w:tcW w:w="190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SolaPex</w:t>
            </w:r>
          </w:p>
        </w:tc>
        <w:tc>
          <w:tcPr>
            <w:tcW w:w="645" w:type="dxa"/>
            <w:hMerge w:val="continue"/>
            <w:tcMar>
              <w:top w:type="dxa" w:w="60"/>
              <w:left w:type="dxa" w:w="120"/>
              <w:bottom w:type="dxa" w:w="30"/>
              <w:right w:type="dxa" w:w="120"/>
            </w:tcMar>
          </w:tcPr>
          <w:p>
            <w:pPr>
              <w:spacing w:before="120" w:after="120" w:line="288" w:lineRule="auto"/>
              <w:ind w:left="0"/>
              <w:jc w:val="center"/>
            </w:pPr>
          </w:p>
        </w:tc>
        <w:tc>
          <w:tcPr>
            <w:tcW w:w="555" w:type="dxa"/>
            <w:hMerge w:val="continue"/>
            <w:tcMar>
              <w:top w:type="dxa" w:w="60"/>
              <w:left w:type="dxa" w:w="120"/>
              <w:bottom w:type="dxa" w:w="30"/>
              <w:right w:type="dxa" w:w="120"/>
            </w:tcMar>
          </w:tcPr>
          <w:p>
            <w:pPr>
              <w:spacing w:before="120" w:after="120" w:line="288" w:lineRule="auto"/>
              <w:ind w:left="0"/>
              <w:jc w:val="center"/>
            </w:pP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Customer</w:t>
            </w:r>
          </w:p>
        </w:tc>
        <w:tc>
          <w:tcPr>
            <w:tcW w:w="333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cobo</w:t>
            </w:r>
          </w:p>
        </w:tc>
        <w:tc>
          <w:tcPr>
            <w:tcW w:w="2010" w:type="dxa"/>
            <w:hMerge w:val="continue"/>
            <w:tcMar>
              <w:top w:type="dxa" w:w="60"/>
              <w:left w:type="dxa" w:w="120"/>
              <w:bottom w:type="dxa" w:w="30"/>
              <w:right w:type="dxa" w:w="120"/>
            </w:tcMar>
          </w:tcPr>
          <w:p>
            <w:pPr>
              <w:spacing w:before="120" w:after="120" w:line="288" w:lineRule="auto"/>
              <w:ind w:left="0"/>
              <w:jc w:val="center"/>
            </w:pPr>
          </w:p>
        </w:tc>
        <w:tc>
          <w:tcPr>
            <w:tcW w:w="555" w:type="dxa"/>
            <w:hMerge w:val="continue"/>
            <w:tcMar>
              <w:top w:type="dxa" w:w="60"/>
              <w:left w:type="dxa" w:w="120"/>
              <w:bottom w:type="dxa" w:w="30"/>
              <w:right w:type="dxa" w:w="120"/>
            </w:tcMar>
          </w:tcPr>
          <w:p>
            <w:pPr>
              <w:spacing w:before="120" w:after="120" w:line="288" w:lineRule="auto"/>
              <w:ind w:left="0"/>
              <w:jc w:val="center"/>
            </w:pPr>
          </w:p>
        </w:tc>
      </w:tr>
      <w:tr>
        <w:tc>
          <w:tcPr>
            <w:tcW w:w="945" w:type="dxa"/>
            <w:vMerge w:val="continue"/>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基本户</w:t>
            </w:r>
          </w:p>
          <w:p>
            <w:pPr>
              <w:spacing w:before="120" w:after="120" w:line="288" w:lineRule="auto"/>
              <w:ind w:left="0"/>
              <w:jc w:val="left"/>
            </w:pPr>
            <w:r>
              <w:rPr>
                <w:rFonts w:eastAsia="等线" w:ascii="Arial" w:cs="Arial" w:hAnsi="Arial"/>
                <w:sz w:val="22"/>
              </w:rPr>
              <w:t>USDC</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基本户</w:t>
            </w:r>
          </w:p>
          <w:p>
            <w:pPr>
              <w:spacing w:before="120" w:after="120" w:line="288" w:lineRule="auto"/>
              <w:ind w:left="0"/>
              <w:jc w:val="left"/>
            </w:pPr>
            <w:r>
              <w:rPr>
                <w:rFonts w:eastAsia="等线" w:ascii="Arial" w:cs="Arial" w:hAnsi="Arial"/>
                <w:sz w:val="22"/>
              </w:rPr>
              <w:t>USDC</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收益账户</w:t>
            </w:r>
          </w:p>
          <w:p>
            <w:pPr>
              <w:spacing w:before="120" w:after="120" w:line="288" w:lineRule="auto"/>
              <w:ind w:left="0"/>
              <w:jc w:val="left"/>
            </w:pPr>
            <w:r>
              <w:rPr>
                <w:rFonts w:eastAsia="等线" w:ascii="Arial" w:cs="Arial" w:hAnsi="Arial"/>
                <w:sz w:val="22"/>
              </w:rPr>
              <w:t>USDC</w:t>
            </w:r>
          </w:p>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通道可用账户USDC</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挂账资金户</w:t>
            </w:r>
          </w:p>
          <w:p>
            <w:pPr>
              <w:spacing w:before="120" w:after="120" w:line="288" w:lineRule="auto"/>
              <w:ind w:left="0"/>
              <w:jc w:val="left"/>
            </w:pPr>
            <w:r>
              <w:rPr>
                <w:rFonts w:eastAsia="等线" w:ascii="Arial" w:cs="Arial" w:hAnsi="Arial"/>
                <w:sz w:val="22"/>
                <w:shd w:fill="fff67a"/>
              </w:rPr>
              <w:t>USDC</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web3 wallet</w:t>
            </w:r>
          </w:p>
          <w:p>
            <w:pPr>
              <w:spacing w:before="120" w:after="120" w:line="288" w:lineRule="auto"/>
              <w:ind w:left="0"/>
              <w:jc w:val="left"/>
            </w:pPr>
            <w:r>
              <w:rPr>
                <w:rFonts w:eastAsia="等线" w:ascii="Arial" w:cs="Arial" w:hAnsi="Arial"/>
                <w:sz w:val="22"/>
              </w:rPr>
              <w:t>USDC</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deposit address</w:t>
            </w:r>
          </w:p>
          <w:p>
            <w:pPr>
              <w:spacing w:before="120" w:after="120" w:line="288" w:lineRule="auto"/>
              <w:ind w:left="0"/>
              <w:jc w:val="left"/>
            </w:pPr>
            <w:r>
              <w:rPr>
                <w:rFonts w:eastAsia="等线" w:ascii="Arial" w:cs="Arial" w:hAnsi="Arial"/>
                <w:sz w:val="22"/>
              </w:rPr>
              <w:t>USDC</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Consolidation Address</w:t>
            </w:r>
          </w:p>
          <w:p>
            <w:pPr>
              <w:spacing w:before="120" w:after="120" w:line="288" w:lineRule="auto"/>
              <w:ind w:left="0"/>
              <w:jc w:val="left"/>
            </w:pPr>
            <w:r>
              <w:rPr>
                <w:rFonts w:eastAsia="等线" w:ascii="Arial" w:cs="Arial" w:hAnsi="Arial"/>
                <w:sz w:val="22"/>
              </w:rPr>
              <w:t>USDC</w:t>
            </w:r>
          </w:p>
          <w:p>
            <w:pPr>
              <w:numPr>
                <w:numId w:val="193"/>
              </w:numPr>
              <w:spacing w:before="120" w:after="120" w:line="288" w:lineRule="auto"/>
              <w:ind w:left="0"/>
              <w:jc w:val="left"/>
            </w:pPr>
            <w:r>
              <w:rPr>
                <w:rFonts w:eastAsia="等线" w:ascii="Arial" w:cs="Arial" w:hAnsi="Arial"/>
                <w:sz w:val="22"/>
              </w:rPr>
              <w:t>Merchant （Merchant Balance）</w:t>
            </w:r>
          </w:p>
          <w:p>
            <w:pPr>
              <w:numPr>
                <w:numId w:val="194"/>
              </w:numPr>
              <w:spacing w:before="120" w:after="120" w:line="288" w:lineRule="auto"/>
              <w:ind w:left="0"/>
              <w:jc w:val="left"/>
            </w:pPr>
            <w:r>
              <w:rPr>
                <w:rFonts w:eastAsia="等线" w:ascii="Arial" w:cs="Arial" w:hAnsi="Arial"/>
                <w:sz w:val="22"/>
              </w:rPr>
              <w:t>PSP （Developer Balance）</w:t>
            </w:r>
          </w:p>
          <w:p>
            <w:pPr>
              <w:spacing w:before="120" w:after="120" w:line="288" w:lineRule="auto"/>
              <w:ind w:left="0"/>
              <w:jc w:val="left"/>
            </w:pPr>
            <w:r>
              <w:rPr>
                <w:rFonts w:eastAsia="等线" w:ascii="Arial" w:cs="Arial" w:hAnsi="Arial"/>
                <w:sz w:val="22"/>
              </w:rPr>
              <w:t>这个地址集的实收金额= Merchant+PSP2 个名义账户</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 station</w:t>
            </w:r>
          </w:p>
          <w:p>
            <w:pPr>
              <w:spacing w:before="120" w:after="120" w:line="288" w:lineRule="auto"/>
              <w:ind w:left="0"/>
              <w:jc w:val="left"/>
            </w:pPr>
            <w:r>
              <w:rPr>
                <w:rFonts w:eastAsia="等线" w:ascii="Arial" w:cs="Arial" w:hAnsi="Arial"/>
                <w:sz w:val="22"/>
              </w:rPr>
              <w:t>USDC</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1.用户过期后付款</w:t>
            </w:r>
          </w:p>
        </w:tc>
        <w:tc>
          <w:tcPr>
            <w:tcW w:w="555" w:type="dxa"/>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010"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-webhook/Transaction </w:t>
            </w:r>
          </w:p>
        </w:tc>
        <w:tc>
          <w:tcPr>
            <w:tcW w:w="555" w:type="dxa"/>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55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2010"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Cobo 自动归集结算</w:t>
            </w:r>
          </w:p>
        </w:tc>
        <w:tc>
          <w:tcPr>
            <w:tcW w:w="555" w:type="dxa"/>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PSP +50</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2.SolaPex 挂账</w:t>
            </w:r>
          </w:p>
        </w:tc>
        <w:tc>
          <w:tcPr>
            <w:tcW w:w="555" w:type="dxa"/>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w:t>
            </w:r>
          </w:p>
        </w:tc>
        <w:tc>
          <w:tcPr>
            <w:tcW w:w="555"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2010"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*用户提供交易凭证完成交易核实</w:t>
            </w:r>
          </w:p>
        </w:tc>
        <w:tc>
          <w:tcPr>
            <w:tcW w:w="555" w:type="dxa"/>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资金结算给 shoplazza Payment + 49</w:t>
            </w:r>
          </w:p>
        </w:tc>
        <w:tc>
          <w:tcPr>
            <w:tcW w:w="705" w:type="dxa"/>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w:t>
            </w:r>
          </w:p>
        </w:tc>
        <w:tc>
          <w:tcPr>
            <w:tcW w:w="555"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2010"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3.Shoplazza Payment 结算给商户</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w:t>
            </w:r>
          </w:p>
        </w:tc>
        <w:tc>
          <w:tcPr>
            <w:tcW w:w="705" w:type="dxa"/>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2010"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*用户请求退款</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w:t>
            </w:r>
          </w:p>
        </w:tc>
        <w:tc>
          <w:tcPr>
            <w:tcW w:w="960"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w:t>
            </w:r>
          </w:p>
        </w:tc>
        <w:tc>
          <w:tcPr>
            <w:tcW w:w="765" w:type="dxa"/>
            <w:tcMar>
              <w:top w:type="dxa" w:w="60"/>
              <w:left w:type="dxa" w:w="120"/>
              <w:bottom w:type="dxa" w:w="30"/>
              <w:right w:type="dxa" w:w="120"/>
            </w:tcMar>
          </w:tcPr>
          <w:p>
            <w:pPr>
              <w:spacing w:before="120" w:after="120" w:line="288" w:lineRule="auto"/>
              <w:ind w:left="0"/>
              <w:jc w:val="left"/>
            </w:pP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PSP-49</w:t>
            </w:r>
          </w:p>
        </w:tc>
        <w:tc>
          <w:tcPr>
            <w:tcW w:w="55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29" w:id="29"/>
      <w:r>
        <w:rPr>
          <w:rFonts w:eastAsia="等线" w:ascii="Arial" w:cs="Arial" w:hAnsi="Arial"/>
          <w:color w:val="3370ff"/>
          <w:sz w:val="32"/>
        </w:rPr>
        <w:t xml:space="preserve">3.3 </w:t>
      </w:r>
      <w:r>
        <w:rPr>
          <w:rFonts w:eastAsia="等线" w:ascii="Arial" w:cs="Arial" w:hAnsi="Arial"/>
          <w:b w:val="true"/>
          <w:strike w:val="true"/>
          <w:sz w:val="32"/>
        </w:rPr>
        <w:t xml:space="preserve">预警通知 </w:t>
      </w:r>
      <w:r>
        <w:rPr>
          <w:rFonts w:eastAsia="等线" w:ascii="Arial" w:cs="Arial" w:hAnsi="Arial"/>
          <w:b w:val="true"/>
          <w:sz w:val="32"/>
        </w:rPr>
        <w:t>不做了</w:t>
      </w:r>
      <w:bookmarkEnd w:id="29"/>
    </w:p>
    <w:p>
      <w:pPr>
        <w:spacing w:before="120" w:after="120" w:line="288" w:lineRule="auto"/>
        <w:ind w:left="0"/>
        <w:jc w:val="left"/>
      </w:pPr>
      <w:r>
        <w:rPr>
          <w:rFonts w:eastAsia="等线" w:ascii="Arial" w:cs="Arial" w:hAnsi="Arial"/>
          <w:strike w:val="true"/>
          <w:sz w:val="22"/>
        </w:rPr>
        <w:t>邮件通知可配置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05"/>
        <w:gridCol w:w="2235"/>
        <w:gridCol w:w="3240"/>
      </w:tblGrid>
      <w:tr>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中文文案</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英文文案</w:t>
            </w:r>
          </w:p>
        </w:tc>
      </w:tr>
      <w:tr>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多付</w:t>
            </w:r>
          </w:p>
          <w:p>
            <w:pPr>
              <w:spacing w:before="120" w:after="120" w:line="288" w:lineRule="auto"/>
              <w:ind w:left="0"/>
              <w:jc w:val="left"/>
            </w:pPr>
            <w:r>
              <w:rPr>
                <w:rFonts w:eastAsia="等线" w:ascii="Arial" w:cs="Arial" w:hAnsi="Arial"/>
                <w:strike w:val="true"/>
                <w:sz w:val="22"/>
              </w:rPr>
              <w:t>订单过期后，交易单状态=overpaid</w:t>
            </w:r>
          </w:p>
        </w:tc>
        <w:tc>
          <w:tcPr>
            <w:tcW w:w="2235" w:type="dxa"/>
            <w:tcMar>
              <w:top w:type="dxa" w:w="60"/>
              <w:left w:type="dxa" w:w="120"/>
              <w:bottom w:type="dxa" w:w="30"/>
              <w:right w:type="dxa" w:w="120"/>
            </w:tcMar>
          </w:tcPr>
          <w:p>
            <w:pPr>
              <w:spacing w:before="120" w:after="120" w:line="288" w:lineRule="auto"/>
              <w:ind w:left="0"/>
              <w:jc w:val="left"/>
            </w:pPr>
          </w:p>
        </w:tc>
        <w:tc>
          <w:tcPr>
            <w:tcW w:w="3240" w:type="dxa"/>
            <w:tcMar>
              <w:top w:type="dxa" w:w="60"/>
              <w:left w:type="dxa" w:w="120"/>
              <w:bottom w:type="dxa" w:w="30"/>
              <w:right w:type="dxa" w:w="120"/>
            </w:tcMar>
          </w:tcPr>
          <w:p>
            <w:pPr>
              <w:spacing w:before="120" w:after="120" w:line="288" w:lineRule="auto"/>
              <w:ind w:left="0"/>
              <w:jc w:val="left"/>
            </w:pPr>
          </w:p>
        </w:tc>
      </w:tr>
      <w:tr>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少付</w:t>
            </w:r>
          </w:p>
          <w:p>
            <w:pPr>
              <w:spacing w:before="120" w:after="120" w:line="288" w:lineRule="auto"/>
              <w:ind w:left="0"/>
              <w:jc w:val="left"/>
            </w:pPr>
            <w:r>
              <w:rPr>
                <w:rFonts w:eastAsia="等线" w:ascii="Arial" w:cs="Arial" w:hAnsi="Arial"/>
                <w:strike w:val="true"/>
                <w:sz w:val="22"/>
              </w:rPr>
              <w:t>订单过期后，交易单状态=underpaid</w:t>
            </w:r>
          </w:p>
        </w:tc>
        <w:tc>
          <w:tcPr>
            <w:tcW w:w="2235" w:type="dxa"/>
            <w:tcMar>
              <w:top w:type="dxa" w:w="60"/>
              <w:left w:type="dxa" w:w="120"/>
              <w:bottom w:type="dxa" w:w="30"/>
              <w:right w:type="dxa" w:w="120"/>
            </w:tcMar>
          </w:tcPr>
          <w:p>
            <w:pPr>
              <w:spacing w:before="120" w:after="120" w:line="288" w:lineRule="auto"/>
              <w:ind w:left="0"/>
              <w:jc w:val="left"/>
            </w:pPr>
          </w:p>
        </w:tc>
        <w:tc>
          <w:tcPr>
            <w:tcW w:w="324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0" w:id="30"/>
      <w:r>
        <w:rPr>
          <w:rFonts w:eastAsia="等线" w:ascii="Arial" w:cs="Arial" w:hAnsi="Arial"/>
          <w:color w:val="3370ff"/>
          <w:sz w:val="32"/>
        </w:rPr>
        <w:t xml:space="preserve">3.4 </w:t>
      </w:r>
      <w:r>
        <w:rPr>
          <w:rFonts w:eastAsia="等线" w:ascii="Arial" w:cs="Arial" w:hAnsi="Arial"/>
          <w:b w:val="true"/>
          <w:sz w:val="32"/>
        </w:rPr>
        <w:t>交易路由---本期不做</w:t>
      </w:r>
      <w:bookmarkEnd w:id="30"/>
    </w:p>
    <w:p>
      <w:pPr>
        <w:spacing w:before="120" w:after="120" w:line="288" w:lineRule="auto"/>
        <w:ind w:left="0"/>
        <w:jc w:val="left"/>
      </w:pPr>
      <w:r>
        <w:rPr>
          <w:rFonts w:eastAsia="等线" w:ascii="Arial" w:cs="Arial" w:hAnsi="Arial"/>
          <w:sz w:val="22"/>
        </w:rPr>
        <w:t>业务层创建订单后，调用路由服务（优先做成配置表）。将逐笔交易分配渠道。</w:t>
      </w:r>
    </w:p>
    <w:p>
      <w:pPr>
        <w:numPr>
          <w:numId w:val="195"/>
        </w:numPr>
        <w:spacing w:before="120" w:after="120" w:line="288" w:lineRule="auto"/>
        <w:ind w:left="0"/>
        <w:jc w:val="left"/>
      </w:pPr>
      <w:r>
        <w:rPr>
          <w:rFonts w:eastAsia="等线" w:ascii="Arial" w:cs="Arial" w:hAnsi="Arial"/>
          <w:sz w:val="22"/>
        </w:rPr>
        <w:t>规则筛选：根据订单信息（商户、产品、金额、支付方式等）筛选出所有符合条件的规则。</w:t>
      </w:r>
    </w:p>
    <w:p>
      <w:pPr>
        <w:numPr>
          <w:numId w:val="196"/>
        </w:numPr>
        <w:spacing w:before="120" w:after="120" w:line="288" w:lineRule="auto"/>
        <w:ind w:left="0"/>
        <w:jc w:val="left"/>
      </w:pPr>
      <w:r>
        <w:rPr>
          <w:rFonts w:eastAsia="等线" w:ascii="Arial" w:cs="Arial" w:hAnsi="Arial"/>
          <w:sz w:val="22"/>
        </w:rPr>
        <w:t>优先级排序：按</w:t>
      </w:r>
      <w:r>
        <w:rPr>
          <w:rFonts w:eastAsia="Consolas" w:ascii="Consolas" w:cs="Consolas" w:hAnsi="Consolas"/>
          <w:sz w:val="22"/>
          <w:shd w:fill="EFF0F1"/>
        </w:rPr>
        <w:t>priority</w:t>
      </w:r>
      <w:r>
        <w:rPr>
          <w:rFonts w:eastAsia="等线" w:ascii="Arial" w:cs="Arial" w:hAnsi="Arial"/>
          <w:sz w:val="22"/>
        </w:rPr>
        <w:t>升序排列。</w:t>
      </w:r>
    </w:p>
    <w:p>
      <w:pPr>
        <w:numPr>
          <w:numId w:val="197"/>
        </w:numPr>
        <w:spacing w:before="120" w:after="120" w:line="288" w:lineRule="auto"/>
        <w:ind w:left="0"/>
        <w:jc w:val="left"/>
      </w:pPr>
      <w:r>
        <w:rPr>
          <w:rFonts w:eastAsia="等线" w:ascii="Arial" w:cs="Arial" w:hAnsi="Arial"/>
          <w:sz w:val="22"/>
        </w:rPr>
        <w:t>渠道分配：选择优先级最高的规则，将其对应的</w:t>
      </w:r>
      <w:r>
        <w:rPr>
          <w:rFonts w:eastAsia="Consolas" w:ascii="Consolas" w:cs="Consolas" w:hAnsi="Consolas"/>
          <w:sz w:val="22"/>
          <w:shd w:fill="EFF0F1"/>
        </w:rPr>
        <w:t>channel_id</w:t>
      </w:r>
      <w:r>
        <w:rPr>
          <w:rFonts w:eastAsia="等线" w:ascii="Arial" w:cs="Arial" w:hAnsi="Arial"/>
          <w:sz w:val="22"/>
        </w:rPr>
        <w:t>作为最终路由结果。</w:t>
      </w:r>
    </w:p>
    <w:p>
      <w:pPr>
        <w:spacing w:before="120" w:after="120" w:line="288" w:lineRule="auto"/>
        <w:ind w:left="0"/>
        <w:jc w:val="left"/>
      </w:pPr>
      <w:r>
        <w:rPr>
          <w:rFonts w:eastAsia="等线" w:ascii="Arial" w:cs="Arial" w:hAnsi="Arial"/>
          <w:b w:val="true"/>
          <w:sz w:val="22"/>
        </w:rPr>
        <w:t>交易路由表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15"/>
        <w:gridCol w:w="1215"/>
        <w:gridCol w:w="4350"/>
      </w:tblGrid>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路由规则编号</w:t>
            </w:r>
          </w:p>
        </w:tc>
        <w:tc>
          <w:tcPr>
            <w:tcW w:w="1215" w:type="dxa"/>
            <w:tcMar>
              <w:top w:type="dxa" w:w="60"/>
              <w:left w:type="dxa" w:w="120"/>
              <w:bottom w:type="dxa" w:w="30"/>
              <w:right w:type="dxa" w:w="120"/>
            </w:tcMar>
          </w:tcPr>
          <w:p>
            <w:pPr>
              <w:spacing w:before="120" w:after="120" w:line="288" w:lineRule="auto"/>
              <w:ind w:left="0"/>
              <w:jc w:val="left"/>
            </w:pPr>
          </w:p>
        </w:tc>
        <w:tc>
          <w:tcPr>
            <w:tcW w:w="4350" w:type="dxa"/>
            <w:tcMar>
              <w:top w:type="dxa" w:w="60"/>
              <w:left w:type="dxa" w:w="120"/>
              <w:bottom w:type="dxa" w:w="30"/>
              <w:right w:type="dxa" w:w="120"/>
            </w:tcMar>
          </w:tcPr>
          <w:p>
            <w:pPr>
              <w:spacing w:before="120" w:after="120" w:line="288" w:lineRule="auto"/>
              <w:ind w:left="0"/>
              <w:jc w:val="left"/>
            </w:pP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商户号或商户组</w:t>
            </w:r>
          </w:p>
        </w:tc>
        <w:tc>
          <w:tcPr>
            <w:tcW w:w="1215" w:type="dxa"/>
            <w:tcMar>
              <w:top w:type="dxa" w:w="60"/>
              <w:left w:type="dxa" w:w="120"/>
              <w:bottom w:type="dxa" w:w="30"/>
              <w:right w:type="dxa" w:w="120"/>
            </w:tcMar>
          </w:tcPr>
          <w:p>
            <w:pPr>
              <w:spacing w:before="120" w:after="120" w:line="288" w:lineRule="auto"/>
              <w:ind w:left="0"/>
              <w:jc w:val="left"/>
            </w:pP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all，支持通配商户</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业务线</w:t>
            </w:r>
          </w:p>
        </w:tc>
        <w:tc>
          <w:tcPr>
            <w:tcW w:w="1215" w:type="dxa"/>
            <w:tcMar>
              <w:top w:type="dxa" w:w="60"/>
              <w:left w:type="dxa" w:w="120"/>
              <w:bottom w:type="dxa" w:w="30"/>
              <w:right w:type="dxa" w:w="120"/>
            </w:tcMar>
          </w:tcPr>
          <w:p>
            <w:pPr>
              <w:spacing w:before="120" w:after="120" w:line="288" w:lineRule="auto"/>
              <w:ind w:left="0"/>
              <w:jc w:val="left"/>
            </w:pPr>
          </w:p>
        </w:tc>
        <w:tc>
          <w:tcPr>
            <w:tcW w:w="4350" w:type="dxa"/>
            <w:tcMar>
              <w:top w:type="dxa" w:w="60"/>
              <w:left w:type="dxa" w:w="120"/>
              <w:bottom w:type="dxa" w:w="30"/>
              <w:right w:type="dxa" w:w="120"/>
            </w:tcMar>
          </w:tcPr>
          <w:p>
            <w:pPr>
              <w:spacing w:before="120" w:after="120" w:line="288" w:lineRule="auto"/>
              <w:ind w:left="0"/>
              <w:jc w:val="left"/>
            </w:pP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产品编码</w:t>
            </w:r>
          </w:p>
        </w:tc>
        <w:tc>
          <w:tcPr>
            <w:tcW w:w="1215" w:type="dxa"/>
            <w:tcMar>
              <w:top w:type="dxa" w:w="60"/>
              <w:left w:type="dxa" w:w="120"/>
              <w:bottom w:type="dxa" w:w="30"/>
              <w:right w:type="dxa" w:w="120"/>
            </w:tcMar>
          </w:tcPr>
          <w:p>
            <w:pPr>
              <w:spacing w:before="120" w:after="120" w:line="288" w:lineRule="auto"/>
              <w:ind w:left="0"/>
              <w:jc w:val="left"/>
            </w:pPr>
          </w:p>
        </w:tc>
        <w:tc>
          <w:tcPr>
            <w:tcW w:w="4350" w:type="dxa"/>
            <w:tcMar>
              <w:top w:type="dxa" w:w="60"/>
              <w:left w:type="dxa" w:w="120"/>
              <w:bottom w:type="dxa" w:w="30"/>
              <w:right w:type="dxa" w:w="120"/>
            </w:tcMar>
          </w:tcPr>
          <w:p>
            <w:pPr>
              <w:spacing w:before="120" w:after="120" w:line="288" w:lineRule="auto"/>
              <w:ind w:left="0"/>
              <w:jc w:val="left"/>
            </w:pP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交易类型</w:t>
            </w:r>
          </w:p>
        </w:tc>
        <w:tc>
          <w:tcPr>
            <w:tcW w:w="1215" w:type="dxa"/>
            <w:tcMar>
              <w:top w:type="dxa" w:w="60"/>
              <w:left w:type="dxa" w:w="120"/>
              <w:bottom w:type="dxa" w:w="30"/>
              <w:right w:type="dxa" w:w="120"/>
            </w:tcMar>
          </w:tcPr>
          <w:p>
            <w:pPr>
              <w:spacing w:before="120" w:after="120" w:line="288" w:lineRule="auto"/>
              <w:ind w:left="0"/>
              <w:jc w:val="left"/>
            </w:pPr>
          </w:p>
        </w:tc>
        <w:tc>
          <w:tcPr>
            <w:tcW w:w="4350" w:type="dxa"/>
            <w:tcMar>
              <w:top w:type="dxa" w:w="60"/>
              <w:left w:type="dxa" w:w="120"/>
              <w:bottom w:type="dxa" w:w="30"/>
              <w:right w:type="dxa" w:w="120"/>
            </w:tcMar>
          </w:tcPr>
          <w:p>
            <w:pPr>
              <w:spacing w:before="120" w:after="120" w:line="288" w:lineRule="auto"/>
              <w:ind w:left="0"/>
              <w:jc w:val="left"/>
            </w:pP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支付方式类型</w:t>
            </w:r>
          </w:p>
        </w:tc>
        <w:tc>
          <w:tcPr>
            <w:tcW w:w="1215" w:type="dxa"/>
            <w:tcMar>
              <w:top w:type="dxa" w:w="60"/>
              <w:left w:type="dxa" w:w="120"/>
              <w:bottom w:type="dxa" w:w="30"/>
              <w:right w:type="dxa" w:w="120"/>
            </w:tcMar>
          </w:tcPr>
          <w:p>
            <w:pPr>
              <w:spacing w:before="120" w:after="120" w:line="288" w:lineRule="auto"/>
              <w:ind w:left="0"/>
              <w:jc w:val="left"/>
            </w:pPr>
          </w:p>
        </w:tc>
        <w:tc>
          <w:tcPr>
            <w:tcW w:w="4350" w:type="dxa"/>
            <w:tcMar>
              <w:top w:type="dxa" w:w="60"/>
              <w:left w:type="dxa" w:w="120"/>
              <w:bottom w:type="dxa" w:w="30"/>
              <w:right w:type="dxa" w:w="120"/>
            </w:tcMar>
          </w:tcPr>
          <w:p>
            <w:pPr>
              <w:spacing w:before="120" w:after="120" w:line="288" w:lineRule="auto"/>
              <w:ind w:left="0"/>
              <w:jc w:val="left"/>
            </w:pP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支付方式</w:t>
            </w:r>
          </w:p>
        </w:tc>
        <w:tc>
          <w:tcPr>
            <w:tcW w:w="1215" w:type="dxa"/>
            <w:tcMar>
              <w:top w:type="dxa" w:w="60"/>
              <w:left w:type="dxa" w:w="120"/>
              <w:bottom w:type="dxa" w:w="30"/>
              <w:right w:type="dxa" w:w="120"/>
            </w:tcMar>
          </w:tcPr>
          <w:p>
            <w:pPr>
              <w:spacing w:before="120" w:after="120" w:line="288" w:lineRule="auto"/>
              <w:ind w:left="0"/>
              <w:jc w:val="left"/>
            </w:pPr>
          </w:p>
        </w:tc>
        <w:tc>
          <w:tcPr>
            <w:tcW w:w="4350" w:type="dxa"/>
            <w:tcMar>
              <w:top w:type="dxa" w:w="60"/>
              <w:left w:type="dxa" w:w="120"/>
              <w:bottom w:type="dxa" w:w="30"/>
              <w:right w:type="dxa" w:w="120"/>
            </w:tcMar>
          </w:tcPr>
          <w:p>
            <w:pPr>
              <w:spacing w:before="120" w:after="120" w:line="288" w:lineRule="auto"/>
              <w:ind w:left="0"/>
              <w:jc w:val="left"/>
            </w:pP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清算网络</w:t>
            </w:r>
          </w:p>
        </w:tc>
        <w:tc>
          <w:tcPr>
            <w:tcW w:w="1215" w:type="dxa"/>
            <w:tcMar>
              <w:top w:type="dxa" w:w="60"/>
              <w:left w:type="dxa" w:w="120"/>
              <w:bottom w:type="dxa" w:w="30"/>
              <w:right w:type="dxa" w:w="120"/>
            </w:tcMar>
          </w:tcPr>
          <w:p>
            <w:pPr>
              <w:spacing w:before="120" w:after="120" w:line="288" w:lineRule="auto"/>
              <w:ind w:left="0"/>
              <w:jc w:val="left"/>
            </w:pPr>
          </w:p>
        </w:tc>
        <w:tc>
          <w:tcPr>
            <w:tcW w:w="4350" w:type="dxa"/>
            <w:tcMar>
              <w:top w:type="dxa" w:w="60"/>
              <w:left w:type="dxa" w:w="120"/>
              <w:bottom w:type="dxa" w:w="30"/>
              <w:right w:type="dxa" w:w="120"/>
            </w:tcMar>
          </w:tcPr>
          <w:p>
            <w:pPr>
              <w:spacing w:before="120" w:after="120" w:line="288" w:lineRule="auto"/>
              <w:ind w:left="0"/>
              <w:jc w:val="left"/>
            </w:pP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卡品牌</w:t>
            </w:r>
          </w:p>
        </w:tc>
        <w:tc>
          <w:tcPr>
            <w:tcW w:w="1215" w:type="dxa"/>
            <w:tcMar>
              <w:top w:type="dxa" w:w="60"/>
              <w:left w:type="dxa" w:w="120"/>
              <w:bottom w:type="dxa" w:w="30"/>
              <w:right w:type="dxa" w:w="120"/>
            </w:tcMar>
          </w:tcPr>
          <w:p>
            <w:pPr>
              <w:spacing w:before="120" w:after="120" w:line="288" w:lineRule="auto"/>
              <w:ind w:left="0"/>
              <w:jc w:val="left"/>
            </w:pPr>
          </w:p>
        </w:tc>
        <w:tc>
          <w:tcPr>
            <w:tcW w:w="4350" w:type="dxa"/>
            <w:tcMar>
              <w:top w:type="dxa" w:w="60"/>
              <w:left w:type="dxa" w:w="120"/>
              <w:bottom w:type="dxa" w:w="30"/>
              <w:right w:type="dxa" w:w="120"/>
            </w:tcMar>
          </w:tcPr>
          <w:p>
            <w:pPr>
              <w:spacing w:before="120" w:after="120" w:line="288" w:lineRule="auto"/>
              <w:ind w:left="0"/>
              <w:jc w:val="left"/>
            </w:pP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卡bin</w:t>
            </w:r>
          </w:p>
        </w:tc>
        <w:tc>
          <w:tcPr>
            <w:tcW w:w="1215" w:type="dxa"/>
            <w:tcMar>
              <w:top w:type="dxa" w:w="60"/>
              <w:left w:type="dxa" w:w="120"/>
              <w:bottom w:type="dxa" w:w="30"/>
              <w:right w:type="dxa" w:w="120"/>
            </w:tcMar>
          </w:tcPr>
          <w:p>
            <w:pPr>
              <w:spacing w:before="120" w:after="120" w:line="288" w:lineRule="auto"/>
              <w:ind w:left="0"/>
              <w:jc w:val="left"/>
            </w:pPr>
          </w:p>
        </w:tc>
        <w:tc>
          <w:tcPr>
            <w:tcW w:w="4350" w:type="dxa"/>
            <w:tcMar>
              <w:top w:type="dxa" w:w="60"/>
              <w:left w:type="dxa" w:w="120"/>
              <w:bottom w:type="dxa" w:w="30"/>
              <w:right w:type="dxa" w:w="120"/>
            </w:tcMar>
          </w:tcPr>
          <w:p>
            <w:pPr>
              <w:spacing w:before="120" w:after="120" w:line="288" w:lineRule="auto"/>
              <w:ind w:left="0"/>
              <w:jc w:val="left"/>
            </w:pP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交易币种</w:t>
            </w:r>
          </w:p>
        </w:tc>
        <w:tc>
          <w:tcPr>
            <w:tcW w:w="1215" w:type="dxa"/>
            <w:tcMar>
              <w:top w:type="dxa" w:w="60"/>
              <w:left w:type="dxa" w:w="120"/>
              <w:bottom w:type="dxa" w:w="30"/>
              <w:right w:type="dxa" w:w="120"/>
            </w:tcMar>
          </w:tcPr>
          <w:p>
            <w:pPr>
              <w:spacing w:before="120" w:after="120" w:line="288" w:lineRule="auto"/>
              <w:ind w:left="0"/>
              <w:jc w:val="left"/>
            </w:pPr>
          </w:p>
        </w:tc>
        <w:tc>
          <w:tcPr>
            <w:tcW w:w="4350" w:type="dxa"/>
            <w:tcMar>
              <w:top w:type="dxa" w:w="60"/>
              <w:left w:type="dxa" w:w="120"/>
              <w:bottom w:type="dxa" w:w="30"/>
              <w:right w:type="dxa" w:w="120"/>
            </w:tcMar>
          </w:tcPr>
          <w:p>
            <w:pPr>
              <w:spacing w:before="120" w:after="120" w:line="288" w:lineRule="auto"/>
              <w:ind w:left="0"/>
              <w:jc w:val="left"/>
            </w:pP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最小金额</w:t>
            </w:r>
          </w:p>
        </w:tc>
        <w:tc>
          <w:tcPr>
            <w:tcW w:w="1215" w:type="dxa"/>
            <w:tcMar>
              <w:top w:type="dxa" w:w="60"/>
              <w:left w:type="dxa" w:w="120"/>
              <w:bottom w:type="dxa" w:w="30"/>
              <w:right w:type="dxa" w:w="120"/>
            </w:tcMar>
          </w:tcPr>
          <w:p>
            <w:pPr>
              <w:spacing w:before="120" w:after="120" w:line="288" w:lineRule="auto"/>
              <w:ind w:left="0"/>
              <w:jc w:val="left"/>
            </w:pPr>
          </w:p>
        </w:tc>
        <w:tc>
          <w:tcPr>
            <w:tcW w:w="4350" w:type="dxa"/>
            <w:tcMar>
              <w:top w:type="dxa" w:w="60"/>
              <w:left w:type="dxa" w:w="120"/>
              <w:bottom w:type="dxa" w:w="30"/>
              <w:right w:type="dxa" w:w="120"/>
            </w:tcMar>
          </w:tcPr>
          <w:p>
            <w:pPr>
              <w:spacing w:before="120" w:after="120" w:line="288" w:lineRule="auto"/>
              <w:ind w:left="0"/>
              <w:jc w:val="left"/>
            </w:pP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最大金额</w:t>
            </w:r>
          </w:p>
        </w:tc>
        <w:tc>
          <w:tcPr>
            <w:tcW w:w="1215" w:type="dxa"/>
            <w:tcMar>
              <w:top w:type="dxa" w:w="60"/>
              <w:left w:type="dxa" w:w="120"/>
              <w:bottom w:type="dxa" w:w="30"/>
              <w:right w:type="dxa" w:w="120"/>
            </w:tcMar>
          </w:tcPr>
          <w:p>
            <w:pPr>
              <w:spacing w:before="120" w:after="120" w:line="288" w:lineRule="auto"/>
              <w:ind w:left="0"/>
              <w:jc w:val="left"/>
            </w:pPr>
          </w:p>
        </w:tc>
        <w:tc>
          <w:tcPr>
            <w:tcW w:w="4350" w:type="dxa"/>
            <w:tcMar>
              <w:top w:type="dxa" w:w="60"/>
              <w:left w:type="dxa" w:w="120"/>
              <w:bottom w:type="dxa" w:w="30"/>
              <w:right w:type="dxa" w:w="120"/>
            </w:tcMar>
          </w:tcPr>
          <w:p>
            <w:pPr>
              <w:spacing w:before="120" w:after="120" w:line="288" w:lineRule="auto"/>
              <w:ind w:left="0"/>
              <w:jc w:val="left"/>
            </w:pP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起始时间</w:t>
            </w:r>
          </w:p>
        </w:tc>
        <w:tc>
          <w:tcPr>
            <w:tcW w:w="1215" w:type="dxa"/>
            <w:tcMar>
              <w:top w:type="dxa" w:w="60"/>
              <w:left w:type="dxa" w:w="120"/>
              <w:bottom w:type="dxa" w:w="30"/>
              <w:right w:type="dxa" w:w="120"/>
            </w:tcMar>
          </w:tcPr>
          <w:p>
            <w:pPr>
              <w:spacing w:before="120" w:after="120" w:line="288" w:lineRule="auto"/>
              <w:ind w:left="0"/>
              <w:jc w:val="left"/>
            </w:pPr>
          </w:p>
        </w:tc>
        <w:tc>
          <w:tcPr>
            <w:tcW w:w="4350" w:type="dxa"/>
            <w:tcMar>
              <w:top w:type="dxa" w:w="60"/>
              <w:left w:type="dxa" w:w="120"/>
              <w:bottom w:type="dxa" w:w="30"/>
              <w:right w:type="dxa" w:w="120"/>
            </w:tcMar>
          </w:tcPr>
          <w:p>
            <w:pPr>
              <w:spacing w:before="120" w:after="120" w:line="288" w:lineRule="auto"/>
              <w:ind w:left="0"/>
              <w:jc w:val="left"/>
            </w:pP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结束时间</w:t>
            </w:r>
          </w:p>
        </w:tc>
        <w:tc>
          <w:tcPr>
            <w:tcW w:w="1215" w:type="dxa"/>
            <w:tcMar>
              <w:top w:type="dxa" w:w="60"/>
              <w:left w:type="dxa" w:w="120"/>
              <w:bottom w:type="dxa" w:w="30"/>
              <w:right w:type="dxa" w:w="120"/>
            </w:tcMar>
          </w:tcPr>
          <w:p>
            <w:pPr>
              <w:spacing w:before="120" w:after="120" w:line="288" w:lineRule="auto"/>
              <w:ind w:left="0"/>
              <w:jc w:val="left"/>
            </w:pPr>
          </w:p>
        </w:tc>
        <w:tc>
          <w:tcPr>
            <w:tcW w:w="4350" w:type="dxa"/>
            <w:tcMar>
              <w:top w:type="dxa" w:w="60"/>
              <w:left w:type="dxa" w:w="120"/>
              <w:bottom w:type="dxa" w:w="30"/>
              <w:right w:type="dxa" w:w="120"/>
            </w:tcMar>
          </w:tcPr>
          <w:p>
            <w:pPr>
              <w:spacing w:before="120" w:after="120" w:line="288" w:lineRule="auto"/>
              <w:ind w:left="0"/>
              <w:jc w:val="left"/>
            </w:pP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渠道编号</w:t>
            </w:r>
          </w:p>
        </w:tc>
        <w:tc>
          <w:tcPr>
            <w:tcW w:w="1215" w:type="dxa"/>
            <w:tcMar>
              <w:top w:type="dxa" w:w="60"/>
              <w:left w:type="dxa" w:w="120"/>
              <w:bottom w:type="dxa" w:w="30"/>
              <w:right w:type="dxa" w:w="120"/>
            </w:tcMar>
          </w:tcPr>
          <w:p>
            <w:pPr>
              <w:spacing w:before="120" w:after="120" w:line="288" w:lineRule="auto"/>
              <w:ind w:left="0"/>
              <w:jc w:val="left"/>
            </w:pP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photonpay、cobo</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优先级</w:t>
            </w:r>
          </w:p>
        </w:tc>
        <w:tc>
          <w:tcPr>
            <w:tcW w:w="1215" w:type="dxa"/>
            <w:tcMar>
              <w:top w:type="dxa" w:w="60"/>
              <w:left w:type="dxa" w:w="120"/>
              <w:bottom w:type="dxa" w:w="30"/>
              <w:right w:type="dxa" w:w="120"/>
            </w:tcMar>
          </w:tcPr>
          <w:p>
            <w:pPr>
              <w:spacing w:before="120" w:after="120" w:line="288" w:lineRule="auto"/>
              <w:ind w:left="0"/>
              <w:jc w:val="left"/>
            </w:pP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优先级：参数越小，优先级越高</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生效状态</w:t>
            </w:r>
          </w:p>
        </w:tc>
        <w:tc>
          <w:tcPr>
            <w:tcW w:w="1215" w:type="dxa"/>
            <w:tcMar>
              <w:top w:type="dxa" w:w="60"/>
              <w:left w:type="dxa" w:w="120"/>
              <w:bottom w:type="dxa" w:w="30"/>
              <w:right w:type="dxa" w:w="120"/>
            </w:tcMar>
          </w:tcPr>
          <w:p>
            <w:pPr>
              <w:spacing w:before="120" w:after="120" w:line="288" w:lineRule="auto"/>
              <w:ind w:left="0"/>
              <w:jc w:val="left"/>
            </w:pP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禁用/启用</w:t>
            </w:r>
          </w:p>
        </w:tc>
      </w:tr>
    </w:tbl>
    <w:p>
      <w:pPr>
        <w:pStyle w:val="2"/>
        <w:spacing w:before="320" w:after="120" w:line="288" w:lineRule="auto"/>
        <w:ind w:left="0"/>
        <w:jc w:val="left"/>
        <w:outlineLvl w:val="1"/>
      </w:pPr>
      <w:bookmarkStart w:name="heading_31" w:id="31"/>
      <w:r>
        <w:rPr>
          <w:rFonts w:eastAsia="等线" w:ascii="Arial" w:cs="Arial" w:hAnsi="Arial"/>
          <w:color w:val="3370ff"/>
          <w:sz w:val="32"/>
        </w:rPr>
        <w:t xml:space="preserve">3.5 </w:t>
      </w:r>
      <w:r>
        <w:rPr>
          <w:rFonts w:eastAsia="等线" w:ascii="Arial" w:cs="Arial" w:hAnsi="Arial"/>
          <w:b w:val="true"/>
          <w:sz w:val="32"/>
        </w:rPr>
        <w:t>运营平台</w:t>
      </w:r>
      <w:bookmarkEnd w:id="31"/>
    </w:p>
    <w:p>
      <w:pPr>
        <w:spacing w:before="120" w:after="120" w:line="288" w:lineRule="auto"/>
        <w:ind w:left="0"/>
        <w:jc w:val="left"/>
      </w:pPr>
      <w:r>
        <w:rPr>
          <w:rFonts w:eastAsia="等线" w:ascii="Arial" w:cs="Arial" w:hAnsi="Arial"/>
          <w:sz w:val="22"/>
        </w:rPr>
        <w:t>OMS 运营平台中需要增加功能</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35"/>
        <w:gridCol w:w="1485"/>
        <w:gridCol w:w="3165"/>
        <w:gridCol w:w="2880"/>
      </w:tblGrid>
      <w:tr>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需求清单</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需求详情</w:t>
            </w: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交互图</w:t>
            </w:r>
          </w:p>
        </w:tc>
      </w:tr>
      <w:tr>
        <w:tc>
          <w:tcPr>
            <w:tcW w:w="73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订单管理-订单查询</w:t>
            </w:r>
          </w:p>
          <w:p>
            <w:pPr>
              <w:spacing w:before="120" w:after="120" w:line="288" w:lineRule="auto"/>
              <w:ind w:left="0"/>
              <w:jc w:val="left"/>
            </w:pP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订单列表展示</w:t>
            </w:r>
          </w:p>
          <w:p>
            <w:pPr>
              <w:spacing w:before="120" w:after="120" w:line="288" w:lineRule="auto"/>
              <w:ind w:left="0"/>
              <w:jc w:val="left"/>
            </w:pPr>
          </w:p>
        </w:tc>
        <w:tc>
          <w:tcPr>
            <w:tcW w:w="2880" w:type="dxa"/>
            <w:tcMar>
              <w:top w:type="dxa" w:w="60"/>
              <w:left w:type="dxa" w:w="120"/>
              <w:bottom w:type="dxa" w:w="30"/>
              <w:right w:type="dxa" w:w="120"/>
            </w:tcMar>
          </w:tcPr>
          <w:p>
            <w:pPr>
              <w:spacing w:before="120" w:after="120" w:line="288" w:lineRule="auto"/>
              <w:ind w:left="0"/>
              <w:jc w:val="left"/>
            </w:pPr>
          </w:p>
        </w:tc>
      </w:tr>
      <w:tr>
        <w:tc>
          <w:tcPr>
            <w:tcW w:w="735"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订单详情</w:t>
            </w:r>
          </w:p>
          <w:p>
            <w:pPr>
              <w:spacing w:before="120" w:after="120" w:line="288" w:lineRule="auto"/>
              <w:ind w:left="0"/>
              <w:jc w:val="left"/>
            </w:pPr>
          </w:p>
        </w:tc>
        <w:tc>
          <w:tcPr>
            <w:tcW w:w="3165" w:type="dxa"/>
            <w:tcMar>
              <w:top w:type="dxa" w:w="60"/>
              <w:left w:type="dxa" w:w="120"/>
              <w:bottom w:type="dxa" w:w="30"/>
              <w:right w:type="dxa" w:w="120"/>
            </w:tcMar>
          </w:tcPr>
          <w:p>
            <w:pPr>
              <w:spacing w:before="120" w:after="120" w:line="288" w:lineRule="auto"/>
              <w:ind w:left="0"/>
              <w:jc w:val="left"/>
            </w:pPr>
          </w:p>
        </w:tc>
        <w:tc>
          <w:tcPr>
            <w:tcW w:w="2880" w:type="dxa"/>
            <w:tcMar>
              <w:top w:type="dxa" w:w="60"/>
              <w:left w:type="dxa" w:w="120"/>
              <w:bottom w:type="dxa" w:w="30"/>
              <w:right w:type="dxa" w:w="120"/>
            </w:tcMar>
          </w:tcPr>
          <w:p>
            <w:pPr>
              <w:spacing w:before="120" w:after="120" w:line="288" w:lineRule="auto"/>
              <w:ind w:left="0"/>
              <w:jc w:val="center"/>
            </w:pPr>
            <w:r>
              <w:drawing>
                <wp:inline distT="0" distR="0" distB="0" distL="0">
                  <wp:extent cx="1666875" cy="191452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31"/>
                          <a:stretch>
                            <a:fillRect/>
                          </a:stretch>
                        </pic:blipFill>
                        <pic:spPr>
                          <a:xfrm>
                            <a:off x="0" y="0"/>
                            <a:ext cx="1666875" cy="1914525"/>
                          </a:xfrm>
                          <a:prstGeom prst="rect">
                            <a:avLst/>
                          </a:prstGeom>
                        </pic:spPr>
                      </pic:pic>
                    </a:graphicData>
                  </a:graphic>
                </wp:inline>
              </w:drawing>
            </w:r>
          </w:p>
          <w:p>
            <w:pPr>
              <w:spacing w:before="120" w:after="120" w:line="288" w:lineRule="auto"/>
              <w:ind w:left="0"/>
              <w:jc w:val="center"/>
            </w:pPr>
            <w:r>
              <w:drawing>
                <wp:inline distT="0" distR="0" distB="0" distL="0">
                  <wp:extent cx="1676400" cy="89535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32"/>
                          <a:stretch>
                            <a:fillRect/>
                          </a:stretch>
                        </pic:blipFill>
                        <pic:spPr>
                          <a:xfrm>
                            <a:off x="0" y="0"/>
                            <a:ext cx="1676400" cy="895350"/>
                          </a:xfrm>
                          <a:prstGeom prst="rect">
                            <a:avLst/>
                          </a:prstGeom>
                        </pic:spPr>
                      </pic:pic>
                    </a:graphicData>
                  </a:graphic>
                </wp:inline>
              </w:drawing>
            </w:r>
          </w:p>
        </w:tc>
      </w:tr>
      <w:tr>
        <w:tc>
          <w:tcPr>
            <w:tcW w:w="73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异常订单</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异常订单筛选</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单独菜单入口</w:t>
            </w:r>
          </w:p>
          <w:p>
            <w:pPr>
              <w:spacing w:before="120" w:after="120" w:line="288" w:lineRule="auto"/>
              <w:ind w:left="0"/>
              <w:jc w:val="left"/>
            </w:pPr>
          </w:p>
          <w:p>
            <w:pPr>
              <w:spacing w:before="120" w:after="120" w:line="288" w:lineRule="auto"/>
              <w:ind w:left="0"/>
              <w:jc w:val="left"/>
            </w:pPr>
          </w:p>
        </w:tc>
        <w:tc>
          <w:tcPr>
            <w:tcW w:w="2880" w:type="dxa"/>
            <w:tcMar>
              <w:top w:type="dxa" w:w="60"/>
              <w:left w:type="dxa" w:w="120"/>
              <w:bottom w:type="dxa" w:w="30"/>
              <w:right w:type="dxa" w:w="120"/>
            </w:tcMar>
          </w:tcPr>
          <w:p>
            <w:pPr>
              <w:spacing w:before="120" w:after="120" w:line="288" w:lineRule="auto"/>
              <w:ind w:left="0"/>
              <w:jc w:val="center"/>
            </w:pPr>
            <w:r>
              <w:drawing>
                <wp:inline distT="0" distR="0" distB="0" distL="0">
                  <wp:extent cx="1676400" cy="133350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3"/>
                          <a:stretch>
                            <a:fillRect/>
                          </a:stretch>
                        </pic:blipFill>
                        <pic:spPr>
                          <a:xfrm>
                            <a:off x="0" y="0"/>
                            <a:ext cx="1676400" cy="1333500"/>
                          </a:xfrm>
                          <a:prstGeom prst="rect">
                            <a:avLst/>
                          </a:prstGeom>
                        </pic:spPr>
                      </pic:pic>
                    </a:graphicData>
                  </a:graphic>
                </wp:inline>
              </w:drawing>
            </w:r>
          </w:p>
          <w:p>
            <w:pPr>
              <w:spacing w:before="120" w:after="120" w:line="288" w:lineRule="auto"/>
              <w:ind w:left="0"/>
              <w:jc w:val="left"/>
            </w:pPr>
          </w:p>
        </w:tc>
      </w:tr>
      <w:tr>
        <w:tc>
          <w:tcPr>
            <w:tcW w:w="735"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异常订单认领</w:t>
            </w:r>
          </w:p>
        </w:tc>
        <w:tc>
          <w:tcPr>
            <w:tcW w:w="3165" w:type="dxa"/>
            <w:tcMar>
              <w:top w:type="dxa" w:w="60"/>
              <w:left w:type="dxa" w:w="120"/>
              <w:bottom w:type="dxa" w:w="30"/>
              <w:right w:type="dxa" w:w="120"/>
            </w:tcMar>
          </w:tcPr>
          <w:p>
            <w:pPr>
              <w:spacing w:before="120" w:after="120" w:line="288" w:lineRule="auto"/>
              <w:ind w:left="0"/>
              <w:jc w:val="left"/>
            </w:pPr>
          </w:p>
        </w:tc>
        <w:tc>
          <w:tcPr>
            <w:tcW w:w="2880" w:type="dxa"/>
            <w:tcMar>
              <w:top w:type="dxa" w:w="60"/>
              <w:left w:type="dxa" w:w="120"/>
              <w:bottom w:type="dxa" w:w="30"/>
              <w:right w:type="dxa" w:w="120"/>
            </w:tcMar>
          </w:tcPr>
          <w:p>
            <w:pPr>
              <w:spacing w:before="120" w:after="120" w:line="288" w:lineRule="auto"/>
              <w:ind w:left="0"/>
              <w:jc w:val="center"/>
            </w:pPr>
            <w:r>
              <w:drawing>
                <wp:inline distT="0" distR="0" distB="0" distL="0">
                  <wp:extent cx="1676400" cy="133350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4"/>
                          <a:stretch>
                            <a:fillRect/>
                          </a:stretch>
                        </pic:blipFill>
                        <pic:spPr>
                          <a:xfrm>
                            <a:off x="0" y="0"/>
                            <a:ext cx="1676400" cy="1333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比对成功</w:t>
            </w:r>
          </w:p>
          <w:p>
            <w:pPr>
              <w:spacing w:before="120" w:after="120" w:line="288" w:lineRule="auto"/>
              <w:ind w:left="0"/>
              <w:jc w:val="center"/>
            </w:pPr>
            <w:r>
              <w:drawing>
                <wp:inline distT="0" distR="0" distB="0" distL="0">
                  <wp:extent cx="1676400" cy="133350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5"/>
                          <a:stretch>
                            <a:fillRect/>
                          </a:stretch>
                        </pic:blipFill>
                        <pic:spPr>
                          <a:xfrm>
                            <a:off x="0" y="0"/>
                            <a:ext cx="1676400" cy="1333500"/>
                          </a:xfrm>
                          <a:prstGeom prst="rect">
                            <a:avLst/>
                          </a:prstGeom>
                        </pic:spPr>
                      </pic:pic>
                    </a:graphicData>
                  </a:graphic>
                </wp:inline>
              </w:drawing>
            </w:r>
          </w:p>
        </w:tc>
      </w:tr>
      <w:tr>
        <w:tc>
          <w:tcPr>
            <w:tcW w:w="735"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p>
        </w:tc>
        <w:tc>
          <w:tcPr>
            <w:tcW w:w="3165" w:type="dxa"/>
            <w:tcMar>
              <w:top w:type="dxa" w:w="60"/>
              <w:left w:type="dxa" w:w="120"/>
              <w:bottom w:type="dxa" w:w="30"/>
              <w:right w:type="dxa" w:w="120"/>
            </w:tcMar>
          </w:tcPr>
          <w:p>
            <w:pPr>
              <w:spacing w:before="120" w:after="120" w:line="288" w:lineRule="auto"/>
              <w:ind w:left="0"/>
              <w:jc w:val="left"/>
            </w:pP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交易补单</w:t>
            </w:r>
          </w:p>
          <w:p>
            <w:pPr>
              <w:spacing w:before="120" w:after="120" w:line="288" w:lineRule="auto"/>
              <w:ind w:left="0"/>
              <w:jc w:val="center"/>
            </w:pPr>
            <w:r>
              <w:drawing>
                <wp:inline distT="0" distR="0" distB="0" distL="0">
                  <wp:extent cx="1676400" cy="133350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6"/>
                          <a:stretch>
                            <a:fillRect/>
                          </a:stretch>
                        </pic:blipFill>
                        <pic:spPr>
                          <a:xfrm>
                            <a:off x="0" y="0"/>
                            <a:ext cx="1676400" cy="1333500"/>
                          </a:xfrm>
                          <a:prstGeom prst="rect">
                            <a:avLst/>
                          </a:prstGeom>
                        </pic:spPr>
                      </pic:pic>
                    </a:graphicData>
                  </a:graphic>
                </wp:inline>
              </w:drawing>
            </w:r>
          </w:p>
          <w:p>
            <w:pPr>
              <w:spacing w:before="120" w:after="120" w:line="288" w:lineRule="auto"/>
              <w:ind w:left="0"/>
              <w:jc w:val="center"/>
            </w:pPr>
            <w:r>
              <w:drawing>
                <wp:inline distT="0" distR="0" distB="0" distL="0">
                  <wp:extent cx="1676400" cy="1333500"/>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7"/>
                          <a:stretch>
                            <a:fillRect/>
                          </a:stretch>
                        </pic:blipFill>
                        <pic:spPr>
                          <a:xfrm>
                            <a:off x="0" y="0"/>
                            <a:ext cx="1676400" cy="1333500"/>
                          </a:xfrm>
                          <a:prstGeom prst="rect">
                            <a:avLst/>
                          </a:prstGeom>
                        </pic:spPr>
                      </pic:pic>
                    </a:graphicData>
                  </a:graphic>
                </wp:inline>
              </w:drawing>
            </w:r>
          </w:p>
          <w:p>
            <w:pPr>
              <w:spacing w:before="120" w:after="120" w:line="288" w:lineRule="auto"/>
              <w:ind w:left="0"/>
              <w:jc w:val="left"/>
            </w:pPr>
          </w:p>
        </w:tc>
      </w:tr>
      <w:tr>
        <w:tc>
          <w:tcPr>
            <w:tcW w:w="735"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p>
        </w:tc>
        <w:tc>
          <w:tcPr>
            <w:tcW w:w="3165" w:type="dxa"/>
            <w:tcMar>
              <w:top w:type="dxa" w:w="60"/>
              <w:left w:type="dxa" w:w="120"/>
              <w:bottom w:type="dxa" w:w="30"/>
              <w:right w:type="dxa" w:w="120"/>
            </w:tcMar>
          </w:tcPr>
          <w:p>
            <w:pPr>
              <w:spacing w:before="120" w:after="120" w:line="288" w:lineRule="auto"/>
              <w:ind w:left="0"/>
              <w:jc w:val="left"/>
            </w:pPr>
          </w:p>
        </w:tc>
        <w:tc>
          <w:tcPr>
            <w:tcW w:w="2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交易退款</w:t>
            </w:r>
          </w:p>
          <w:p>
            <w:pPr>
              <w:spacing w:before="120" w:after="120" w:line="288" w:lineRule="auto"/>
              <w:ind w:left="0"/>
              <w:jc w:val="center"/>
            </w:pPr>
            <w:r>
              <w:drawing>
                <wp:inline distT="0" distR="0" distB="0" distL="0">
                  <wp:extent cx="1676400" cy="133350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37"/>
                          <a:stretch>
                            <a:fillRect/>
                          </a:stretch>
                        </pic:blipFill>
                        <pic:spPr>
                          <a:xfrm>
                            <a:off x="0" y="0"/>
                            <a:ext cx="1676400" cy="1333500"/>
                          </a:xfrm>
                          <a:prstGeom prst="rect">
                            <a:avLst/>
                          </a:prstGeom>
                        </pic:spPr>
                      </pic:pic>
                    </a:graphicData>
                  </a:graphic>
                </wp:inline>
              </w:drawing>
            </w:r>
          </w:p>
          <w:p>
            <w:pPr>
              <w:spacing w:before="120" w:after="120" w:line="288" w:lineRule="auto"/>
              <w:ind w:left="0"/>
              <w:jc w:val="left"/>
            </w:pPr>
          </w:p>
        </w:tc>
      </w:tr>
      <w:tr>
        <w:tc>
          <w:tcPr>
            <w:tcW w:w="735" w:type="dxa"/>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交易路由设置</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路由列表</w:t>
            </w:r>
          </w:p>
        </w:tc>
        <w:tc>
          <w:tcPr>
            <w:tcW w:w="2880" w:type="dxa"/>
            <w:tcMar>
              <w:top w:type="dxa" w:w="60"/>
              <w:left w:type="dxa" w:w="120"/>
              <w:bottom w:type="dxa" w:w="30"/>
              <w:right w:type="dxa" w:w="120"/>
            </w:tcMar>
          </w:tcPr>
          <w:p>
            <w:pPr>
              <w:spacing w:before="120" w:after="120" w:line="288" w:lineRule="auto"/>
              <w:ind w:left="0"/>
              <w:jc w:val="center"/>
            </w:pPr>
            <w:r>
              <w:drawing>
                <wp:inline distT="0" distR="0" distB="0" distL="0">
                  <wp:extent cx="1676400" cy="1333500"/>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38"/>
                          <a:stretch>
                            <a:fillRect/>
                          </a:stretch>
                        </pic:blipFill>
                        <pic:spPr>
                          <a:xfrm>
                            <a:off x="0" y="0"/>
                            <a:ext cx="1676400" cy="1333500"/>
                          </a:xfrm>
                          <a:prstGeom prst="rect">
                            <a:avLst/>
                          </a:prstGeom>
                        </pic:spPr>
                      </pic:pic>
                    </a:graphicData>
                  </a:graphic>
                </wp:inline>
              </w:drawing>
            </w:r>
          </w:p>
          <w:p>
            <w:pPr>
              <w:spacing w:before="120" w:after="120" w:line="288" w:lineRule="auto"/>
              <w:ind w:left="0"/>
              <w:jc w:val="left"/>
            </w:pPr>
          </w:p>
        </w:tc>
      </w:tr>
      <w:tr>
        <w:tc>
          <w:tcPr>
            <w:tcW w:w="735" w:type="dxa"/>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新增路由规则</w:t>
            </w:r>
          </w:p>
        </w:tc>
        <w:tc>
          <w:tcPr>
            <w:tcW w:w="2880" w:type="dxa"/>
            <w:tcMar>
              <w:top w:type="dxa" w:w="60"/>
              <w:left w:type="dxa" w:w="120"/>
              <w:bottom w:type="dxa" w:w="30"/>
              <w:right w:type="dxa" w:w="120"/>
            </w:tcMar>
          </w:tcPr>
          <w:p>
            <w:pPr>
              <w:spacing w:before="120" w:after="120" w:line="288" w:lineRule="auto"/>
              <w:ind w:left="0"/>
              <w:jc w:val="center"/>
            </w:pPr>
            <w:r>
              <w:drawing>
                <wp:inline distT="0" distR="0" distB="0" distL="0">
                  <wp:extent cx="1676400" cy="1533525"/>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39"/>
                          <a:stretch>
                            <a:fillRect/>
                          </a:stretch>
                        </pic:blipFill>
                        <pic:spPr>
                          <a:xfrm>
                            <a:off x="0" y="0"/>
                            <a:ext cx="1676400" cy="1533525"/>
                          </a:xfrm>
                          <a:prstGeom prst="rect">
                            <a:avLst/>
                          </a:prstGeom>
                        </pic:spPr>
                      </pic:pic>
                    </a:graphicData>
                  </a:graphic>
                </wp:inline>
              </w:drawing>
            </w:r>
          </w:p>
          <w:p>
            <w:pPr>
              <w:spacing w:before="120" w:after="120" w:line="288" w:lineRule="auto"/>
              <w:ind w:left="0"/>
              <w:jc w:val="left"/>
            </w:pPr>
          </w:p>
        </w:tc>
      </w:tr>
      <w:tr>
        <w:tc>
          <w:tcPr>
            <w:tcW w:w="735" w:type="dxa"/>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智能路由</w:t>
            </w:r>
          </w:p>
          <w:p>
            <w:pPr>
              <w:spacing w:before="120" w:after="120" w:line="288" w:lineRule="auto"/>
              <w:ind w:left="0"/>
              <w:jc w:val="left"/>
            </w:pP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通过画布新建路由规则</w:t>
            </w:r>
          </w:p>
          <w:p>
            <w:pPr>
              <w:spacing w:before="120" w:after="120" w:line="288" w:lineRule="auto"/>
              <w:ind w:left="0"/>
              <w:jc w:val="left"/>
            </w:pPr>
          </w:p>
        </w:tc>
        <w:tc>
          <w:tcPr>
            <w:tcW w:w="2880" w:type="dxa"/>
            <w:tcMar>
              <w:top w:type="dxa" w:w="60"/>
              <w:left w:type="dxa" w:w="120"/>
              <w:bottom w:type="dxa" w:w="30"/>
              <w:right w:type="dxa" w:w="120"/>
            </w:tcMar>
          </w:tcPr>
          <w:p>
            <w:pPr>
              <w:spacing w:before="120" w:after="120" w:line="288" w:lineRule="auto"/>
              <w:ind w:left="0"/>
              <w:jc w:val="center"/>
            </w:pPr>
            <w:r>
              <w:drawing>
                <wp:inline distT="0" distR="0" distB="0" distL="0">
                  <wp:extent cx="1676400" cy="1333500"/>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40"/>
                          <a:stretch>
                            <a:fillRect/>
                          </a:stretch>
                        </pic:blipFill>
                        <pic:spPr>
                          <a:xfrm>
                            <a:off x="0" y="0"/>
                            <a:ext cx="1676400" cy="1333500"/>
                          </a:xfrm>
                          <a:prstGeom prst="rect">
                            <a:avLst/>
                          </a:prstGeom>
                        </pic:spPr>
                      </pic:pic>
                    </a:graphicData>
                  </a:graphic>
                </wp:inline>
              </w:drawing>
            </w:r>
          </w:p>
          <w:p>
            <w:pPr>
              <w:spacing w:before="120" w:after="120" w:line="288" w:lineRule="auto"/>
              <w:ind w:left="0"/>
              <w:jc w:val="left"/>
            </w:pPr>
          </w:p>
        </w:tc>
      </w:tr>
      <w:tr>
        <w:tc>
          <w:tcPr>
            <w:tcW w:w="735" w:type="dxa"/>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交易链路演算</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基于现有的交易路由全路径</w:t>
            </w:r>
          </w:p>
          <w:p>
            <w:pPr>
              <w:spacing w:before="120" w:after="120" w:line="288" w:lineRule="auto"/>
              <w:ind w:left="0"/>
              <w:jc w:val="left"/>
            </w:pPr>
            <w:r>
              <w:rPr>
                <w:rFonts w:eastAsia="等线" w:ascii="Arial" w:cs="Arial" w:hAnsi="Arial"/>
                <w:sz w:val="22"/>
              </w:rPr>
              <w:t>模拟交易预演</w:t>
            </w:r>
          </w:p>
          <w:p>
            <w:pPr>
              <w:spacing w:before="120" w:after="120" w:line="288" w:lineRule="auto"/>
              <w:ind w:left="0"/>
              <w:jc w:val="left"/>
            </w:pPr>
          </w:p>
        </w:tc>
        <w:tc>
          <w:tcPr>
            <w:tcW w:w="2880" w:type="dxa"/>
            <w:tcMar>
              <w:top w:type="dxa" w:w="60"/>
              <w:left w:type="dxa" w:w="120"/>
              <w:bottom w:type="dxa" w:w="30"/>
              <w:right w:type="dxa" w:w="120"/>
            </w:tcMar>
          </w:tcPr>
          <w:p>
            <w:pPr>
              <w:spacing w:before="120" w:after="120" w:line="288" w:lineRule="auto"/>
              <w:ind w:left="0"/>
              <w:jc w:val="center"/>
            </w:pPr>
            <w:r>
              <w:drawing>
                <wp:inline distT="0" distR="0" distB="0" distL="0">
                  <wp:extent cx="1676400" cy="847725"/>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41"/>
                          <a:stretch>
                            <a:fillRect/>
                          </a:stretch>
                        </pic:blipFill>
                        <pic:spPr>
                          <a:xfrm>
                            <a:off x="0" y="0"/>
                            <a:ext cx="1676400" cy="847725"/>
                          </a:xfrm>
                          <a:prstGeom prst="rect">
                            <a:avLst/>
                          </a:prstGeom>
                        </pic:spPr>
                      </pic:pic>
                    </a:graphicData>
                  </a:graphic>
                </wp:inline>
              </w:drawing>
            </w:r>
          </w:p>
          <w:p>
            <w:pPr>
              <w:spacing w:before="120" w:after="120" w:line="288" w:lineRule="auto"/>
              <w:ind w:left="0"/>
              <w:jc w:val="left"/>
            </w:pPr>
          </w:p>
        </w:tc>
      </w:tr>
    </w:tbl>
    <w:p>
      <w:pPr>
        <w:spacing w:before="120" w:after="120" w:line="288" w:lineRule="auto"/>
        <w:ind w:left="0"/>
        <w:jc w:val="left"/>
      </w:pPr>
    </w:p>
    <w:p>
      <w:pPr>
        <w:pStyle w:val="2"/>
        <w:spacing w:before="320" w:after="120" w:line="288" w:lineRule="auto"/>
        <w:ind w:left="0"/>
        <w:jc w:val="left"/>
        <w:outlineLvl w:val="1"/>
      </w:pPr>
      <w:bookmarkStart w:name="heading_32" w:id="32"/>
      <w:r>
        <w:rPr>
          <w:rFonts w:eastAsia="等线" w:ascii="Arial" w:cs="Arial" w:hAnsi="Arial"/>
          <w:color w:val="3370ff"/>
          <w:sz w:val="32"/>
        </w:rPr>
        <w:t xml:space="preserve">3.6 </w:t>
      </w:r>
      <w:r>
        <w:rPr>
          <w:rFonts w:eastAsia="等线" w:ascii="Arial" w:cs="Arial" w:hAnsi="Arial"/>
          <w:b w:val="true"/>
          <w:sz w:val="32"/>
        </w:rPr>
        <w:t xml:space="preserve"> 渠道接入</w:t>
      </w:r>
      <w:bookmarkEnd w:id="32"/>
    </w:p>
    <w:p>
      <w:pPr>
        <w:numPr>
          <w:numId w:val="198"/>
        </w:numPr>
        <w:spacing w:before="120" w:after="120" w:line="288" w:lineRule="auto"/>
        <w:ind w:left="0"/>
        <w:jc w:val="left"/>
      </w:pPr>
      <w:r>
        <w:rPr>
          <w:rFonts w:eastAsia="等线" w:ascii="Arial" w:cs="Arial" w:hAnsi="Arial"/>
          <w:sz w:val="22"/>
        </w:rPr>
        <w:t>收单API 接口清单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15"/>
        <w:gridCol w:w="2655"/>
        <w:gridCol w:w="4110"/>
      </w:tblGrid>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 接口</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使用说明</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链接</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接口文档：</w:t>
            </w:r>
            <w:r>
              <w:rPr>
                <w:rFonts w:eastAsia="等线" w:ascii="Arial" w:cs="Arial" w:hAnsi="Arial"/>
                <w:sz w:val="22"/>
              </w:rPr>
              <w:t>https://www.cobo.com/developers/v2/api-references/playground</w:t>
            </w:r>
          </w:p>
        </w:tc>
        <w:tc>
          <w:tcPr>
            <w:tcW w:w="2655" w:type="dxa"/>
            <w:hMerge w:val="continue"/>
            <w:tcMar>
              <w:top w:type="dxa" w:w="60"/>
              <w:left w:type="dxa" w:w="120"/>
              <w:bottom w:type="dxa" w:w="30"/>
              <w:right w:type="dxa" w:w="120"/>
            </w:tcMar>
          </w:tcPr>
          <w:p>
            <w:pPr>
              <w:spacing w:before="120" w:after="120" w:line="288" w:lineRule="auto"/>
              <w:ind w:left="0"/>
              <w:jc w:val="left"/>
            </w:pPr>
          </w:p>
        </w:tc>
        <w:tc>
          <w:tcPr>
            <w:tcW w:w="4110" w:type="dxa"/>
            <w:hMerge w:val="continue"/>
            <w:tcMar>
              <w:top w:type="dxa" w:w="60"/>
              <w:left w:type="dxa" w:w="120"/>
              <w:bottom w:type="dxa" w:w="30"/>
              <w:right w:type="dxa" w:w="120"/>
            </w:tcMar>
          </w:tcPr>
          <w:p>
            <w:pPr>
              <w:spacing w:before="120" w:after="120" w:line="288" w:lineRule="auto"/>
              <w:ind w:left="0"/>
              <w:jc w:val="left"/>
            </w:pP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Create order link</w:t>
            </w:r>
          </w:p>
          <w:p>
            <w:pPr>
              <w:spacing w:before="120" w:after="120" w:line="288" w:lineRule="auto"/>
              <w:ind w:left="0"/>
              <w:jc w:val="left"/>
            </w:pP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收单场景中，使用渠道的收银台</w:t>
            </w:r>
          </w:p>
          <w:p>
            <w:pPr>
              <w:numPr>
                <w:numId w:val="199"/>
              </w:numPr>
              <w:spacing w:before="120" w:after="120" w:line="288" w:lineRule="auto"/>
              <w:ind w:left="0"/>
              <w:jc w:val="left"/>
            </w:pPr>
            <w:r>
              <w:rPr>
                <w:rFonts w:eastAsia="等线" w:ascii="Arial" w:cs="Arial" w:hAnsi="Arial"/>
                <w:sz w:val="22"/>
              </w:rPr>
              <w:t>支持法币下单</w:t>
            </w:r>
          </w:p>
          <w:p>
            <w:pPr>
              <w:numPr>
                <w:numId w:val="200"/>
              </w:numPr>
              <w:spacing w:before="120" w:after="120" w:line="288" w:lineRule="auto"/>
              <w:ind w:left="0"/>
              <w:jc w:val="left"/>
            </w:pPr>
            <w:r>
              <w:rPr>
                <w:rFonts w:eastAsia="等线" w:ascii="Arial" w:cs="Arial" w:hAnsi="Arial"/>
                <w:sz w:val="22"/>
              </w:rPr>
              <w:t>可指定数币的网络范围、币种</w:t>
            </w:r>
          </w:p>
          <w:p>
            <w:pPr>
              <w:numPr>
                <w:numId w:val="201"/>
              </w:numPr>
              <w:spacing w:before="120" w:after="120" w:line="288" w:lineRule="auto"/>
              <w:ind w:left="0"/>
              <w:jc w:val="left"/>
            </w:pPr>
            <w:r>
              <w:rPr>
                <w:rFonts w:eastAsia="等线" w:ascii="Arial" w:cs="Arial" w:hAnsi="Arial"/>
                <w:sz w:val="22"/>
              </w:rPr>
              <w:t>指定过期时间，</w:t>
            </w:r>
            <w:r>
              <w:rPr>
                <w:rFonts w:eastAsia="等线" w:ascii="Arial" w:cs="Arial" w:hAnsi="Arial"/>
                <w:b w:val="true"/>
                <w:sz w:val="22"/>
              </w:rPr>
              <w:t>我方默认 6 小时</w:t>
            </w:r>
          </w:p>
          <w:p>
            <w:pPr>
              <w:numPr>
                <w:numId w:val="202"/>
              </w:numPr>
              <w:spacing w:before="120" w:after="120" w:line="288" w:lineRule="auto"/>
              <w:ind w:left="0"/>
              <w:jc w:val="left"/>
            </w:pPr>
            <w:r>
              <w:rPr>
                <w:rFonts w:eastAsia="等线" w:ascii="Arial" w:cs="Arial" w:hAnsi="Arial"/>
                <w:sz w:val="22"/>
              </w:rPr>
              <w:t>amount_tolerance ，容差值去商家传参，没有为空</w:t>
            </w:r>
          </w:p>
          <w:p>
            <w:pPr>
              <w:numPr>
                <w:numId w:val="203"/>
              </w:numPr>
              <w:spacing w:before="120" w:after="120" w:line="288" w:lineRule="auto"/>
              <w:ind w:left="0"/>
              <w:jc w:val="left"/>
            </w:pPr>
            <w:r>
              <w:rPr>
                <w:rFonts w:eastAsia="等线" w:ascii="Arial" w:cs="Arial" w:hAnsi="Arial"/>
                <w:sz w:val="22"/>
              </w:rPr>
              <w:t>use_dedicated_address，false</w:t>
            </w:r>
          </w:p>
          <w:p>
            <w:pPr>
              <w:numPr>
                <w:numId w:val="204"/>
              </w:numPr>
              <w:spacing w:before="120" w:after="120" w:line="288" w:lineRule="auto"/>
              <w:ind w:left="0"/>
              <w:jc w:val="left"/>
            </w:pPr>
            <w:r>
              <w:rPr>
                <w:rFonts w:eastAsia="等线" w:ascii="Arial" w:cs="Arial" w:hAnsi="Arial"/>
                <w:sz w:val="22"/>
              </w:rPr>
              <w:t>psp_order_id , 用 Channel gateway 的渠道单号</w:t>
            </w:r>
          </w:p>
          <w:p>
            <w:pPr>
              <w:numPr>
                <w:numId w:val="205"/>
              </w:numPr>
              <w:spacing w:before="120" w:after="120" w:line="288" w:lineRule="auto"/>
              <w:ind w:left="0"/>
              <w:jc w:val="left"/>
            </w:pPr>
            <w:r>
              <w:rPr>
                <w:rFonts w:eastAsia="等线" w:ascii="Arial" w:cs="Arial" w:hAnsi="Arial"/>
                <w:sz w:val="22"/>
              </w:rPr>
              <w:t>order_amount，对应我们的订单金额</w:t>
            </w:r>
          </w:p>
          <w:p>
            <w:pPr>
              <w:numPr>
                <w:numId w:val="206"/>
              </w:numPr>
              <w:spacing w:before="120" w:after="120" w:line="288" w:lineRule="auto"/>
              <w:ind w:left="0"/>
              <w:jc w:val="left"/>
            </w:pPr>
            <w:r>
              <w:rPr>
                <w:rFonts w:eastAsia="等线" w:ascii="Arial" w:cs="Arial" w:hAnsi="Arial"/>
                <w:sz w:val="22"/>
              </w:rPr>
              <w:t>fee_amount，0，暂不多收手续费</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https://www.cobo.com/developers/v2/api-references/payment/create-order-link</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 pay-in order information</w:t>
            </w:r>
          </w:p>
          <w:p>
            <w:pPr>
              <w:spacing w:before="120" w:after="120" w:line="288" w:lineRule="auto"/>
              <w:ind w:left="0"/>
              <w:jc w:val="left"/>
            </w:pP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单笔订单查询</w:t>
            </w:r>
          </w:p>
          <w:p>
            <w:pPr>
              <w:spacing w:before="120" w:after="120" w:line="288" w:lineRule="auto"/>
              <w:ind w:left="0"/>
              <w:jc w:val="left"/>
            </w:pPr>
            <w:r>
              <w:rPr>
                <w:rFonts w:eastAsia="等线" w:ascii="Arial" w:cs="Arial" w:hAnsi="Arial"/>
                <w:sz w:val="22"/>
              </w:rPr>
              <w:t>查询条件，传参渠道订单号</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https://www.cobo.com/developers/v2/api-references/payment/get-pay-in-order-information</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 all pay-in orders</w:t>
            </w:r>
          </w:p>
          <w:p>
            <w:pPr>
              <w:spacing w:before="120" w:after="120" w:line="288" w:lineRule="auto"/>
              <w:ind w:left="0"/>
              <w:jc w:val="left"/>
            </w:pP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批量查询</w:t>
            </w:r>
          </w:p>
          <w:p>
            <w:pPr>
              <w:spacing w:before="120" w:after="120" w:line="288" w:lineRule="auto"/>
              <w:ind w:left="0"/>
              <w:jc w:val="left"/>
            </w:pPr>
            <w:r>
              <w:rPr>
                <w:rFonts w:eastAsia="等线" w:ascii="Arial" w:cs="Arial" w:hAnsi="Arial"/>
                <w:sz w:val="22"/>
              </w:rPr>
              <w:t>查询条件，before ，after</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https://www.cobo.com/developers/v2/api-references/payment/list-all-pay-in-orders</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 pay-in order</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交易订单过期处理</w:t>
            </w:r>
          </w:p>
          <w:p>
            <w:pPr>
              <w:spacing w:before="120" w:after="120" w:line="288" w:lineRule="auto"/>
              <w:ind w:left="0"/>
              <w:jc w:val="left"/>
            </w:pPr>
            <w:r>
              <w:rPr>
                <w:rFonts w:eastAsia="等线" w:ascii="Arial" w:cs="Arial" w:hAnsi="Arial"/>
                <w:sz w:val="22"/>
              </w:rPr>
              <w:t>传参渠道订单号，以及 expired=true</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https://www.cobo.com/developers/v2/api-references/payment/update-pay-in-order</w:t>
            </w:r>
          </w:p>
        </w:tc>
      </w:tr>
      <w:tr>
        <w:tc>
          <w:tcPr>
            <w:tcW w:w="1515" w:type="dxa"/>
            <w:tcMar>
              <w:top w:type="dxa" w:w="60"/>
              <w:left w:type="dxa" w:w="120"/>
              <w:bottom w:type="dxa" w:w="30"/>
              <w:right w:type="dxa" w:w="120"/>
            </w:tcMar>
          </w:tcPr>
          <w:p>
            <w:pPr>
              <w:spacing w:before="120" w:after="120" w:line="288" w:lineRule="auto"/>
              <w:ind w:left="0"/>
              <w:jc w:val="left"/>
            </w:pPr>
          </w:p>
        </w:tc>
        <w:tc>
          <w:tcPr>
            <w:tcW w:w="2655" w:type="dxa"/>
            <w:tcMar>
              <w:top w:type="dxa" w:w="60"/>
              <w:left w:type="dxa" w:w="120"/>
              <w:bottom w:type="dxa" w:w="30"/>
              <w:right w:type="dxa" w:w="120"/>
            </w:tcMar>
          </w:tcPr>
          <w:p>
            <w:pPr>
              <w:spacing w:before="120" w:after="120" w:line="288" w:lineRule="auto"/>
              <w:ind w:left="0"/>
              <w:jc w:val="left"/>
            </w:pPr>
          </w:p>
        </w:tc>
        <w:tc>
          <w:tcPr>
            <w:tcW w:w="4110" w:type="dxa"/>
            <w:tcMar>
              <w:top w:type="dxa" w:w="60"/>
              <w:left w:type="dxa" w:w="120"/>
              <w:bottom w:type="dxa" w:w="30"/>
              <w:right w:type="dxa" w:w="120"/>
            </w:tcMar>
          </w:tcPr>
          <w:p>
            <w:pPr>
              <w:spacing w:before="120" w:after="120" w:line="288" w:lineRule="auto"/>
              <w:ind w:left="0"/>
              <w:jc w:val="left"/>
            </w:pPr>
          </w:p>
        </w:tc>
      </w:tr>
      <w:tr>
        <w:tc>
          <w:tcPr>
            <w:tcW w:w="1515" w:type="dxa"/>
            <w:tcMar>
              <w:top w:type="dxa" w:w="60"/>
              <w:left w:type="dxa" w:w="120"/>
              <w:bottom w:type="dxa" w:w="30"/>
              <w:right w:type="dxa" w:w="120"/>
            </w:tcMar>
          </w:tcPr>
          <w:p>
            <w:pPr>
              <w:spacing w:before="120" w:after="120" w:line="288" w:lineRule="auto"/>
              <w:ind w:left="0"/>
              <w:jc w:val="left"/>
            </w:pPr>
          </w:p>
        </w:tc>
        <w:tc>
          <w:tcPr>
            <w:tcW w:w="2655" w:type="dxa"/>
            <w:tcMar>
              <w:top w:type="dxa" w:w="60"/>
              <w:left w:type="dxa" w:w="120"/>
              <w:bottom w:type="dxa" w:w="30"/>
              <w:right w:type="dxa" w:w="120"/>
            </w:tcMar>
          </w:tcPr>
          <w:p>
            <w:pPr>
              <w:spacing w:before="120" w:after="120" w:line="288" w:lineRule="auto"/>
              <w:ind w:left="0"/>
              <w:jc w:val="left"/>
            </w:pPr>
          </w:p>
        </w:tc>
        <w:tc>
          <w:tcPr>
            <w:tcW w:w="4110" w:type="dxa"/>
            <w:tcMar>
              <w:top w:type="dxa" w:w="60"/>
              <w:left w:type="dxa" w:w="120"/>
              <w:bottom w:type="dxa" w:w="30"/>
              <w:right w:type="dxa" w:w="120"/>
            </w:tcMar>
          </w:tcPr>
          <w:p>
            <w:pPr>
              <w:spacing w:before="120" w:after="120" w:line="288" w:lineRule="auto"/>
              <w:ind w:left="0"/>
              <w:jc w:val="left"/>
            </w:pPr>
          </w:p>
        </w:tc>
      </w:tr>
    </w:tbl>
    <w:p>
      <w:pPr>
        <w:numPr>
          <w:numId w:val="207"/>
        </w:numPr>
        <w:spacing w:before="120" w:after="120" w:line="288" w:lineRule="auto"/>
        <w:ind w:left="0"/>
        <w:jc w:val="left"/>
      </w:pPr>
      <w:r>
        <w:rPr>
          <w:rFonts w:eastAsia="等线" w:ascii="Arial" w:cs="Arial" w:hAnsi="Arial"/>
          <w:sz w:val="22"/>
        </w:rPr>
        <w:t>交易单、支付单的状态</w:t>
      </w:r>
    </w:p>
    <w:p>
      <w:pPr>
        <w:spacing w:before="120" w:after="120" w:line="288" w:lineRule="auto"/>
        <w:ind w:left="0"/>
        <w:jc w:val="left"/>
      </w:pPr>
      <w:r>
        <w:rPr>
          <w:rFonts w:eastAsia="等线" w:ascii="Arial" w:cs="Arial" w:hAnsi="Arial"/>
          <w:sz w:val="22"/>
        </w:rPr>
        <w:t>参考领域模型</w:t>
      </w:r>
    </w:p>
    <w:p>
      <w:pPr>
        <w:numPr>
          <w:numId w:val="208"/>
        </w:numPr>
        <w:spacing w:before="120" w:after="120" w:line="288" w:lineRule="auto"/>
        <w:ind w:left="0"/>
        <w:jc w:val="left"/>
      </w:pPr>
      <w:r>
        <w:rPr>
          <w:rFonts w:eastAsia="等线" w:ascii="Arial" w:cs="Arial" w:hAnsi="Arial"/>
          <w:sz w:val="22"/>
        </w:rPr>
        <w:t>渠道异步通知分交易单、支付单、支付延迟付款这几类通知</w:t>
      </w:r>
    </w:p>
    <w:p>
      <w:pPr>
        <w:spacing w:before="120" w:after="120" w:line="288" w:lineRule="auto"/>
        <w:ind w:left="0"/>
        <w:jc w:val="left"/>
      </w:pPr>
    </w:p>
    <w:p>
      <w:pPr>
        <w:pStyle w:val="2"/>
        <w:spacing w:before="320" w:after="120" w:line="288" w:lineRule="auto"/>
        <w:ind w:left="0"/>
        <w:jc w:val="left"/>
        <w:outlineLvl w:val="1"/>
      </w:pPr>
      <w:bookmarkStart w:name="heading_33" w:id="33"/>
      <w:r>
        <w:rPr>
          <w:rFonts w:eastAsia="等线" w:ascii="Arial" w:cs="Arial" w:hAnsi="Arial"/>
          <w:color w:val="3370ff"/>
          <w:sz w:val="32"/>
        </w:rPr>
        <w:t xml:space="preserve">3.7 </w:t>
      </w:r>
      <w:r>
        <w:rPr>
          <w:rFonts w:eastAsia="等线" w:ascii="Arial" w:cs="Arial" w:hAnsi="Arial"/>
          <w:b w:val="true"/>
          <w:sz w:val="32"/>
        </w:rPr>
        <w:t>Shoplazza Payment</w:t>
      </w:r>
      <w:bookmarkEnd w:id="33"/>
    </w:p>
    <w:p>
      <w:pPr>
        <w:numPr>
          <w:numId w:val="209"/>
        </w:numPr>
        <w:spacing w:before="120" w:after="120" w:line="288" w:lineRule="auto"/>
        <w:ind w:left="0"/>
        <w:jc w:val="left"/>
      </w:pPr>
      <w:r>
        <w:rPr>
          <w:rFonts w:eastAsia="等线" w:ascii="Arial" w:cs="Arial" w:hAnsi="Arial"/>
          <w:sz w:val="22"/>
        </w:rPr>
        <w:t>支付方式的名称希望使用 Stable coins  图标可用 USDT、USDC 的 logo</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34" w:id="34"/>
      <w:r>
        <w:rPr>
          <w:rFonts w:eastAsia="等线" w:ascii="Arial" w:cs="Arial" w:hAnsi="Arial"/>
          <w:color w:val="3370ff"/>
          <w:sz w:val="36"/>
        </w:rPr>
        <w:t xml:space="preserve">4. </w:t>
      </w:r>
      <w:r>
        <w:rPr>
          <w:rFonts w:eastAsia="等线" w:ascii="Arial" w:cs="Arial" w:hAnsi="Arial"/>
          <w:b w:val="true"/>
          <w:sz w:val="36"/>
        </w:rPr>
        <w:t xml:space="preserve"> 非功能需求 (Non-Functional Requirements)</w:t>
      </w:r>
      <w:bookmarkEnd w:id="3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描述产品在性能、安全、可用性等方面的要求。</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2160"/>
        <w:gridCol w:w="462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类别</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4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要求/标准</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性能</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页面加载速度、并发处理能力</w:t>
            </w:r>
          </w:p>
        </w:tc>
        <w:tc>
          <w:tcPr>
            <w:tcW w:w="4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核心流程 (如：提交订单) 响应时间 ≤500ms。系统需支持 ≥50,000 次/秒的并发请求。</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安全</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数据加密、权限控制</w:t>
            </w:r>
          </w:p>
        </w:tc>
        <w:tc>
          <w:tcPr>
            <w:tcW w:w="4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用户密码必须采用 AES-256 加密存储。所有支付接口必须使用 HTTPS 协议。</w:t>
            </w:r>
          </w:p>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业务安全性</w:t>
            </w:r>
          </w:p>
        </w:tc>
        <w:tc>
          <w:tcPr>
            <w:tcW w:w="462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兼容性</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操作系统、设备要求</w:t>
            </w:r>
          </w:p>
        </w:tc>
        <w:tc>
          <w:tcPr>
            <w:tcW w:w="4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需兼容 iOS 15+ 和 Android 12+ 操作系统。</w:t>
            </w:r>
          </w:p>
        </w:tc>
      </w:tr>
    </w:tbl>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35" w:id="35"/>
      <w:r>
        <w:rPr>
          <w:rFonts w:eastAsia="等线" w:ascii="Arial" w:cs="Arial" w:hAnsi="Arial"/>
          <w:color w:val="3370ff"/>
          <w:sz w:val="36"/>
        </w:rPr>
        <w:t xml:space="preserve">5. </w:t>
      </w:r>
      <w:r>
        <w:rPr>
          <w:rFonts w:eastAsia="等线" w:ascii="Arial" w:cs="Arial" w:hAnsi="Arial"/>
          <w:b w:val="true"/>
          <w:sz w:val="36"/>
        </w:rPr>
        <w:t xml:space="preserve"> 数据指标与埋点 (Metrics &amp; Analytics)</w:t>
      </w:r>
      <w:bookmarkEnd w:id="35"/>
    </w:p>
    <w:p>
      <w:pPr>
        <w:spacing w:before="120" w:after="120" w:line="288" w:lineRule="auto"/>
        <w:ind w:left="0"/>
        <w:jc w:val="left"/>
      </w:pPr>
      <w:r>
        <w:rPr>
          <w:rFonts w:eastAsia="等线" w:ascii="Arial" w:cs="Arial" w:hAnsi="Arial"/>
          <w:sz w:val="22"/>
        </w:rPr>
        <w:t xml:space="preserve">这部分定义了衡量该功能是否成功的 </w:t>
      </w:r>
      <w:r>
        <w:rPr>
          <w:rFonts w:eastAsia="等线" w:ascii="Arial" w:cs="Arial" w:hAnsi="Arial"/>
          <w:b w:val="true"/>
          <w:sz w:val="22"/>
        </w:rPr>
        <w:t>关键指标 (</w:t>
      </w:r>
      <w:r>
        <w:rPr>
          <w:rFonts w:eastAsia="等线" w:ascii="Arial" w:cs="Arial" w:hAnsi="Arial"/>
          <w:b w:val="true"/>
          <w:sz w:val="22"/>
        </w:rPr>
        <w:t>Metrics</w:t>
      </w:r>
      <w:r>
        <w:rPr>
          <w:rFonts w:eastAsia="等线" w:ascii="Arial" w:cs="Arial" w:hAnsi="Arial"/>
          <w:b w:val="true"/>
          <w:sz w:val="22"/>
        </w:rPr>
        <w:t>)</w:t>
      </w:r>
      <w:r>
        <w:rPr>
          <w:rFonts w:eastAsia="等线" w:ascii="Arial" w:cs="Arial" w:hAnsi="Arial"/>
          <w:sz w:val="22"/>
        </w:rPr>
        <w:t xml:space="preserve"> 和所需的</w:t>
      </w:r>
      <w:r>
        <w:rPr>
          <w:rFonts w:eastAsia="等线" w:ascii="Arial" w:cs="Arial" w:hAnsi="Arial"/>
          <w:b w:val="true"/>
          <w:sz w:val="22"/>
        </w:rPr>
        <w:t>数据埋点/采集</w:t>
      </w:r>
      <w:r>
        <w:rPr>
          <w:rFonts w:eastAsia="等线" w:ascii="Arial" w:cs="Arial" w:hAnsi="Arial"/>
          <w:sz w:val="22"/>
        </w:rPr>
        <w:t>要求。</w:t>
      </w:r>
    </w:p>
    <w:p>
      <w:pPr>
        <w:pStyle w:val="2"/>
        <w:spacing w:before="320" w:after="120" w:line="288" w:lineRule="auto"/>
        <w:ind w:left="0"/>
        <w:jc w:val="left"/>
        <w:outlineLvl w:val="1"/>
      </w:pPr>
      <w:bookmarkStart w:name="heading_36" w:id="36"/>
      <w:r>
        <w:rPr>
          <w:rFonts w:eastAsia="等线" w:ascii="Arial" w:cs="Arial" w:hAnsi="Arial"/>
          <w:color w:val="3370ff"/>
          <w:sz w:val="32"/>
        </w:rPr>
        <w:t xml:space="preserve">5.1 </w:t>
      </w:r>
      <w:r>
        <w:rPr>
          <w:rFonts w:eastAsia="等线" w:ascii="Arial" w:cs="Arial" w:hAnsi="Arial"/>
          <w:b w:val="true"/>
          <w:sz w:val="32"/>
        </w:rPr>
        <w:t>关键业务指标 (</w:t>
      </w:r>
      <w:r>
        <w:rPr>
          <w:rFonts w:eastAsia="等线" w:ascii="Arial" w:cs="Arial" w:hAnsi="Arial"/>
          <w:b w:val="true"/>
          <w:sz w:val="32"/>
        </w:rPr>
        <w:t>Metrics</w:t>
      </w:r>
      <w:r>
        <w:rPr>
          <w:rFonts w:eastAsia="等线" w:ascii="Arial" w:cs="Arial" w:hAnsi="Arial"/>
          <w:b w:val="true"/>
          <w:sz w:val="32"/>
        </w:rPr>
        <w:t>)</w:t>
      </w:r>
      <w:bookmarkEnd w:id="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90"/>
        <w:gridCol w:w="1890"/>
        <w:gridCol w:w="2475"/>
        <w:gridCol w:w="1440"/>
      </w:tblGrid>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指标类型</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指标名称 (KPI)</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目标值 (Target)</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统计维度</w:t>
            </w:r>
          </w:p>
        </w:tc>
      </w:tr>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业务</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订单支付转化率</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w:t>
            </w:r>
          </w:p>
        </w:tc>
        <w:tc>
          <w:tcPr>
            <w:tcW w:w="1440" w:type="dxa"/>
            <w:tcMar>
              <w:top w:type="dxa" w:w="60"/>
              <w:left w:type="dxa" w:w="120"/>
              <w:bottom w:type="dxa" w:w="30"/>
              <w:right w:type="dxa" w:w="120"/>
            </w:tcMar>
          </w:tcPr>
          <w:p>
            <w:pPr>
              <w:spacing w:before="120" w:after="120" w:line="288" w:lineRule="auto"/>
              <w:ind w:left="0"/>
              <w:jc w:val="left"/>
            </w:pPr>
          </w:p>
        </w:tc>
      </w:tr>
      <w:tr>
        <w:tc>
          <w:tcPr>
            <w:tcW w:w="2490" w:type="dxa"/>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支付成功率</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w:t>
            </w:r>
          </w:p>
        </w:tc>
        <w:tc>
          <w:tcPr>
            <w:tcW w:w="1440" w:type="dxa"/>
            <w:tcMar>
              <w:top w:type="dxa" w:w="60"/>
              <w:left w:type="dxa" w:w="120"/>
              <w:bottom w:type="dxa" w:w="30"/>
              <w:right w:type="dxa" w:w="120"/>
            </w:tcMar>
          </w:tcPr>
          <w:p>
            <w:pPr>
              <w:spacing w:before="120" w:after="120" w:line="288" w:lineRule="auto"/>
              <w:ind w:left="0"/>
              <w:jc w:val="left"/>
            </w:pPr>
          </w:p>
        </w:tc>
      </w:tr>
      <w:tr>
        <w:tc>
          <w:tcPr>
            <w:tcW w:w="2490" w:type="dxa"/>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p>
        </w:tc>
        <w:tc>
          <w:tcPr>
            <w:tcW w:w="2475" w:type="dxa"/>
            <w:tcMar>
              <w:top w:type="dxa" w:w="60"/>
              <w:left w:type="dxa" w:w="120"/>
              <w:bottom w:type="dxa" w:w="30"/>
              <w:right w:type="dxa" w:w="120"/>
            </w:tcMar>
          </w:tcPr>
          <w:p>
            <w:pPr>
              <w:spacing w:before="120" w:after="120" w:line="288" w:lineRule="auto"/>
              <w:ind w:left="0"/>
              <w:jc w:val="left"/>
            </w:pPr>
          </w:p>
        </w:tc>
        <w:tc>
          <w:tcPr>
            <w:tcW w:w="144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7" w:id="37"/>
      <w:r>
        <w:rPr>
          <w:rFonts w:eastAsia="等线" w:ascii="Arial" w:cs="Arial" w:hAnsi="Arial"/>
          <w:color w:val="3370ff"/>
          <w:sz w:val="32"/>
        </w:rPr>
        <w:t xml:space="preserve">5.2 </w:t>
      </w:r>
      <w:r>
        <w:rPr>
          <w:rFonts w:eastAsia="等线" w:ascii="Arial" w:cs="Arial" w:hAnsi="Arial"/>
          <w:b w:val="true"/>
          <w:sz w:val="32"/>
        </w:rPr>
        <w:t>核心数据埋点/采集要求</w:t>
      </w:r>
      <w:bookmarkEnd w:id="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1650"/>
        <w:gridCol w:w="2175"/>
        <w:gridCol w:w="2280"/>
      </w:tblGrid>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埋点位置/事件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事件名称</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关键参数</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w:t>
            </w:r>
          </w:p>
        </w:tc>
      </w:tr>
      <w:tr>
        <w:tc>
          <w:tcPr>
            <w:tcW w:w="217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2175" w:type="dxa"/>
            <w:tcMar>
              <w:top w:type="dxa" w:w="60"/>
              <w:left w:type="dxa" w:w="120"/>
              <w:bottom w:type="dxa" w:w="30"/>
              <w:right w:type="dxa" w:w="120"/>
            </w:tcMar>
          </w:tcPr>
          <w:p>
            <w:pPr>
              <w:spacing w:before="120" w:after="120" w:line="288" w:lineRule="auto"/>
              <w:ind w:left="0"/>
              <w:jc w:val="left"/>
            </w:pPr>
          </w:p>
        </w:tc>
        <w:tc>
          <w:tcPr>
            <w:tcW w:w="2280"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2175" w:type="dxa"/>
            <w:tcMar>
              <w:top w:type="dxa" w:w="60"/>
              <w:left w:type="dxa" w:w="120"/>
              <w:bottom w:type="dxa" w:w="30"/>
              <w:right w:type="dxa" w:w="120"/>
            </w:tcMar>
          </w:tcPr>
          <w:p>
            <w:pPr>
              <w:spacing w:before="120" w:after="120" w:line="288" w:lineRule="auto"/>
              <w:ind w:left="0"/>
              <w:jc w:val="left"/>
            </w:pPr>
          </w:p>
        </w:tc>
        <w:tc>
          <w:tcPr>
            <w:tcW w:w="2280"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2175" w:type="dxa"/>
            <w:tcMar>
              <w:top w:type="dxa" w:w="60"/>
              <w:left w:type="dxa" w:w="120"/>
              <w:bottom w:type="dxa" w:w="30"/>
              <w:right w:type="dxa" w:w="120"/>
            </w:tcMar>
          </w:tcPr>
          <w:p>
            <w:pPr>
              <w:spacing w:before="120" w:after="120" w:line="288" w:lineRule="auto"/>
              <w:ind w:left="0"/>
              <w:jc w:val="left"/>
            </w:pPr>
          </w:p>
        </w:tc>
        <w:tc>
          <w:tcPr>
            <w:tcW w:w="2280" w:type="dxa"/>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8" w:id="38"/>
      <w:r>
        <w:rPr>
          <w:rFonts w:eastAsia="等线" w:ascii="Arial" w:cs="Arial" w:hAnsi="Arial"/>
          <w:color w:val="3370ff"/>
          <w:sz w:val="36"/>
        </w:rPr>
        <w:t xml:space="preserve">6. </w:t>
      </w:r>
      <w:r>
        <w:rPr>
          <w:rFonts w:eastAsia="等线" w:ascii="Arial" w:cs="Arial" w:hAnsi="Arial"/>
          <w:b w:val="true"/>
          <w:sz w:val="36"/>
        </w:rPr>
        <w:t>项目计划//Project plan</w:t>
      </w:r>
      <w:bookmarkEnd w:id="3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产品路线图旨在宏观展示未来几个阶段的产品发展方向和主要交付物，帮助团队和利益相关者对未来有清晰的预期。</w:t>
            </w:r>
          </w:p>
        </w:tc>
      </w:tr>
    </w:tbl>
    <w:p>
      <w:pPr>
        <w:pStyle w:val="1"/>
        <w:spacing w:before="380" w:after="140" w:line="288" w:lineRule="auto"/>
        <w:ind w:left="0"/>
        <w:jc w:val="left"/>
        <w:outlineLvl w:val="0"/>
      </w:pPr>
      <w:bookmarkStart w:name="heading_39" w:id="39"/>
      <w:r>
        <w:rPr>
          <w:rFonts w:eastAsia="等线" w:ascii="Arial" w:cs="Arial" w:hAnsi="Arial"/>
          <w:color w:val="3370ff"/>
          <w:sz w:val="36"/>
        </w:rPr>
        <w:t xml:space="preserve">7. </w:t>
      </w:r>
      <w:r>
        <w:rPr>
          <w:rFonts w:eastAsia="等线" w:ascii="Arial" w:cs="Arial" w:hAnsi="Arial"/>
          <w:b w:val="true"/>
          <w:sz w:val="36"/>
        </w:rPr>
        <w:t>相关产品域//Related product domains</w:t>
      </w:r>
      <w:bookmarkEnd w:id="3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加上人员 POC</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45"/>
        <w:gridCol w:w="4890"/>
        <w:gridCol w:w="1515"/>
        <w:gridCol w:w="945"/>
      </w:tblGrid>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产品域</w:t>
            </w:r>
          </w:p>
        </w:tc>
        <w:tc>
          <w:tcPr>
            <w:tcW w:w="48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产品功能说明</w:t>
            </w:r>
          </w:p>
        </w:tc>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POC</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状态</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UED</w:t>
            </w:r>
          </w:p>
        </w:tc>
        <w:tc>
          <w:tcPr>
            <w:tcW w:w="4890" w:type="dxa"/>
            <w:tcMar>
              <w:top w:type="dxa" w:w="60"/>
              <w:left w:type="dxa" w:w="120"/>
              <w:bottom w:type="dxa" w:w="30"/>
              <w:right w:type="dxa" w:w="120"/>
            </w:tcMar>
          </w:tcPr>
          <w:p>
            <w:pPr>
              <w:spacing w:before="120" w:after="120" w:line="288" w:lineRule="auto"/>
              <w:ind w:left="0"/>
              <w:jc w:val="left"/>
            </w:pPr>
          </w:p>
        </w:tc>
        <w:tc>
          <w:tcPr>
            <w:tcW w:w="151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945"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151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945"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151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945"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151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945"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151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945"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151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40" w:id="40"/>
      <w:r>
        <w:rPr>
          <w:rFonts w:eastAsia="等线" w:ascii="Arial" w:cs="Arial" w:hAnsi="Arial"/>
          <w:color w:val="3370ff"/>
          <w:sz w:val="36"/>
        </w:rPr>
        <w:t xml:space="preserve">8. </w:t>
      </w:r>
      <w:r>
        <w:rPr>
          <w:rFonts w:eastAsia="等线" w:ascii="Arial" w:cs="Arial" w:hAnsi="Arial"/>
          <w:b w:val="true"/>
          <w:sz w:val="36"/>
        </w:rPr>
        <w:t>渠道参考</w:t>
      </w:r>
      <w:bookmarkEnd w:id="4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4650"/>
        <w:gridCol w:w="2160"/>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w:t>
            </w:r>
          </w:p>
        </w:tc>
        <w:tc>
          <w:tcPr>
            <w:tcW w:w="4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交互参考</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手续费计算</w:t>
            </w:r>
          </w:p>
          <w:p>
            <w:pPr>
              <w:spacing w:before="120" w:after="120" w:line="288" w:lineRule="auto"/>
              <w:ind w:left="0"/>
              <w:jc w:val="left"/>
            </w:pPr>
          </w:p>
        </w:tc>
        <w:tc>
          <w:tcPr>
            <w:tcW w:w="4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先说明下，</w:t>
            </w:r>
          </w:p>
          <w:p>
            <w:pPr>
              <w:numPr>
                <w:numId w:val="210"/>
              </w:numPr>
              <w:spacing w:before="120" w:after="120" w:line="288" w:lineRule="auto"/>
              <w:ind w:left="0"/>
              <w:jc w:val="left"/>
            </w:pPr>
            <w:r>
              <w:rPr>
                <w:rFonts w:eastAsia="等线" w:ascii="Arial" w:cs="Arial" w:hAnsi="Arial"/>
                <w:sz w:val="22"/>
              </w:rPr>
              <w:t>目前 cobo渠道支持我们传 fee Amount， 用户承担手续费时，可以帮 SolaPex 把手续费收下来，无需自己额外计算。但是结合业务呢，手续费都是商户承担的。所以我们跟 cobo 下单时 fee Amount 可以都传 0。我们给 Shoplazza Payment结算时计算手续费，以实付到账金额为准。</w:t>
            </w:r>
          </w:p>
          <w:p>
            <w:pPr>
              <w:numPr>
                <w:numId w:val="211"/>
              </w:numPr>
              <w:spacing w:before="120" w:after="120" w:line="288" w:lineRule="auto"/>
              <w:ind w:left="0"/>
              <w:jc w:val="left"/>
            </w:pPr>
            <w:r>
              <w:rPr>
                <w:rFonts w:eastAsia="等线" w:ascii="Arial" w:cs="Arial" w:hAnsi="Arial"/>
                <w:sz w:val="22"/>
              </w:rPr>
              <w:t>用户的实际付款金额=gas 费+实付到账金额，gas 费用户承担</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举个例子：订单金额 100 USD，Shoplazza  Payment 收商户 2 USD 手续费，我们收 1.7USD 手续费，cobo 收 1.5USD 手续费，手续费商家承担，手续费内扣。</w:t>
            </w:r>
          </w:p>
          <w:p>
            <w:pPr>
              <w:spacing w:before="120" w:after="120" w:line="288" w:lineRule="auto"/>
              <w:ind w:left="0"/>
              <w:jc w:val="left"/>
            </w:pPr>
            <w:r>
              <w:rPr>
                <w:rFonts w:eastAsia="等线" w:ascii="Arial" w:cs="Arial" w:hAnsi="Arial"/>
                <w:sz w:val="22"/>
              </w:rPr>
              <w:t xml:space="preserve"> </w:t>
            </w:r>
          </w:p>
          <w:p>
            <w:pPr>
              <w:numPr>
                <w:numId w:val="212"/>
              </w:numPr>
              <w:spacing w:before="120" w:after="120" w:line="288" w:lineRule="auto"/>
              <w:ind w:left="0"/>
              <w:jc w:val="left"/>
            </w:pPr>
            <w:r>
              <w:rPr>
                <w:rFonts w:eastAsia="等线" w:ascii="Arial" w:cs="Arial" w:hAnsi="Arial"/>
                <w:b w:val="true"/>
                <w:sz w:val="22"/>
              </w:rPr>
              <w:t>Shoplazza Payment 请求SolaPex</w:t>
            </w:r>
            <w:r>
              <w:rPr>
                <w:rFonts w:eastAsia="等线" w:ascii="Arial" w:cs="Arial" w:hAnsi="Arial"/>
                <w:sz w:val="22"/>
              </w:rPr>
              <w:t>的时候订单金额 100 USD，</w:t>
            </w:r>
          </w:p>
          <w:p>
            <w:pPr>
              <w:numPr>
                <w:numId w:val="213"/>
              </w:numPr>
              <w:spacing w:before="120" w:after="120" w:line="288" w:lineRule="auto"/>
              <w:ind w:left="453"/>
              <w:jc w:val="left"/>
            </w:pPr>
            <w:r>
              <w:rPr>
                <w:rFonts w:eastAsia="等线" w:ascii="Arial" w:cs="Arial" w:hAnsi="Arial"/>
                <w:sz w:val="22"/>
              </w:rPr>
              <w:t>可指定 fx，本次由 cobo 提供汇率，我们不指定</w:t>
            </w:r>
          </w:p>
          <w:p>
            <w:pPr>
              <w:spacing w:before="120" w:after="120" w:line="288" w:lineRule="auto"/>
              <w:ind w:left="0"/>
              <w:jc w:val="left"/>
            </w:pPr>
            <w:r>
              <w:rPr>
                <w:rFonts w:eastAsia="等线" w:ascii="Arial" w:cs="Arial" w:hAnsi="Arial"/>
                <w:sz w:val="22"/>
              </w:rPr>
              <w:t xml:space="preserve"> </w:t>
            </w:r>
          </w:p>
          <w:p>
            <w:pPr>
              <w:numPr>
                <w:numId w:val="214"/>
              </w:numPr>
              <w:spacing w:before="120" w:after="120" w:line="288" w:lineRule="auto"/>
              <w:ind w:left="0"/>
              <w:jc w:val="left"/>
            </w:pPr>
            <w:r>
              <w:rPr>
                <w:rFonts w:eastAsia="等线" w:ascii="Arial" w:cs="Arial" w:hAnsi="Arial"/>
                <w:b w:val="true"/>
                <w:sz w:val="22"/>
              </w:rPr>
              <w:t>SolaPex 请求 cobo</w:t>
            </w:r>
            <w:r>
              <w:rPr>
                <w:rFonts w:eastAsia="等线" w:ascii="Arial" w:cs="Arial" w:hAnsi="Arial"/>
                <w:sz w:val="22"/>
              </w:rPr>
              <w:t>， 订单金额 100USD</w:t>
            </w:r>
          </w:p>
          <w:p>
            <w:pPr>
              <w:numPr>
                <w:numId w:val="215"/>
              </w:numPr>
              <w:spacing w:before="120" w:after="120" w:line="288" w:lineRule="auto"/>
              <w:ind w:left="453"/>
              <w:jc w:val="left"/>
            </w:pPr>
            <w:r>
              <w:rPr>
                <w:rFonts w:eastAsia="等线" w:ascii="Arial" w:cs="Arial" w:hAnsi="Arial"/>
                <w:sz w:val="22"/>
              </w:rPr>
              <w:t>可指定 fx，本次由 cobo 提供汇率，我们不指定</w:t>
            </w:r>
          </w:p>
          <w:p>
            <w:pPr>
              <w:spacing w:before="120" w:after="120" w:line="288" w:lineRule="auto"/>
              <w:ind w:left="0"/>
              <w:jc w:val="left"/>
            </w:pPr>
            <w:r>
              <w:rPr>
                <w:rFonts w:eastAsia="等线" w:ascii="Arial" w:cs="Arial" w:hAnsi="Arial"/>
                <w:sz w:val="22"/>
              </w:rPr>
              <w:t xml:space="preserve"> </w:t>
            </w:r>
          </w:p>
          <w:p>
            <w:pPr>
              <w:numPr>
                <w:numId w:val="216"/>
              </w:numPr>
              <w:spacing w:before="120" w:after="120" w:line="288" w:lineRule="auto"/>
              <w:ind w:left="0"/>
              <w:jc w:val="left"/>
            </w:pPr>
            <w:r>
              <w:rPr>
                <w:rFonts w:eastAsia="等线" w:ascii="Arial" w:cs="Arial" w:hAnsi="Arial"/>
                <w:sz w:val="22"/>
              </w:rPr>
              <w:t>用户付款时，页面要求支付 100USD，支持 USDT/USDC，假设汇率 1USDT=1USD，</w:t>
            </w:r>
          </w:p>
          <w:p>
            <w:pPr>
              <w:spacing w:before="120" w:after="120" w:line="288" w:lineRule="auto"/>
              <w:ind w:left="0"/>
              <w:jc w:val="left"/>
            </w:pPr>
            <w:r>
              <w:rPr>
                <w:rFonts w:eastAsia="等线" w:ascii="Arial" w:cs="Arial" w:hAnsi="Arial"/>
                <w:sz w:val="22"/>
              </w:rPr>
              <w:t xml:space="preserve">       用户需要确保支付到账的金额为 100USDT，实际加上 gas 费可能是 101USDT</w:t>
            </w:r>
          </w:p>
          <w:p>
            <w:pPr>
              <w:spacing w:before="120" w:after="120" w:line="288" w:lineRule="auto"/>
              <w:ind w:left="0"/>
              <w:jc w:val="left"/>
            </w:pPr>
            <w:r>
              <w:rPr>
                <w:rFonts w:eastAsia="等线" w:ascii="Arial" w:cs="Arial" w:hAnsi="Arial"/>
                <w:sz w:val="22"/>
              </w:rPr>
              <w:t xml:space="preserve"> </w:t>
            </w:r>
          </w:p>
          <w:p>
            <w:pPr>
              <w:numPr>
                <w:numId w:val="217"/>
              </w:numPr>
              <w:spacing w:before="120" w:after="120" w:line="288" w:lineRule="auto"/>
              <w:ind w:left="0"/>
              <w:jc w:val="left"/>
            </w:pPr>
            <w:r>
              <w:rPr>
                <w:rFonts w:eastAsia="等线" w:ascii="Arial" w:cs="Arial" w:hAnsi="Arial"/>
                <w:sz w:val="22"/>
              </w:rPr>
              <w:t>cobo 收到 100USDT，给我们结算归集时扣除手续费1.5USDT</w:t>
            </w:r>
          </w:p>
          <w:p>
            <w:pPr>
              <w:numPr>
                <w:numId w:val="218"/>
              </w:numPr>
              <w:spacing w:before="120" w:after="120" w:line="288" w:lineRule="auto"/>
              <w:ind w:left="453"/>
              <w:jc w:val="left"/>
            </w:pPr>
            <w:r>
              <w:rPr>
                <w:rFonts w:eastAsia="等线" w:ascii="Arial" w:cs="Arial" w:hAnsi="Arial"/>
                <w:sz w:val="22"/>
              </w:rPr>
              <w:t>fee station -1.5USDT</w:t>
            </w:r>
          </w:p>
          <w:p>
            <w:pPr>
              <w:numPr>
                <w:numId w:val="219"/>
              </w:numPr>
              <w:spacing w:before="120" w:after="120" w:line="288" w:lineRule="auto"/>
              <w:ind w:left="453"/>
              <w:jc w:val="left"/>
            </w:pPr>
            <w:r>
              <w:rPr>
                <w:rFonts w:eastAsia="等线" w:ascii="Arial" w:cs="Arial" w:hAnsi="Arial"/>
                <w:sz w:val="22"/>
              </w:rPr>
              <w:t>归集账户上+100USDT</w:t>
            </w:r>
          </w:p>
          <w:p>
            <w:pPr>
              <w:spacing w:before="120" w:after="120" w:line="288" w:lineRule="auto"/>
              <w:ind w:left="0"/>
              <w:jc w:val="left"/>
            </w:pPr>
            <w:r>
              <w:rPr>
                <w:rFonts w:eastAsia="等线" w:ascii="Arial" w:cs="Arial" w:hAnsi="Arial"/>
                <w:sz w:val="22"/>
              </w:rPr>
              <w:t xml:space="preserve"> </w:t>
            </w:r>
          </w:p>
          <w:p>
            <w:pPr>
              <w:numPr>
                <w:numId w:val="220"/>
              </w:numPr>
              <w:spacing w:before="120" w:after="120" w:line="288" w:lineRule="auto"/>
              <w:ind w:left="0"/>
              <w:jc w:val="left"/>
            </w:pPr>
            <w:r>
              <w:rPr>
                <w:rFonts w:eastAsia="等线" w:ascii="Arial" w:cs="Arial" w:hAnsi="Arial"/>
                <w:sz w:val="22"/>
              </w:rPr>
              <w:t>SolaPex 给 Shoplazza Payment 结算</w:t>
            </w:r>
          </w:p>
          <w:p>
            <w:pPr>
              <w:numPr>
                <w:numId w:val="221"/>
              </w:numPr>
              <w:spacing w:before="120" w:after="120" w:line="288" w:lineRule="auto"/>
              <w:ind w:left="453"/>
              <w:jc w:val="left"/>
            </w:pPr>
            <w:r>
              <w:rPr>
                <w:rFonts w:eastAsia="等线" w:ascii="Arial" w:cs="Arial" w:hAnsi="Arial"/>
                <w:sz w:val="22"/>
              </w:rPr>
              <w:t>结算 USDT，100-1.7=98.3USDT</w:t>
            </w:r>
          </w:p>
          <w:p>
            <w:pPr>
              <w:numPr>
                <w:numId w:val="222"/>
              </w:numPr>
              <w:spacing w:before="120" w:after="120" w:line="288" w:lineRule="auto"/>
              <w:ind w:left="453"/>
              <w:jc w:val="left"/>
            </w:pPr>
            <w:r>
              <w:rPr>
                <w:rFonts w:eastAsia="等线" w:ascii="Arial" w:cs="Arial" w:hAnsi="Arial"/>
                <w:sz w:val="22"/>
              </w:rPr>
              <w:t xml:space="preserve">计算 USD，（100-1.7）*fx（USDT-&gt;USD)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**若用户实际付款 50 ，则结算时候，以 50 作为实际金额*计费规则计收</w:t>
            </w:r>
          </w:p>
        </w:tc>
        <w:tc>
          <w:tcPr>
            <w:tcW w:w="2160" w:type="dxa"/>
            <w:tcMar>
              <w:top w:type="dxa" w:w="60"/>
              <w:left w:type="dxa" w:w="120"/>
              <w:bottom w:type="dxa" w:w="30"/>
              <w:right w:type="dxa" w:w="120"/>
            </w:tcMar>
          </w:tcPr>
          <w:p>
            <w:pPr>
              <w:spacing w:before="120" w:after="120" w:line="288" w:lineRule="auto"/>
              <w:ind w:left="0"/>
              <w:jc w:val="left"/>
            </w:pP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过期后付款，latePayment 机制。如何判定过期后地址收到的款项所属问题</w:t>
            </w:r>
          </w:p>
        </w:tc>
        <w:tc>
          <w:tcPr>
            <w:tcW w:w="4650" w:type="dxa"/>
            <w:tcMar>
              <w:top w:type="dxa" w:w="60"/>
              <w:left w:type="dxa" w:w="120"/>
              <w:bottom w:type="dxa" w:w="30"/>
              <w:right w:type="dxa" w:w="120"/>
            </w:tcMar>
          </w:tcPr>
          <w:p>
            <w:pPr>
              <w:spacing w:before="120" w:after="120" w:line="288" w:lineRule="auto"/>
              <w:ind w:left="0"/>
              <w:jc w:val="center"/>
            </w:pPr>
            <w:r>
              <w:drawing>
                <wp:inline distT="0" distR="0" distB="0" distL="0">
                  <wp:extent cx="2800350" cy="1152525"/>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2"/>
                          <a:stretch>
                            <a:fillRect/>
                          </a:stretch>
                        </pic:blipFill>
                        <pic:spPr>
                          <a:xfrm>
                            <a:off x="0" y="0"/>
                            <a:ext cx="2800350" cy="1152525"/>
                          </a:xfrm>
                          <a:prstGeom prst="rect">
                            <a:avLst/>
                          </a:prstGeom>
                        </pic:spPr>
                      </pic:pic>
                    </a:graphicData>
                  </a:graphic>
                </wp:inline>
              </w:drawing>
            </w:r>
          </w:p>
          <w:p>
            <w:pPr>
              <w:spacing w:before="120" w:after="120" w:line="288" w:lineRule="auto"/>
              <w:ind w:left="0"/>
              <w:jc w:val="left"/>
            </w:pPr>
          </w:p>
        </w:tc>
        <w:tc>
          <w:tcPr>
            <w:tcW w:w="2160" w:type="dxa"/>
            <w:tcMar>
              <w:top w:type="dxa" w:w="60"/>
              <w:left w:type="dxa" w:w="120"/>
              <w:bottom w:type="dxa" w:w="30"/>
              <w:right w:type="dxa" w:w="120"/>
            </w:tcMar>
          </w:tcPr>
          <w:p>
            <w:pPr>
              <w:spacing w:before="120" w:after="120" w:line="288" w:lineRule="auto"/>
              <w:ind w:left="0"/>
              <w:jc w:val="center"/>
            </w:pPr>
            <w:r>
              <w:drawing>
                <wp:inline distT="0" distR="0" distB="0" distL="0">
                  <wp:extent cx="1219200" cy="647700"/>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32"/>
                          <a:stretch>
                            <a:fillRect/>
                          </a:stretch>
                        </pic:blipFill>
                        <pic:spPr>
                          <a:xfrm>
                            <a:off x="0" y="0"/>
                            <a:ext cx="1219200" cy="647700"/>
                          </a:xfrm>
                          <a:prstGeom prst="rect">
                            <a:avLst/>
                          </a:prstGeom>
                        </pic:spPr>
                      </pic:pic>
                    </a:graphicData>
                  </a:graphic>
                </wp:inline>
              </w:drawing>
            </w:r>
          </w:p>
          <w:p>
            <w:pPr>
              <w:spacing w:before="120" w:after="120" w:line="288" w:lineRule="auto"/>
              <w:ind w:left="0"/>
              <w:jc w:val="left"/>
            </w:pPr>
          </w:p>
        </w:tc>
      </w:tr>
      <w:tr>
        <w:tc>
          <w:tcPr>
            <w:tcW w:w="1470" w:type="dxa"/>
            <w:tcMar>
              <w:top w:type="dxa" w:w="60"/>
              <w:left w:type="dxa" w:w="120"/>
              <w:bottom w:type="dxa" w:w="30"/>
              <w:right w:type="dxa" w:w="120"/>
            </w:tcMar>
          </w:tcPr>
          <w:p>
            <w:pPr>
              <w:spacing w:before="120" w:after="120" w:line="288" w:lineRule="auto"/>
              <w:ind w:left="0"/>
              <w:jc w:val="left"/>
            </w:pPr>
          </w:p>
        </w:tc>
        <w:tc>
          <w:tcPr>
            <w:tcW w:w="4650" w:type="dxa"/>
            <w:tcMar>
              <w:top w:type="dxa" w:w="60"/>
              <w:left w:type="dxa" w:w="120"/>
              <w:bottom w:type="dxa" w:w="30"/>
              <w:right w:type="dxa" w:w="120"/>
            </w:tcMar>
          </w:tcPr>
          <w:p>
            <w:pPr>
              <w:spacing w:before="120" w:after="120" w:line="288" w:lineRule="auto"/>
              <w:ind w:left="0"/>
              <w:jc w:val="center"/>
            </w:pPr>
            <w:r>
              <w:drawing>
                <wp:inline distT="0" distR="0" distB="0" distL="0">
                  <wp:extent cx="2800350" cy="1524000"/>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43"/>
                          <a:stretch>
                            <a:fillRect/>
                          </a:stretch>
                        </pic:blipFill>
                        <pic:spPr>
                          <a:xfrm>
                            <a:off x="0" y="0"/>
                            <a:ext cx="2800350" cy="1524000"/>
                          </a:xfrm>
                          <a:prstGeom prst="rect">
                            <a:avLst/>
                          </a:prstGeom>
                        </pic:spPr>
                      </pic:pic>
                    </a:graphicData>
                  </a:graphic>
                </wp:inline>
              </w:drawing>
            </w:r>
          </w:p>
          <w:p>
            <w:pPr>
              <w:spacing w:before="120" w:after="120" w:line="288" w:lineRule="auto"/>
              <w:ind w:left="0"/>
              <w:jc w:val="left"/>
            </w:pPr>
          </w:p>
        </w:tc>
        <w:tc>
          <w:tcPr>
            <w:tcW w:w="216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numPr>
          <w:numId w:val="223"/>
        </w:numPr>
        <w:spacing w:before="120" w:after="120" w:line="288" w:lineRule="auto"/>
        <w:ind w:left="0"/>
        <w:jc w:val="left"/>
      </w:pPr>
      <w:r>
        <w:rPr>
          <w:rFonts w:eastAsia="等线" w:ascii="Arial" w:cs="Arial" w:hAnsi="Arial"/>
          <w:sz w:val="22"/>
        </w:rPr>
        <w:t>商家数币收单的成本—自有支付计算</w:t>
      </w:r>
    </w:p>
    <w:p>
      <w:pPr>
        <w:spacing w:before="120" w:after="120" w:line="288" w:lineRule="auto"/>
        <w:ind w:left="0"/>
        <w:jc w:val="left"/>
      </w:pPr>
      <w:r>
        <w:rPr>
          <w:rFonts w:eastAsia="等线" w:ascii="Arial" w:cs="Arial" w:hAnsi="Arial"/>
          <w:sz w:val="22"/>
        </w:rPr>
        <w:t>也是</w:t>
      </w:r>
    </w:p>
    <w:p>
      <w:pPr>
        <w:numPr>
          <w:numId w:val="224"/>
        </w:numPr>
        <w:spacing w:before="120" w:after="120" w:line="288" w:lineRule="auto"/>
        <w:ind w:left="0"/>
        <w:jc w:val="left"/>
      </w:pPr>
      <w:r>
        <w:rPr>
          <w:rFonts w:eastAsia="等线" w:ascii="Arial" w:cs="Arial" w:hAnsi="Arial"/>
          <w:sz w:val="22"/>
        </w:rPr>
        <w:t>多付场景，多付部分资金—无需产品计费中心参与</w:t>
      </w:r>
    </w:p>
    <w:p>
      <w:pPr>
        <w:spacing w:before="120" w:after="120" w:line="288" w:lineRule="auto"/>
        <w:ind w:left="0"/>
        <w:jc w:val="left"/>
      </w:pPr>
      <w:r>
        <w:rPr>
          <w:rFonts w:eastAsia="等线" w:ascii="Arial" w:cs="Arial" w:hAnsi="Arial"/>
          <w:sz w:val="22"/>
        </w:rPr>
        <w:t>多付部分需要按商户的费率计算。</w:t>
      </w:r>
    </w:p>
    <w:p>
      <w:pPr>
        <w:spacing w:before="120" w:after="120" w:line="288" w:lineRule="auto"/>
        <w:ind w:left="0"/>
        <w:jc w:val="left"/>
      </w:pPr>
      <w:r>
        <w:rPr>
          <w:rFonts w:eastAsia="等线" w:ascii="Arial" w:cs="Arial" w:hAnsi="Arial"/>
          <w:sz w:val="22"/>
        </w:rPr>
        <w:t xml:space="preserve">允许商家自选手续费承担方 </w:t>
      </w:r>
      <w:r>
        <w:rPr>
          <w:rFonts w:eastAsia="等线" w:ascii="Arial" w:cs="Arial" w:hAnsi="Arial"/>
          <w:color w:val="3370ff"/>
          <w:sz w:val="22"/>
        </w:rPr>
        <w:t>@徐杰</w:t>
      </w:r>
      <w:r>
        <w:rPr>
          <w:rFonts w:eastAsia="等线" w:ascii="Arial" w:cs="Arial" w:hAnsi="Arial"/>
          <w:sz w:val="22"/>
        </w:rPr>
        <w:t>退款的时候要设计</w:t>
      </w:r>
    </w:p>
    <w:p>
      <w:pPr>
        <w:numPr>
          <w:numId w:val="225"/>
        </w:numPr>
        <w:spacing w:before="120" w:after="120" w:line="288" w:lineRule="auto"/>
        <w:ind w:left="0"/>
        <w:jc w:val="left"/>
      </w:pPr>
      <w:r>
        <w:rPr>
          <w:rFonts w:eastAsia="等线" w:ascii="Arial" w:cs="Arial" w:hAnsi="Arial"/>
          <w:sz w:val="22"/>
        </w:rPr>
        <w:t>商家承担，轧差处理</w:t>
      </w:r>
    </w:p>
    <w:p>
      <w:pPr>
        <w:numPr>
          <w:numId w:val="226"/>
        </w:numPr>
        <w:spacing w:before="120" w:after="120" w:line="288" w:lineRule="auto"/>
        <w:ind w:left="0"/>
        <w:jc w:val="left"/>
      </w:pPr>
      <w:r>
        <w:rPr>
          <w:rFonts w:eastAsia="等线" w:ascii="Arial" w:cs="Arial" w:hAnsi="Arial"/>
          <w:sz w:val="22"/>
        </w:rPr>
        <w:t>用户承担，在退款时请求扣除</w:t>
      </w:r>
    </w:p>
    <w:p>
      <w:pPr>
        <w:numPr>
          <w:numId w:val="227"/>
        </w:numPr>
        <w:spacing w:before="120" w:after="120" w:line="288" w:lineRule="auto"/>
        <w:ind w:left="453"/>
        <w:jc w:val="left"/>
      </w:pPr>
      <w:r>
        <w:rPr>
          <w:rFonts w:eastAsia="等线" w:ascii="Arial" w:cs="Arial" w:hAnsi="Arial"/>
          <w:sz w:val="22"/>
        </w:rPr>
        <w:t>退款转代付，不收手续费</w:t>
      </w:r>
    </w:p>
    <w:p>
      <w:pPr>
        <w:spacing w:before="120" w:after="120" w:line="288" w:lineRule="auto"/>
        <w:ind w:left="0"/>
        <w:jc w:val="left"/>
      </w:pPr>
      <w:r>
        <w:rPr>
          <w:rFonts w:eastAsia="等线" w:ascii="Arial" w:cs="Arial" w:hAnsi="Arial"/>
          <w:b w:val="true"/>
          <w:sz w:val="22"/>
        </w:rPr>
        <w:t>*payout 正常收手续费</w:t>
      </w:r>
    </w:p>
    <w:p>
      <w:pPr>
        <w:spacing w:before="120" w:after="120" w:line="288" w:lineRule="auto"/>
        <w:ind w:left="0"/>
        <w:jc w:val="left"/>
      </w:pPr>
    </w:p>
    <w:p>
      <w:pPr>
        <w:numPr>
          <w:numId w:val="228"/>
        </w:numPr>
        <w:spacing w:before="120" w:after="120" w:line="288" w:lineRule="auto"/>
        <w:ind w:left="0"/>
        <w:jc w:val="left"/>
      </w:pPr>
      <w:r>
        <w:rPr>
          <w:rFonts w:eastAsia="等线" w:ascii="Arial" w:cs="Arial" w:hAnsi="Arial"/>
          <w:sz w:val="22"/>
        </w:rPr>
        <w:t>父级商家（自有支付）结算——待确定，是由solapex 或者计费中心支持</w:t>
      </w:r>
    </w:p>
    <w:p>
      <w:pPr>
        <w:spacing w:before="120" w:after="120" w:line="288" w:lineRule="auto"/>
        <w:ind w:left="0"/>
        <w:jc w:val="left"/>
      </w:pPr>
      <w:r>
        <w:rPr>
          <w:rFonts w:eastAsia="等线" w:ascii="Arial" w:cs="Arial" w:hAnsi="Arial"/>
          <w:sz w:val="22"/>
        </w:rPr>
        <w:t>T+1 计费中心处理掉，lazzaaccount</w:t>
      </w:r>
    </w:p>
    <w:p>
      <w:pPr>
        <w:numPr>
          <w:numId w:val="229"/>
        </w:numPr>
        <w:spacing w:before="120" w:after="120" w:line="288" w:lineRule="auto"/>
        <w:ind w:left="0"/>
        <w:jc w:val="left"/>
      </w:pPr>
      <w:r>
        <w:rPr>
          <w:rFonts w:eastAsia="等线" w:ascii="Arial" w:cs="Arial" w:hAnsi="Arial"/>
          <w:sz w:val="22"/>
        </w:rPr>
        <w:t>商家数转法——只涉及换汇，也无需计费中心参与，和现在的solapex 是一套流程</w:t>
      </w:r>
    </w:p>
    <w:p>
      <w:pPr>
        <w:spacing w:before="120" w:after="120" w:line="288" w:lineRule="auto"/>
        <w:ind w:left="0"/>
        <w:jc w:val="left"/>
      </w:pPr>
      <w:r>
        <w:rPr>
          <w:rFonts w:eastAsia="等线" w:ascii="Arial" w:cs="Arial" w:hAnsi="Arial"/>
          <w:sz w:val="22"/>
        </w:rPr>
        <w:t>yes</w:t>
      </w:r>
    </w:p>
    <w:p>
      <w:pPr>
        <w:spacing w:before="120" w:after="120" w:line="288" w:lineRule="auto"/>
        <w:ind w:left="0"/>
        <w:jc w:val="left"/>
      </w:pPr>
      <w:r>
        <w:rPr>
          <w:rFonts w:eastAsia="等线" w:ascii="Arial" w:cs="Arial" w:hAnsi="Arial"/>
          <w:color w:val="3370ff"/>
          <w:sz w:val="22"/>
        </w:rPr>
        <w:t>@吴夏玲</w:t>
      </w:r>
    </w:p>
    <w:p>
      <w:pPr>
        <w:spacing w:before="120" w:after="120" w:line="288" w:lineRule="auto"/>
        <w:ind w:left="0"/>
        <w:jc w:val="left"/>
      </w:pPr>
    </w:p>
    <w:p>
      <w:pPr>
        <w:spacing w:before="120" w:after="120" w:line="288" w:lineRule="auto"/>
        <w:ind w:left="0"/>
        <w:jc w:val="left"/>
      </w:pPr>
    </w:p>
    <w:sectPr>
      <w:footerReference w:type="default" r:id="rId3"/>
      <w:headerReference w:type="default" r:id="rId4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891476">
    <w:lvl>
      <w:start w:val="1"/>
      <w:numFmt w:val="decimal"/>
      <w:suff w:val="tab"/>
      <w:lvlText w:val="%1."/>
      <w:rPr>
        <w:color w:val="3370ff"/>
      </w:rPr>
    </w:lvl>
  </w:abstractNum>
  <w:abstractNum w:abstractNumId="891477">
    <w:lvl>
      <w:start w:val="2"/>
      <w:numFmt w:val="decimal"/>
      <w:suff w:val="tab"/>
      <w:lvlText w:val="%1."/>
      <w:rPr>
        <w:color w:val="3370ff"/>
      </w:rPr>
    </w:lvl>
  </w:abstractNum>
  <w:abstractNum w:abstractNumId="891478">
    <w:lvl>
      <w:start w:val="3"/>
      <w:numFmt w:val="decimal"/>
      <w:suff w:val="tab"/>
      <w:lvlText w:val="%1."/>
      <w:rPr>
        <w:color w:val="3370ff"/>
      </w:rPr>
    </w:lvl>
  </w:abstractNum>
  <w:abstractNum w:abstractNumId="891479">
    <w:lvl>
      <w:start w:val="1"/>
      <w:numFmt w:val="decimal"/>
      <w:suff w:val="tab"/>
      <w:lvlText w:val="%1."/>
      <w:rPr>
        <w:color w:val="3370ff"/>
      </w:rPr>
    </w:lvl>
  </w:abstractNum>
  <w:abstractNum w:abstractNumId="891480">
    <w:lvl>
      <w:numFmt w:val="bullet"/>
      <w:suff w:val="tab"/>
      <w:lvlText w:val="•"/>
      <w:rPr>
        <w:color w:val="3370ff"/>
      </w:rPr>
    </w:lvl>
  </w:abstractNum>
  <w:abstractNum w:abstractNumId="891481">
    <w:lvl>
      <w:numFmt w:val="bullet"/>
      <w:suff w:val="tab"/>
      <w:lvlText w:val="•"/>
      <w:rPr>
        <w:color w:val="3370ff"/>
      </w:rPr>
    </w:lvl>
  </w:abstractNum>
  <w:abstractNum w:abstractNumId="891482">
    <w:lvl>
      <w:numFmt w:val="bullet"/>
      <w:suff w:val="tab"/>
      <w:lvlText w:val="•"/>
      <w:rPr>
        <w:color w:val="3370ff"/>
      </w:rPr>
    </w:lvl>
  </w:abstractNum>
  <w:abstractNum w:abstractNumId="891483">
    <w:lvl>
      <w:numFmt w:val="bullet"/>
      <w:suff w:val="tab"/>
      <w:lvlText w:val="￮"/>
      <w:rPr>
        <w:color w:val="3370ff"/>
      </w:rPr>
    </w:lvl>
  </w:abstractNum>
  <w:abstractNum w:abstractNumId="891484">
    <w:lvl>
      <w:numFmt w:val="bullet"/>
      <w:suff w:val="tab"/>
      <w:lvlText w:val="￮"/>
      <w:rPr>
        <w:color w:val="3370ff"/>
      </w:rPr>
    </w:lvl>
  </w:abstractNum>
  <w:abstractNum w:abstractNumId="891485">
    <w:lvl>
      <w:numFmt w:val="bullet"/>
      <w:suff w:val="tab"/>
      <w:lvlText w:val="•"/>
      <w:rPr>
        <w:color w:val="3370ff"/>
      </w:rPr>
    </w:lvl>
  </w:abstractNum>
  <w:abstractNum w:abstractNumId="891486">
    <w:lvl>
      <w:numFmt w:val="bullet"/>
      <w:suff w:val="tab"/>
      <w:lvlText w:val="￮"/>
      <w:rPr>
        <w:color w:val="3370ff"/>
      </w:rPr>
    </w:lvl>
  </w:abstractNum>
  <w:abstractNum w:abstractNumId="891487">
    <w:lvl>
      <w:numFmt w:val="bullet"/>
      <w:suff w:val="tab"/>
      <w:lvlText w:val="￮"/>
      <w:rPr>
        <w:color w:val="3370ff"/>
      </w:rPr>
    </w:lvl>
  </w:abstractNum>
  <w:abstractNum w:abstractNumId="891488">
    <w:lvl>
      <w:numFmt w:val="bullet"/>
      <w:suff w:val="tab"/>
      <w:lvlText w:val="•"/>
      <w:rPr>
        <w:color w:val="3370ff"/>
      </w:rPr>
    </w:lvl>
  </w:abstractNum>
  <w:abstractNum w:abstractNumId="891489">
    <w:lvl>
      <w:numFmt w:val="bullet"/>
      <w:suff w:val="tab"/>
      <w:lvlText w:val="￮"/>
      <w:rPr>
        <w:color w:val="3370ff"/>
      </w:rPr>
    </w:lvl>
  </w:abstractNum>
  <w:abstractNum w:abstractNumId="891490">
    <w:lvl>
      <w:numFmt w:val="bullet"/>
      <w:suff w:val="tab"/>
      <w:lvlText w:val="￮"/>
      <w:rPr>
        <w:color w:val="3370ff"/>
      </w:rPr>
    </w:lvl>
  </w:abstractNum>
  <w:abstractNum w:abstractNumId="891491">
    <w:lvl>
      <w:numFmt w:val="bullet"/>
      <w:suff w:val="tab"/>
      <w:lvlText w:val="•"/>
      <w:rPr>
        <w:color w:val="3370ff"/>
      </w:rPr>
    </w:lvl>
  </w:abstractNum>
  <w:abstractNum w:abstractNumId="891492">
    <w:lvl>
      <w:numFmt w:val="bullet"/>
      <w:suff w:val="tab"/>
      <w:lvlText w:val="￮"/>
      <w:rPr>
        <w:color w:val="3370ff"/>
      </w:rPr>
    </w:lvl>
  </w:abstractNum>
  <w:abstractNum w:abstractNumId="891493">
    <w:lvl>
      <w:numFmt w:val="bullet"/>
      <w:suff w:val="tab"/>
      <w:lvlText w:val="￮"/>
      <w:rPr>
        <w:color w:val="3370ff"/>
      </w:rPr>
    </w:lvl>
  </w:abstractNum>
  <w:abstractNum w:abstractNumId="891494">
    <w:lvl>
      <w:numFmt w:val="bullet"/>
      <w:suff w:val="tab"/>
      <w:lvlText w:val="•"/>
      <w:rPr>
        <w:color w:val="3370ff"/>
      </w:rPr>
    </w:lvl>
  </w:abstractNum>
  <w:abstractNum w:abstractNumId="891495">
    <w:lvl>
      <w:numFmt w:val="bullet"/>
      <w:suff w:val="tab"/>
      <w:lvlText w:val="￮"/>
      <w:rPr>
        <w:color w:val="3370ff"/>
      </w:rPr>
    </w:lvl>
  </w:abstractNum>
  <w:abstractNum w:abstractNumId="891496">
    <w:lvl>
      <w:numFmt w:val="bullet"/>
      <w:suff w:val="tab"/>
      <w:lvlText w:val="￮"/>
      <w:rPr>
        <w:color w:val="3370ff"/>
      </w:rPr>
    </w:lvl>
  </w:abstractNum>
  <w:abstractNum w:abstractNumId="891497">
    <w:lvl>
      <w:numFmt w:val="bullet"/>
      <w:suff w:val="tab"/>
      <w:lvlText w:val="￮"/>
      <w:rPr>
        <w:color w:val="3370ff"/>
      </w:rPr>
    </w:lvl>
  </w:abstractNum>
  <w:abstractNum w:abstractNumId="891498">
    <w:lvl>
      <w:numFmt w:val="bullet"/>
      <w:suff w:val="tab"/>
      <w:lvlText w:val="•"/>
      <w:rPr>
        <w:color w:val="3370ff"/>
      </w:rPr>
    </w:lvl>
  </w:abstractNum>
  <w:abstractNum w:abstractNumId="891499">
    <w:lvl>
      <w:numFmt w:val="bullet"/>
      <w:suff w:val="tab"/>
      <w:lvlText w:val="￮"/>
      <w:rPr>
        <w:color w:val="3370ff"/>
      </w:rPr>
    </w:lvl>
  </w:abstractNum>
  <w:abstractNum w:abstractNumId="891500">
    <w:lvl>
      <w:numFmt w:val="bullet"/>
      <w:suff w:val="tab"/>
      <w:lvlText w:val="￮"/>
      <w:rPr>
        <w:color w:val="3370ff"/>
      </w:rPr>
    </w:lvl>
  </w:abstractNum>
  <w:abstractNum w:abstractNumId="891501">
    <w:lvl>
      <w:numFmt w:val="bullet"/>
      <w:suff w:val="tab"/>
      <w:lvlText w:val="•"/>
      <w:rPr>
        <w:color w:val="3370ff"/>
      </w:rPr>
    </w:lvl>
  </w:abstractNum>
  <w:abstractNum w:abstractNumId="891502">
    <w:lvl>
      <w:numFmt w:val="bullet"/>
      <w:suff w:val="tab"/>
      <w:lvlText w:val="￮"/>
      <w:rPr>
        <w:color w:val="3370ff"/>
      </w:rPr>
    </w:lvl>
  </w:abstractNum>
  <w:abstractNum w:abstractNumId="891503">
    <w:lvl>
      <w:numFmt w:val="bullet"/>
      <w:suff w:val="tab"/>
      <w:lvlText w:val="￮"/>
      <w:rPr>
        <w:color w:val="3370ff"/>
      </w:rPr>
    </w:lvl>
  </w:abstractNum>
  <w:abstractNum w:abstractNumId="891504">
    <w:lvl>
      <w:numFmt w:val="bullet"/>
      <w:suff w:val="tab"/>
      <w:lvlText w:val="￮"/>
      <w:rPr>
        <w:color w:val="3370ff"/>
      </w:rPr>
    </w:lvl>
  </w:abstractNum>
  <w:abstractNum w:abstractNumId="891505">
    <w:lvl>
      <w:numFmt w:val="bullet"/>
      <w:suff w:val="tab"/>
      <w:lvlText w:val="•"/>
      <w:rPr>
        <w:color w:val="3370ff"/>
      </w:rPr>
    </w:lvl>
  </w:abstractNum>
  <w:abstractNum w:abstractNumId="891506">
    <w:lvl>
      <w:numFmt w:val="bullet"/>
      <w:suff w:val="tab"/>
      <w:lvlText w:val="￮"/>
      <w:rPr>
        <w:color w:val="3370ff"/>
      </w:rPr>
    </w:lvl>
  </w:abstractNum>
  <w:abstractNum w:abstractNumId="891507">
    <w:lvl>
      <w:numFmt w:val="bullet"/>
      <w:suff w:val="tab"/>
      <w:lvlText w:val="￮"/>
      <w:rPr>
        <w:color w:val="3370ff"/>
      </w:rPr>
    </w:lvl>
  </w:abstractNum>
  <w:abstractNum w:abstractNumId="891508">
    <w:lvl>
      <w:numFmt w:val="bullet"/>
      <w:suff w:val="tab"/>
      <w:lvlText w:val="•"/>
      <w:rPr>
        <w:color w:val="3370ff"/>
      </w:rPr>
    </w:lvl>
  </w:abstractNum>
  <w:abstractNum w:abstractNumId="891509">
    <w:lvl>
      <w:numFmt w:val="bullet"/>
      <w:suff w:val="tab"/>
      <w:lvlText w:val="￮"/>
      <w:rPr>
        <w:color w:val="3370ff"/>
      </w:rPr>
    </w:lvl>
  </w:abstractNum>
  <w:abstractNum w:abstractNumId="891510">
    <w:lvl>
      <w:numFmt w:val="bullet"/>
      <w:suff w:val="tab"/>
      <w:lvlText w:val="￮"/>
      <w:rPr>
        <w:color w:val="3370ff"/>
      </w:rPr>
    </w:lvl>
  </w:abstractNum>
  <w:abstractNum w:abstractNumId="891511">
    <w:lvl>
      <w:numFmt w:val="bullet"/>
      <w:suff w:val="tab"/>
      <w:lvlText w:val="•"/>
      <w:rPr>
        <w:color w:val="3370ff"/>
      </w:rPr>
    </w:lvl>
  </w:abstractNum>
  <w:abstractNum w:abstractNumId="891512">
    <w:lvl>
      <w:numFmt w:val="bullet"/>
      <w:suff w:val="tab"/>
      <w:lvlText w:val="￮"/>
      <w:rPr>
        <w:color w:val="3370ff"/>
      </w:rPr>
    </w:lvl>
  </w:abstractNum>
  <w:abstractNum w:abstractNumId="891513">
    <w:lvl>
      <w:numFmt w:val="bullet"/>
      <w:suff w:val="tab"/>
      <w:lvlText w:val="￮"/>
      <w:rPr>
        <w:color w:val="3370ff"/>
      </w:rPr>
    </w:lvl>
  </w:abstractNum>
  <w:abstractNum w:abstractNumId="891514">
    <w:lvl>
      <w:numFmt w:val="bullet"/>
      <w:suff w:val="tab"/>
      <w:lvlText w:val="•"/>
      <w:rPr>
        <w:color w:val="3370ff"/>
      </w:rPr>
    </w:lvl>
  </w:abstractNum>
  <w:abstractNum w:abstractNumId="891515">
    <w:lvl>
      <w:numFmt w:val="bullet"/>
      <w:suff w:val="tab"/>
      <w:lvlText w:val="￮"/>
      <w:rPr>
        <w:color w:val="3370ff"/>
      </w:rPr>
    </w:lvl>
  </w:abstractNum>
  <w:abstractNum w:abstractNumId="891516">
    <w:lvl>
      <w:numFmt w:val="bullet"/>
      <w:suff w:val="tab"/>
      <w:lvlText w:val="￮"/>
      <w:rPr>
        <w:color w:val="3370ff"/>
      </w:rPr>
    </w:lvl>
  </w:abstractNum>
  <w:abstractNum w:abstractNumId="891517">
    <w:lvl>
      <w:numFmt w:val="bullet"/>
      <w:suff w:val="tab"/>
      <w:lvlText w:val="•"/>
      <w:rPr>
        <w:color w:val="3370ff"/>
      </w:rPr>
    </w:lvl>
  </w:abstractNum>
  <w:abstractNum w:abstractNumId="891518">
    <w:lvl>
      <w:numFmt w:val="bullet"/>
      <w:suff w:val="tab"/>
      <w:lvlText w:val="￮"/>
      <w:rPr>
        <w:color w:val="3370ff"/>
      </w:rPr>
    </w:lvl>
  </w:abstractNum>
  <w:abstractNum w:abstractNumId="891519">
    <w:lvl>
      <w:numFmt w:val="bullet"/>
      <w:suff w:val="tab"/>
      <w:lvlText w:val="￮"/>
      <w:rPr>
        <w:color w:val="3370ff"/>
      </w:rPr>
    </w:lvl>
  </w:abstractNum>
  <w:abstractNum w:abstractNumId="891520">
    <w:lvl>
      <w:numFmt w:val="bullet"/>
      <w:suff w:val="tab"/>
      <w:lvlText w:val="•"/>
      <w:rPr>
        <w:color w:val="3370ff"/>
      </w:rPr>
    </w:lvl>
  </w:abstractNum>
  <w:abstractNum w:abstractNumId="891521">
    <w:lvl>
      <w:numFmt w:val="bullet"/>
      <w:suff w:val="tab"/>
      <w:lvlText w:val="￮"/>
      <w:rPr>
        <w:color w:val="3370ff"/>
      </w:rPr>
    </w:lvl>
  </w:abstractNum>
  <w:abstractNum w:abstractNumId="891522">
    <w:lvl>
      <w:numFmt w:val="bullet"/>
      <w:suff w:val="tab"/>
      <w:lvlText w:val="￮"/>
      <w:rPr>
        <w:color w:val="3370ff"/>
      </w:rPr>
    </w:lvl>
  </w:abstractNum>
  <w:abstractNum w:abstractNumId="891523">
    <w:lvl>
      <w:numFmt w:val="bullet"/>
      <w:suff w:val="tab"/>
      <w:lvlText w:val="•"/>
      <w:rPr>
        <w:color w:val="3370ff"/>
      </w:rPr>
    </w:lvl>
  </w:abstractNum>
  <w:abstractNum w:abstractNumId="891524">
    <w:lvl>
      <w:start w:val="1"/>
      <w:numFmt w:val="decimal"/>
      <w:suff w:val="tab"/>
      <w:lvlText w:val="%1."/>
      <w:rPr>
        <w:color w:val="3370ff"/>
      </w:rPr>
    </w:lvl>
  </w:abstractNum>
  <w:abstractNum w:abstractNumId="891525">
    <w:lvl>
      <w:start w:val="2"/>
      <w:numFmt w:val="decimal"/>
      <w:suff w:val="tab"/>
      <w:lvlText w:val="%1."/>
      <w:rPr>
        <w:color w:val="3370ff"/>
      </w:rPr>
    </w:lvl>
  </w:abstractNum>
  <w:abstractNum w:abstractNumId="891526">
    <w:lvl>
      <w:start w:val="3"/>
      <w:numFmt w:val="decimal"/>
      <w:suff w:val="tab"/>
      <w:lvlText w:val="%1."/>
      <w:rPr>
        <w:color w:val="3370ff"/>
      </w:rPr>
    </w:lvl>
  </w:abstractNum>
  <w:abstractNum w:abstractNumId="891527">
    <w:lvl>
      <w:start w:val="4"/>
      <w:numFmt w:val="decimal"/>
      <w:suff w:val="tab"/>
      <w:lvlText w:val="%1."/>
      <w:rPr>
        <w:color w:val="3370ff"/>
      </w:rPr>
    </w:lvl>
  </w:abstractNum>
  <w:abstractNum w:abstractNumId="891528">
    <w:lvl>
      <w:start w:val="5"/>
      <w:numFmt w:val="decimal"/>
      <w:suff w:val="tab"/>
      <w:lvlText w:val="%1."/>
      <w:rPr>
        <w:color w:val="3370ff"/>
      </w:rPr>
    </w:lvl>
  </w:abstractNum>
  <w:abstractNum w:abstractNumId="891529">
    <w:lvl>
      <w:numFmt w:val="bullet"/>
      <w:suff w:val="tab"/>
      <w:lvlText w:val="•"/>
      <w:rPr>
        <w:color w:val="3370ff"/>
      </w:rPr>
    </w:lvl>
  </w:abstractNum>
  <w:abstractNum w:abstractNumId="891530">
    <w:lvl>
      <w:numFmt w:val="bullet"/>
      <w:suff w:val="tab"/>
      <w:lvlText w:val="•"/>
      <w:rPr>
        <w:color w:val="3370ff"/>
      </w:rPr>
    </w:lvl>
  </w:abstractNum>
  <w:abstractNum w:abstractNumId="891531">
    <w:lvl>
      <w:start w:val="1"/>
      <w:numFmt w:val="decimal"/>
      <w:suff w:val="tab"/>
      <w:lvlText w:val="%1."/>
      <w:rPr>
        <w:color w:val="3370ff"/>
      </w:rPr>
    </w:lvl>
  </w:abstractNum>
  <w:abstractNum w:abstractNumId="891532">
    <w:lvl>
      <w:numFmt w:val="bullet"/>
      <w:suff w:val="tab"/>
      <w:lvlText w:val="•"/>
      <w:rPr>
        <w:color w:val="3370ff"/>
      </w:rPr>
    </w:lvl>
  </w:abstractNum>
  <w:abstractNum w:abstractNumId="891533">
    <w:lvl>
      <w:start w:val="1"/>
      <w:numFmt w:val="decimal"/>
      <w:suff w:val="tab"/>
      <w:lvlText w:val="%1."/>
      <w:rPr>
        <w:color w:val="3370ff"/>
      </w:rPr>
    </w:lvl>
  </w:abstractNum>
  <w:abstractNum w:abstractNumId="891534">
    <w:lvl>
      <w:numFmt w:val="bullet"/>
      <w:suff w:val="tab"/>
      <w:lvlText w:val="•"/>
      <w:rPr>
        <w:color w:val="3370ff"/>
      </w:rPr>
    </w:lvl>
  </w:abstractNum>
  <w:abstractNum w:abstractNumId="891535">
    <w:lvl>
      <w:start w:val="1"/>
      <w:numFmt w:val="decimal"/>
      <w:suff w:val="tab"/>
      <w:lvlText w:val="%1."/>
      <w:rPr>
        <w:color w:val="3370ff"/>
      </w:rPr>
    </w:lvl>
  </w:abstractNum>
  <w:abstractNum w:abstractNumId="891536">
    <w:lvl>
      <w:numFmt w:val="bullet"/>
      <w:suff w:val="tab"/>
      <w:lvlText w:val="•"/>
      <w:rPr>
        <w:color w:val="3370ff"/>
      </w:rPr>
    </w:lvl>
  </w:abstractNum>
  <w:abstractNum w:abstractNumId="891537">
    <w:lvl>
      <w:start w:val="1"/>
      <w:numFmt w:val="decimal"/>
      <w:suff w:val="tab"/>
      <w:lvlText w:val="%1."/>
      <w:rPr>
        <w:color w:val="3370ff"/>
      </w:rPr>
    </w:lvl>
  </w:abstractNum>
  <w:abstractNum w:abstractNumId="891538">
    <w:lvl>
      <w:start w:val="2"/>
      <w:numFmt w:val="decimal"/>
      <w:suff w:val="tab"/>
      <w:lvlText w:val="%1."/>
      <w:rPr>
        <w:color w:val="3370ff"/>
      </w:rPr>
    </w:lvl>
  </w:abstractNum>
  <w:abstractNum w:abstractNumId="891539">
    <w:lvl>
      <w:start w:val="1"/>
      <w:numFmt w:val="decimal"/>
      <w:suff w:val="tab"/>
      <w:lvlText w:val="%1."/>
      <w:rPr>
        <w:color w:val="3370ff"/>
      </w:rPr>
    </w:lvl>
  </w:abstractNum>
  <w:abstractNum w:abstractNumId="891540">
    <w:lvl>
      <w:start w:val="2"/>
      <w:numFmt w:val="decimal"/>
      <w:suff w:val="tab"/>
      <w:lvlText w:val="%1."/>
      <w:rPr>
        <w:color w:val="3370ff"/>
      </w:rPr>
    </w:lvl>
  </w:abstractNum>
  <w:abstractNum w:abstractNumId="891541">
    <w:lvl>
      <w:numFmt w:val="bullet"/>
      <w:suff w:val="tab"/>
      <w:lvlText w:val="•"/>
      <w:rPr>
        <w:color w:val="3370ff"/>
      </w:rPr>
    </w:lvl>
  </w:abstractNum>
  <w:abstractNum w:abstractNumId="891542">
    <w:lvl>
      <w:numFmt w:val="bullet"/>
      <w:suff w:val="tab"/>
      <w:lvlText w:val="•"/>
      <w:rPr>
        <w:color w:val="3370ff"/>
      </w:rPr>
    </w:lvl>
  </w:abstractNum>
  <w:abstractNum w:abstractNumId="891543">
    <w:lvl>
      <w:numFmt w:val="bullet"/>
      <w:suff w:val="tab"/>
      <w:lvlText w:val="•"/>
      <w:rPr>
        <w:color w:val="3370ff"/>
      </w:rPr>
    </w:lvl>
  </w:abstractNum>
  <w:abstractNum w:abstractNumId="891544">
    <w:lvl>
      <w:numFmt w:val="bullet"/>
      <w:suff w:val="tab"/>
      <w:lvlText w:val="•"/>
      <w:rPr>
        <w:color w:val="3370ff"/>
      </w:rPr>
    </w:lvl>
  </w:abstractNum>
  <w:abstractNum w:abstractNumId="891545">
    <w:lvl>
      <w:numFmt w:val="bullet"/>
      <w:suff w:val="tab"/>
      <w:lvlText w:val="•"/>
      <w:rPr>
        <w:color w:val="3370ff"/>
      </w:rPr>
    </w:lvl>
  </w:abstractNum>
  <w:abstractNum w:abstractNumId="891546">
    <w:lvl>
      <w:numFmt w:val="bullet"/>
      <w:suff w:val="tab"/>
      <w:lvlText w:val="•"/>
      <w:rPr>
        <w:color w:val="3370ff"/>
      </w:rPr>
    </w:lvl>
  </w:abstractNum>
  <w:abstractNum w:abstractNumId="891547">
    <w:lvl>
      <w:numFmt w:val="bullet"/>
      <w:suff w:val="tab"/>
      <w:lvlText w:val="•"/>
      <w:rPr>
        <w:color w:val="3370ff"/>
      </w:rPr>
    </w:lvl>
  </w:abstractNum>
  <w:abstractNum w:abstractNumId="891548">
    <w:lvl>
      <w:numFmt w:val="bullet"/>
      <w:suff w:val="tab"/>
      <w:lvlText w:val="•"/>
      <w:rPr>
        <w:color w:val="3370ff"/>
      </w:rPr>
    </w:lvl>
  </w:abstractNum>
  <w:abstractNum w:abstractNumId="891549">
    <w:lvl>
      <w:numFmt w:val="bullet"/>
      <w:suff w:val="tab"/>
      <w:lvlText w:val="•"/>
      <w:rPr>
        <w:color w:val="3370ff"/>
      </w:rPr>
    </w:lvl>
  </w:abstractNum>
  <w:abstractNum w:abstractNumId="891550">
    <w:lvl>
      <w:numFmt w:val="bullet"/>
      <w:suff w:val="tab"/>
      <w:lvlText w:val="•"/>
      <w:rPr>
        <w:color w:val="3370ff"/>
      </w:rPr>
    </w:lvl>
  </w:abstractNum>
  <w:abstractNum w:abstractNumId="891551">
    <w:lvl>
      <w:numFmt w:val="bullet"/>
      <w:suff w:val="tab"/>
      <w:lvlText w:val="•"/>
      <w:rPr>
        <w:color w:val="3370ff"/>
      </w:rPr>
    </w:lvl>
  </w:abstractNum>
  <w:abstractNum w:abstractNumId="891552">
    <w:lvl>
      <w:numFmt w:val="bullet"/>
      <w:suff w:val="tab"/>
      <w:lvlText w:val="•"/>
      <w:rPr>
        <w:color w:val="3370ff"/>
      </w:rPr>
    </w:lvl>
  </w:abstractNum>
  <w:abstractNum w:abstractNumId="891553">
    <w:lvl>
      <w:numFmt w:val="bullet"/>
      <w:suff w:val="tab"/>
      <w:lvlText w:val="•"/>
      <w:rPr>
        <w:color w:val="3370ff"/>
      </w:rPr>
    </w:lvl>
  </w:abstractNum>
  <w:abstractNum w:abstractNumId="891554">
    <w:lvl>
      <w:numFmt w:val="bullet"/>
      <w:suff w:val="tab"/>
      <w:lvlText w:val="•"/>
      <w:rPr>
        <w:color w:val="3370ff"/>
      </w:rPr>
    </w:lvl>
  </w:abstractNum>
  <w:abstractNum w:abstractNumId="891555">
    <w:lvl>
      <w:numFmt w:val="bullet"/>
      <w:suff w:val="tab"/>
      <w:lvlText w:val="•"/>
      <w:rPr>
        <w:color w:val="3370ff"/>
      </w:rPr>
    </w:lvl>
  </w:abstractNum>
  <w:abstractNum w:abstractNumId="891556">
    <w:lvl>
      <w:numFmt w:val="bullet"/>
      <w:suff w:val="tab"/>
      <w:lvlText w:val="•"/>
      <w:rPr>
        <w:color w:val="3370ff"/>
      </w:rPr>
    </w:lvl>
  </w:abstractNum>
  <w:abstractNum w:abstractNumId="891557">
    <w:lvl>
      <w:numFmt w:val="bullet"/>
      <w:suff w:val="tab"/>
      <w:lvlText w:val="•"/>
      <w:rPr>
        <w:color w:val="3370ff"/>
      </w:rPr>
    </w:lvl>
  </w:abstractNum>
  <w:abstractNum w:abstractNumId="891558">
    <w:lvl>
      <w:numFmt w:val="bullet"/>
      <w:suff w:val="tab"/>
      <w:lvlText w:val="•"/>
      <w:rPr>
        <w:color w:val="3370ff"/>
      </w:rPr>
    </w:lvl>
  </w:abstractNum>
  <w:abstractNum w:abstractNumId="891559">
    <w:lvl>
      <w:numFmt w:val="bullet"/>
      <w:suff w:val="tab"/>
      <w:lvlText w:val="•"/>
      <w:rPr>
        <w:color w:val="3370ff"/>
      </w:rPr>
    </w:lvl>
  </w:abstractNum>
  <w:abstractNum w:abstractNumId="891560">
    <w:lvl>
      <w:numFmt w:val="bullet"/>
      <w:suff w:val="tab"/>
      <w:lvlText w:val="•"/>
      <w:rPr>
        <w:color w:val="3370ff"/>
      </w:rPr>
    </w:lvl>
  </w:abstractNum>
  <w:abstractNum w:abstractNumId="891561">
    <w:lvl>
      <w:numFmt w:val="bullet"/>
      <w:suff w:val="tab"/>
      <w:lvlText w:val="•"/>
      <w:rPr>
        <w:color w:val="3370ff"/>
      </w:rPr>
    </w:lvl>
  </w:abstractNum>
  <w:abstractNum w:abstractNumId="891562">
    <w:lvl>
      <w:numFmt w:val="bullet"/>
      <w:suff w:val="tab"/>
      <w:lvlText w:val="•"/>
      <w:rPr>
        <w:color w:val="3370ff"/>
      </w:rPr>
    </w:lvl>
  </w:abstractNum>
  <w:abstractNum w:abstractNumId="891563">
    <w:lvl>
      <w:numFmt w:val="bullet"/>
      <w:suff w:val="tab"/>
      <w:lvlText w:val="•"/>
      <w:rPr>
        <w:color w:val="3370ff"/>
      </w:rPr>
    </w:lvl>
  </w:abstractNum>
  <w:abstractNum w:abstractNumId="891564">
    <w:lvl>
      <w:numFmt w:val="bullet"/>
      <w:suff w:val="tab"/>
      <w:lvlText w:val="•"/>
      <w:rPr>
        <w:color w:val="3370ff"/>
      </w:rPr>
    </w:lvl>
  </w:abstractNum>
  <w:abstractNum w:abstractNumId="891565">
    <w:lvl>
      <w:numFmt w:val="bullet"/>
      <w:suff w:val="tab"/>
      <w:lvlText w:val="•"/>
      <w:rPr>
        <w:color w:val="3370ff"/>
      </w:rPr>
    </w:lvl>
  </w:abstractNum>
  <w:abstractNum w:abstractNumId="891566">
    <w:lvl>
      <w:numFmt w:val="bullet"/>
      <w:suff w:val="tab"/>
      <w:lvlText w:val="•"/>
      <w:rPr>
        <w:color w:val="3370ff"/>
      </w:rPr>
    </w:lvl>
  </w:abstractNum>
  <w:abstractNum w:abstractNumId="891567">
    <w:lvl>
      <w:numFmt w:val="bullet"/>
      <w:suff w:val="tab"/>
      <w:lvlText w:val="•"/>
      <w:rPr>
        <w:color w:val="3370ff"/>
      </w:rPr>
    </w:lvl>
  </w:abstractNum>
  <w:abstractNum w:abstractNumId="891568">
    <w:lvl>
      <w:numFmt w:val="bullet"/>
      <w:suff w:val="tab"/>
      <w:lvlText w:val="•"/>
      <w:rPr>
        <w:color w:val="3370ff"/>
      </w:rPr>
    </w:lvl>
  </w:abstractNum>
  <w:abstractNum w:abstractNumId="891569">
    <w:lvl>
      <w:numFmt w:val="bullet"/>
      <w:suff w:val="tab"/>
      <w:lvlText w:val="•"/>
      <w:rPr>
        <w:color w:val="3370ff"/>
      </w:rPr>
    </w:lvl>
  </w:abstractNum>
  <w:abstractNum w:abstractNumId="891570">
    <w:lvl>
      <w:numFmt w:val="bullet"/>
      <w:suff w:val="tab"/>
      <w:lvlText w:val="•"/>
      <w:rPr>
        <w:color w:val="3370ff"/>
      </w:rPr>
    </w:lvl>
  </w:abstractNum>
  <w:abstractNum w:abstractNumId="891571">
    <w:lvl>
      <w:numFmt w:val="bullet"/>
      <w:suff w:val="tab"/>
      <w:lvlText w:val="•"/>
      <w:rPr>
        <w:color w:val="3370ff"/>
      </w:rPr>
    </w:lvl>
  </w:abstractNum>
  <w:abstractNum w:abstractNumId="891572">
    <w:lvl>
      <w:numFmt w:val="bullet"/>
      <w:suff w:val="tab"/>
      <w:lvlText w:val="•"/>
      <w:rPr>
        <w:color w:val="3370ff"/>
      </w:rPr>
    </w:lvl>
  </w:abstractNum>
  <w:abstractNum w:abstractNumId="891573">
    <w:lvl>
      <w:numFmt w:val="bullet"/>
      <w:suff w:val="tab"/>
      <w:lvlText w:val="•"/>
      <w:rPr>
        <w:color w:val="3370ff"/>
      </w:rPr>
    </w:lvl>
  </w:abstractNum>
  <w:abstractNum w:abstractNumId="891574">
    <w:lvl>
      <w:numFmt w:val="bullet"/>
      <w:suff w:val="tab"/>
      <w:lvlText w:val="•"/>
      <w:rPr>
        <w:color w:val="3370ff"/>
      </w:rPr>
    </w:lvl>
  </w:abstractNum>
  <w:abstractNum w:abstractNumId="891575">
    <w:lvl>
      <w:numFmt w:val="bullet"/>
      <w:suff w:val="tab"/>
      <w:lvlText w:val="•"/>
      <w:rPr>
        <w:color w:val="3370ff"/>
      </w:rPr>
    </w:lvl>
  </w:abstractNum>
  <w:abstractNum w:abstractNumId="891576">
    <w:lvl>
      <w:numFmt w:val="bullet"/>
      <w:suff w:val="tab"/>
      <w:lvlText w:val="•"/>
      <w:rPr>
        <w:color w:val="3370ff"/>
      </w:rPr>
    </w:lvl>
  </w:abstractNum>
  <w:abstractNum w:abstractNumId="891577">
    <w:lvl>
      <w:numFmt w:val="bullet"/>
      <w:suff w:val="tab"/>
      <w:lvlText w:val="•"/>
      <w:rPr>
        <w:color w:val="3370ff"/>
      </w:rPr>
    </w:lvl>
  </w:abstractNum>
  <w:abstractNum w:abstractNumId="891578">
    <w:lvl>
      <w:numFmt w:val="bullet"/>
      <w:suff w:val="tab"/>
      <w:lvlText w:val="•"/>
      <w:rPr>
        <w:color w:val="3370ff"/>
      </w:rPr>
    </w:lvl>
  </w:abstractNum>
  <w:abstractNum w:abstractNumId="891579">
    <w:lvl>
      <w:numFmt w:val="bullet"/>
      <w:suff w:val="tab"/>
      <w:lvlText w:val="•"/>
      <w:rPr>
        <w:color w:val="3370ff"/>
      </w:rPr>
    </w:lvl>
  </w:abstractNum>
  <w:abstractNum w:abstractNumId="891580">
    <w:lvl>
      <w:numFmt w:val="bullet"/>
      <w:suff w:val="tab"/>
      <w:lvlText w:val="•"/>
      <w:rPr>
        <w:color w:val="3370ff"/>
      </w:rPr>
    </w:lvl>
  </w:abstractNum>
  <w:abstractNum w:abstractNumId="891581">
    <w:lvl>
      <w:numFmt w:val="bullet"/>
      <w:suff w:val="tab"/>
      <w:lvlText w:val="•"/>
      <w:rPr>
        <w:color w:val="3370ff"/>
      </w:rPr>
    </w:lvl>
  </w:abstractNum>
  <w:abstractNum w:abstractNumId="891582">
    <w:lvl>
      <w:numFmt w:val="bullet"/>
      <w:suff w:val="tab"/>
      <w:lvlText w:val="•"/>
      <w:rPr>
        <w:color w:val="3370ff"/>
      </w:rPr>
    </w:lvl>
  </w:abstractNum>
  <w:abstractNum w:abstractNumId="891583">
    <w:lvl>
      <w:numFmt w:val="bullet"/>
      <w:suff w:val="tab"/>
      <w:lvlText w:val="•"/>
      <w:rPr>
        <w:color w:val="3370ff"/>
      </w:rPr>
    </w:lvl>
  </w:abstractNum>
  <w:abstractNum w:abstractNumId="891584">
    <w:lvl>
      <w:numFmt w:val="bullet"/>
      <w:suff w:val="tab"/>
      <w:lvlText w:val="•"/>
      <w:rPr>
        <w:color w:val="3370ff"/>
      </w:rPr>
    </w:lvl>
  </w:abstractNum>
  <w:abstractNum w:abstractNumId="891585">
    <w:lvl>
      <w:numFmt w:val="bullet"/>
      <w:suff w:val="tab"/>
      <w:lvlText w:val="•"/>
      <w:rPr>
        <w:color w:val="3370ff"/>
      </w:rPr>
    </w:lvl>
  </w:abstractNum>
  <w:abstractNum w:abstractNumId="891586">
    <w:lvl>
      <w:numFmt w:val="bullet"/>
      <w:suff w:val="tab"/>
      <w:lvlText w:val="•"/>
      <w:rPr>
        <w:color w:val="3370ff"/>
      </w:rPr>
    </w:lvl>
  </w:abstractNum>
  <w:abstractNum w:abstractNumId="891587">
    <w:lvl>
      <w:numFmt w:val="bullet"/>
      <w:suff w:val="tab"/>
      <w:lvlText w:val="•"/>
      <w:rPr>
        <w:color w:val="3370ff"/>
      </w:rPr>
    </w:lvl>
  </w:abstractNum>
  <w:abstractNum w:abstractNumId="891588">
    <w:lvl>
      <w:numFmt w:val="bullet"/>
      <w:suff w:val="tab"/>
      <w:lvlText w:val="•"/>
      <w:rPr>
        <w:color w:val="3370ff"/>
      </w:rPr>
    </w:lvl>
  </w:abstractNum>
  <w:abstractNum w:abstractNumId="891589">
    <w:lvl>
      <w:start w:val="1"/>
      <w:numFmt w:val="decimal"/>
      <w:suff w:val="tab"/>
      <w:lvlText w:val="%1."/>
      <w:rPr>
        <w:color w:val="3370ff"/>
      </w:rPr>
    </w:lvl>
  </w:abstractNum>
  <w:abstractNum w:abstractNumId="891590">
    <w:lvl>
      <w:start w:val="1"/>
      <w:numFmt w:val="decimal"/>
      <w:suff w:val="tab"/>
      <w:lvlText w:val="%1."/>
      <w:rPr>
        <w:color w:val="3370ff"/>
      </w:rPr>
    </w:lvl>
  </w:abstractNum>
  <w:abstractNum w:abstractNumId="891591">
    <w:lvl>
      <w:start w:val="1"/>
      <w:numFmt w:val="lowerLetter"/>
      <w:suff w:val="tab"/>
      <w:lvlText w:val="%1."/>
      <w:rPr>
        <w:color w:val="3370ff"/>
      </w:rPr>
    </w:lvl>
  </w:abstractNum>
  <w:abstractNum w:abstractNumId="891592">
    <w:lvl>
      <w:start w:val="2"/>
      <w:numFmt w:val="decimal"/>
      <w:suff w:val="tab"/>
      <w:lvlText w:val="%1."/>
      <w:rPr>
        <w:color w:val="3370ff"/>
      </w:rPr>
    </w:lvl>
  </w:abstractNum>
  <w:abstractNum w:abstractNumId="891593">
    <w:lvl>
      <w:start w:val="3"/>
      <w:numFmt w:val="decimal"/>
      <w:suff w:val="tab"/>
      <w:lvlText w:val="%1."/>
      <w:rPr>
        <w:color w:val="3370ff"/>
      </w:rPr>
    </w:lvl>
  </w:abstractNum>
  <w:abstractNum w:abstractNumId="891594">
    <w:lvl>
      <w:start w:val="1"/>
      <w:numFmt w:val="lowerLetter"/>
      <w:suff w:val="tab"/>
      <w:lvlText w:val="%1."/>
      <w:rPr>
        <w:color w:val="3370ff"/>
      </w:rPr>
    </w:lvl>
  </w:abstractNum>
  <w:abstractNum w:abstractNumId="891595">
    <w:lvl>
      <w:start w:val="2"/>
      <w:numFmt w:val="lowerLetter"/>
      <w:suff w:val="tab"/>
      <w:lvlText w:val="%1."/>
      <w:rPr>
        <w:color w:val="3370ff"/>
      </w:rPr>
    </w:lvl>
  </w:abstractNum>
  <w:abstractNum w:abstractNumId="891596">
    <w:lvl>
      <w:start w:val="3"/>
      <w:numFmt w:val="lowerLetter"/>
      <w:suff w:val="tab"/>
      <w:lvlText w:val="%1."/>
      <w:rPr>
        <w:color w:val="3370ff"/>
      </w:rPr>
    </w:lvl>
  </w:abstractNum>
  <w:abstractNum w:abstractNumId="891597">
    <w:lvl>
      <w:start w:val="4"/>
      <w:numFmt w:val="lowerLetter"/>
      <w:suff w:val="tab"/>
      <w:lvlText w:val="%1."/>
      <w:rPr>
        <w:color w:val="3370ff"/>
      </w:rPr>
    </w:lvl>
  </w:abstractNum>
  <w:abstractNum w:abstractNumId="891598">
    <w:lvl>
      <w:start w:val="4"/>
      <w:numFmt w:val="decimal"/>
      <w:suff w:val="tab"/>
      <w:lvlText w:val="%1."/>
      <w:rPr>
        <w:color w:val="3370ff"/>
      </w:rPr>
    </w:lvl>
  </w:abstractNum>
  <w:abstractNum w:abstractNumId="891599">
    <w:lvl>
      <w:start w:val="1"/>
      <w:numFmt w:val="lowerLetter"/>
      <w:suff w:val="tab"/>
      <w:lvlText w:val="%1."/>
      <w:rPr>
        <w:color w:val="3370ff"/>
      </w:rPr>
    </w:lvl>
  </w:abstractNum>
  <w:abstractNum w:abstractNumId="891600">
    <w:lvl>
      <w:start w:val="2"/>
      <w:numFmt w:val="lowerLetter"/>
      <w:suff w:val="tab"/>
      <w:lvlText w:val="%1."/>
      <w:rPr>
        <w:color w:val="3370ff"/>
      </w:rPr>
    </w:lvl>
  </w:abstractNum>
  <w:abstractNum w:abstractNumId="891601">
    <w:lvl>
      <w:start w:val="5"/>
      <w:numFmt w:val="decimal"/>
      <w:suff w:val="tab"/>
      <w:lvlText w:val="%1."/>
      <w:rPr>
        <w:color w:val="3370ff"/>
      </w:rPr>
    </w:lvl>
  </w:abstractNum>
  <w:abstractNum w:abstractNumId="891602">
    <w:lvl>
      <w:start w:val="1"/>
      <w:numFmt w:val="lowerLetter"/>
      <w:suff w:val="tab"/>
      <w:lvlText w:val="%1."/>
      <w:rPr>
        <w:color w:val="3370ff"/>
      </w:rPr>
    </w:lvl>
  </w:abstractNum>
  <w:abstractNum w:abstractNumId="891603">
    <w:lvl>
      <w:start w:val="2"/>
      <w:numFmt w:val="decimal"/>
      <w:suff w:val="tab"/>
      <w:lvlText w:val="%1."/>
      <w:rPr>
        <w:color w:val="3370ff"/>
      </w:rPr>
    </w:lvl>
  </w:abstractNum>
  <w:abstractNum w:abstractNumId="891604">
    <w:lvl>
      <w:start w:val="1"/>
      <w:numFmt w:val="decimal"/>
      <w:suff w:val="tab"/>
      <w:lvlText w:val="%1."/>
      <w:rPr>
        <w:color w:val="3370ff"/>
      </w:rPr>
    </w:lvl>
  </w:abstractNum>
  <w:abstractNum w:abstractNumId="891605">
    <w:lvl>
      <w:start w:val="2"/>
      <w:numFmt w:val="decimal"/>
      <w:suff w:val="tab"/>
      <w:lvlText w:val="%1."/>
      <w:rPr>
        <w:color w:val="3370ff"/>
      </w:rPr>
    </w:lvl>
  </w:abstractNum>
  <w:abstractNum w:abstractNumId="891606">
    <w:lvl>
      <w:start w:val="1"/>
      <w:numFmt w:val="decimal"/>
      <w:suff w:val="tab"/>
      <w:lvlText w:val="%1."/>
      <w:rPr>
        <w:color w:val="3370ff"/>
      </w:rPr>
    </w:lvl>
  </w:abstractNum>
  <w:abstractNum w:abstractNumId="891607">
    <w:lvl>
      <w:start w:val="2"/>
      <w:numFmt w:val="decimal"/>
      <w:suff w:val="tab"/>
      <w:lvlText w:val="%1."/>
      <w:rPr>
        <w:color w:val="3370ff"/>
      </w:rPr>
    </w:lvl>
  </w:abstractNum>
  <w:abstractNum w:abstractNumId="891608">
    <w:lvl>
      <w:start w:val="3"/>
      <w:numFmt w:val="decimal"/>
      <w:suff w:val="tab"/>
      <w:lvlText w:val="%1."/>
      <w:rPr>
        <w:color w:val="3370ff"/>
      </w:rPr>
    </w:lvl>
  </w:abstractNum>
  <w:abstractNum w:abstractNumId="891609">
    <w:lvl>
      <w:start w:val="1"/>
      <w:numFmt w:val="lowerLetter"/>
      <w:suff w:val="tab"/>
      <w:lvlText w:val="%1."/>
      <w:rPr>
        <w:color w:val="3370ff"/>
      </w:rPr>
    </w:lvl>
  </w:abstractNum>
  <w:abstractNum w:abstractNumId="891610">
    <w:lvl>
      <w:start w:val="2"/>
      <w:numFmt w:val="lowerLetter"/>
      <w:suff w:val="tab"/>
      <w:lvlText w:val="%1."/>
      <w:rPr>
        <w:color w:val="3370ff"/>
      </w:rPr>
    </w:lvl>
  </w:abstractNum>
  <w:abstractNum w:abstractNumId="891611">
    <w:lvl>
      <w:start w:val="4"/>
      <w:numFmt w:val="decimal"/>
      <w:suff w:val="tab"/>
      <w:lvlText w:val="%1."/>
      <w:rPr>
        <w:color w:val="3370ff"/>
      </w:rPr>
    </w:lvl>
  </w:abstractNum>
  <w:abstractNum w:abstractNumId="891612">
    <w:lvl>
      <w:start w:val="1"/>
      <w:numFmt w:val="lowerLetter"/>
      <w:suff w:val="tab"/>
      <w:lvlText w:val="%1."/>
      <w:rPr>
        <w:color w:val="3370ff"/>
      </w:rPr>
    </w:lvl>
  </w:abstractNum>
  <w:abstractNum w:abstractNumId="891613">
    <w:lvl>
      <w:start w:val="1"/>
      <w:numFmt w:val="lowerLetter"/>
      <w:suff w:val="tab"/>
      <w:lvlText w:val="%1."/>
      <w:rPr>
        <w:color w:val="3370ff"/>
      </w:rPr>
    </w:lvl>
  </w:abstractNum>
  <w:abstractNum w:abstractNumId="891614">
    <w:lvl>
      <w:start w:val="2"/>
      <w:numFmt w:val="lowerLetter"/>
      <w:suff w:val="tab"/>
      <w:lvlText w:val="%1."/>
      <w:rPr>
        <w:color w:val="3370ff"/>
      </w:rPr>
    </w:lvl>
  </w:abstractNum>
  <w:abstractNum w:abstractNumId="891615">
    <w:lvl>
      <w:start w:val="1"/>
      <w:numFmt w:val="decimal"/>
      <w:suff w:val="tab"/>
      <w:lvlText w:val="%1."/>
      <w:rPr>
        <w:color w:val="3370ff"/>
      </w:rPr>
    </w:lvl>
  </w:abstractNum>
  <w:abstractNum w:abstractNumId="891616">
    <w:lvl>
      <w:start w:val="1"/>
      <w:numFmt w:val="decimal"/>
      <w:suff w:val="tab"/>
      <w:lvlText w:val="%1."/>
      <w:rPr>
        <w:color w:val="3370ff"/>
      </w:rPr>
    </w:lvl>
  </w:abstractNum>
  <w:abstractNum w:abstractNumId="891617">
    <w:lvl>
      <w:start w:val="2"/>
      <w:numFmt w:val="decimal"/>
      <w:suff w:val="tab"/>
      <w:lvlText w:val="%1."/>
      <w:rPr>
        <w:color w:val="3370ff"/>
      </w:rPr>
    </w:lvl>
  </w:abstractNum>
  <w:abstractNum w:abstractNumId="891618">
    <w:lvl>
      <w:start w:val="1"/>
      <w:numFmt w:val="decimal"/>
      <w:suff w:val="tab"/>
      <w:lvlText w:val="%1."/>
      <w:rPr>
        <w:color w:val="3370ff"/>
      </w:rPr>
    </w:lvl>
  </w:abstractNum>
  <w:abstractNum w:abstractNumId="891619">
    <w:lvl>
      <w:start w:val="1"/>
      <w:numFmt w:val="decimal"/>
      <w:suff w:val="tab"/>
      <w:lvlText w:val="%1."/>
      <w:rPr>
        <w:color w:val="3370ff"/>
      </w:rPr>
    </w:lvl>
  </w:abstractNum>
  <w:abstractNum w:abstractNumId="891620">
    <w:lvl>
      <w:start w:val="2"/>
      <w:numFmt w:val="decimal"/>
      <w:suff w:val="tab"/>
      <w:lvlText w:val="%1."/>
      <w:rPr>
        <w:color w:val="3370ff"/>
      </w:rPr>
    </w:lvl>
  </w:abstractNum>
  <w:abstractNum w:abstractNumId="891621">
    <w:lvl>
      <w:numFmt w:val="bullet"/>
      <w:suff w:val="tab"/>
      <w:lvlText w:val="•"/>
      <w:rPr>
        <w:color w:val="3370ff"/>
      </w:rPr>
    </w:lvl>
  </w:abstractNum>
  <w:abstractNum w:abstractNumId="891622">
    <w:lvl>
      <w:numFmt w:val="bullet"/>
      <w:suff w:val="tab"/>
      <w:lvlText w:val="•"/>
      <w:rPr>
        <w:color w:val="3370ff"/>
      </w:rPr>
    </w:lvl>
  </w:abstractNum>
  <w:abstractNum w:abstractNumId="891623">
    <w:lvl>
      <w:numFmt w:val="bullet"/>
      <w:suff w:val="tab"/>
      <w:lvlText w:val="•"/>
      <w:rPr>
        <w:color w:val="3370ff"/>
      </w:rPr>
    </w:lvl>
  </w:abstractNum>
  <w:abstractNum w:abstractNumId="891624">
    <w:lvl>
      <w:start w:val="1"/>
      <w:numFmt w:val="decimal"/>
      <w:suff w:val="tab"/>
      <w:lvlText w:val="%1."/>
      <w:rPr>
        <w:color w:val="3370ff"/>
      </w:rPr>
    </w:lvl>
  </w:abstractNum>
  <w:abstractNum w:abstractNumId="891625">
    <w:lvl>
      <w:start w:val="2"/>
      <w:numFmt w:val="decimal"/>
      <w:suff w:val="tab"/>
      <w:lvlText w:val="%1."/>
      <w:rPr>
        <w:color w:val="3370ff"/>
      </w:rPr>
    </w:lvl>
  </w:abstractNum>
  <w:abstractNum w:abstractNumId="891626">
    <w:lvl>
      <w:start w:val="1"/>
      <w:numFmt w:val="lowerLetter"/>
      <w:suff w:val="tab"/>
      <w:lvlText w:val="%1."/>
      <w:rPr>
        <w:color w:val="3370ff"/>
      </w:rPr>
    </w:lvl>
  </w:abstractNum>
  <w:abstractNum w:abstractNumId="891627">
    <w:lvl>
      <w:start w:val="2"/>
      <w:numFmt w:val="lowerLetter"/>
      <w:suff w:val="tab"/>
      <w:lvlText w:val="%1."/>
      <w:rPr>
        <w:color w:val="3370ff"/>
      </w:rPr>
    </w:lvl>
  </w:abstractNum>
  <w:abstractNum w:abstractNumId="891628">
    <w:lvl>
      <w:start w:val="3"/>
      <w:numFmt w:val="decimal"/>
      <w:suff w:val="tab"/>
      <w:lvlText w:val="%1."/>
      <w:rPr>
        <w:color w:val="3370ff"/>
      </w:rPr>
    </w:lvl>
  </w:abstractNum>
  <w:abstractNum w:abstractNumId="891629">
    <w:lvl>
      <w:start w:val="4"/>
      <w:numFmt w:val="decimal"/>
      <w:suff w:val="tab"/>
      <w:lvlText w:val="%1."/>
      <w:rPr>
        <w:color w:val="3370ff"/>
      </w:rPr>
    </w:lvl>
  </w:abstractNum>
  <w:abstractNum w:abstractNumId="891630">
    <w:lvl>
      <w:start w:val="1"/>
      <w:numFmt w:val="lowerLetter"/>
      <w:suff w:val="tab"/>
      <w:lvlText w:val="%1."/>
      <w:rPr>
        <w:color w:val="3370ff"/>
      </w:rPr>
    </w:lvl>
  </w:abstractNum>
  <w:abstractNum w:abstractNumId="891631">
    <w:lvl>
      <w:start w:val="2"/>
      <w:numFmt w:val="lowerLetter"/>
      <w:suff w:val="tab"/>
      <w:lvlText w:val="%1."/>
      <w:rPr>
        <w:color w:val="3370ff"/>
      </w:rPr>
    </w:lvl>
  </w:abstractNum>
  <w:abstractNum w:abstractNumId="891632">
    <w:lvl>
      <w:numFmt w:val="bullet"/>
      <w:suff w:val="tab"/>
      <w:lvlText w:val="•"/>
      <w:rPr>
        <w:color w:val="3370ff"/>
      </w:rPr>
    </w:lvl>
  </w:abstractNum>
  <w:abstractNum w:abstractNumId="891633">
    <w:lvl>
      <w:numFmt w:val="bullet"/>
      <w:suff w:val="tab"/>
      <w:lvlText w:val="•"/>
      <w:rPr>
        <w:color w:val="3370ff"/>
      </w:rPr>
    </w:lvl>
  </w:abstractNum>
  <w:abstractNum w:abstractNumId="891634">
    <w:lvl>
      <w:numFmt w:val="bullet"/>
      <w:suff w:val="tab"/>
      <w:lvlText w:val="•"/>
      <w:rPr>
        <w:color w:val="3370ff"/>
      </w:rPr>
    </w:lvl>
  </w:abstractNum>
  <w:abstractNum w:abstractNumId="891635">
    <w:lvl>
      <w:numFmt w:val="bullet"/>
      <w:suff w:val="tab"/>
      <w:lvlText w:val="•"/>
      <w:rPr>
        <w:color w:val="3370ff"/>
      </w:rPr>
    </w:lvl>
  </w:abstractNum>
  <w:abstractNum w:abstractNumId="891636">
    <w:lvl>
      <w:start w:val="1"/>
      <w:numFmt w:val="decimal"/>
      <w:suff w:val="tab"/>
      <w:lvlText w:val="%1."/>
      <w:rPr>
        <w:color w:val="3370ff"/>
      </w:rPr>
    </w:lvl>
  </w:abstractNum>
  <w:abstractNum w:abstractNumId="891637">
    <w:lvl>
      <w:start w:val="2"/>
      <w:numFmt w:val="decimal"/>
      <w:suff w:val="tab"/>
      <w:lvlText w:val="%1."/>
      <w:rPr>
        <w:color w:val="3370ff"/>
      </w:rPr>
    </w:lvl>
  </w:abstractNum>
  <w:abstractNum w:abstractNumId="891638">
    <w:lvl>
      <w:start w:val="1"/>
      <w:numFmt w:val="lowerLetter"/>
      <w:suff w:val="tab"/>
      <w:lvlText w:val="%1."/>
      <w:rPr>
        <w:color w:val="3370ff"/>
      </w:rPr>
    </w:lvl>
  </w:abstractNum>
  <w:abstractNum w:abstractNumId="891639">
    <w:lvl>
      <w:start w:val="2"/>
      <w:numFmt w:val="lowerLetter"/>
      <w:suff w:val="tab"/>
      <w:lvlText w:val="%1."/>
      <w:rPr>
        <w:color w:val="3370ff"/>
      </w:rPr>
    </w:lvl>
  </w:abstractNum>
  <w:abstractNum w:abstractNumId="891640">
    <w:lvl>
      <w:start w:val="3"/>
      <w:numFmt w:val="decimal"/>
      <w:suff w:val="tab"/>
      <w:lvlText w:val="%1."/>
      <w:rPr>
        <w:color w:val="3370ff"/>
      </w:rPr>
    </w:lvl>
  </w:abstractNum>
  <w:abstractNum w:abstractNumId="891641">
    <w:lvl>
      <w:start w:val="4"/>
      <w:numFmt w:val="decimal"/>
      <w:suff w:val="tab"/>
      <w:lvlText w:val="%1."/>
      <w:rPr>
        <w:color w:val="3370ff"/>
      </w:rPr>
    </w:lvl>
  </w:abstractNum>
  <w:abstractNum w:abstractNumId="891642">
    <w:lvl>
      <w:start w:val="1"/>
      <w:numFmt w:val="lowerLetter"/>
      <w:suff w:val="tab"/>
      <w:lvlText w:val="%1."/>
      <w:rPr>
        <w:color w:val="3370ff"/>
      </w:rPr>
    </w:lvl>
  </w:abstractNum>
  <w:abstractNum w:abstractNumId="891643">
    <w:lvl>
      <w:numFmt w:val="bullet"/>
      <w:suff w:val="tab"/>
      <w:lvlText w:val="•"/>
      <w:rPr>
        <w:color w:val="3370ff"/>
      </w:rPr>
    </w:lvl>
  </w:abstractNum>
  <w:abstractNum w:abstractNumId="891644">
    <w:lvl>
      <w:numFmt w:val="bullet"/>
      <w:suff w:val="tab"/>
      <w:lvlText w:val="•"/>
      <w:rPr>
        <w:color w:val="3370ff"/>
      </w:rPr>
    </w:lvl>
  </w:abstractNum>
  <w:abstractNum w:abstractNumId="891645">
    <w:lvl>
      <w:numFmt w:val="bullet"/>
      <w:suff w:val="tab"/>
      <w:lvlText w:val="•"/>
      <w:rPr>
        <w:color w:val="3370ff"/>
      </w:rPr>
    </w:lvl>
  </w:abstractNum>
  <w:abstractNum w:abstractNumId="891646">
    <w:lvl>
      <w:numFmt w:val="bullet"/>
      <w:suff w:val="tab"/>
      <w:lvlText w:val="•"/>
      <w:rPr>
        <w:color w:val="3370ff"/>
      </w:rPr>
    </w:lvl>
  </w:abstractNum>
  <w:abstractNum w:abstractNumId="891647">
    <w:lvl>
      <w:numFmt w:val="bullet"/>
      <w:suff w:val="tab"/>
      <w:lvlText w:val="•"/>
      <w:rPr>
        <w:color w:val="3370ff"/>
      </w:rPr>
    </w:lvl>
  </w:abstractNum>
  <w:abstractNum w:abstractNumId="891648">
    <w:lvl>
      <w:numFmt w:val="bullet"/>
      <w:suff w:val="tab"/>
      <w:lvlText w:val="•"/>
      <w:rPr>
        <w:color w:val="3370ff"/>
      </w:rPr>
    </w:lvl>
  </w:abstractNum>
  <w:abstractNum w:abstractNumId="891649">
    <w:lvl>
      <w:numFmt w:val="bullet"/>
      <w:suff w:val="tab"/>
      <w:lvlText w:val="￮"/>
      <w:rPr>
        <w:color w:val="3370ff"/>
      </w:rPr>
    </w:lvl>
  </w:abstractNum>
  <w:abstractNum w:abstractNumId="891650">
    <w:lvl>
      <w:numFmt w:val="bullet"/>
      <w:suff w:val="tab"/>
      <w:lvlText w:val="￮"/>
      <w:rPr>
        <w:color w:val="3370ff"/>
      </w:rPr>
    </w:lvl>
  </w:abstractNum>
  <w:abstractNum w:abstractNumId="891651">
    <w:lvl>
      <w:numFmt w:val="bullet"/>
      <w:suff w:val="tab"/>
      <w:lvlText w:val="•"/>
      <w:rPr>
        <w:color w:val="3370ff"/>
      </w:rPr>
    </w:lvl>
  </w:abstractNum>
  <w:abstractNum w:abstractNumId="891652">
    <w:lvl>
      <w:numFmt w:val="bullet"/>
      <w:suff w:val="tab"/>
      <w:lvlText w:val="•"/>
      <w:rPr>
        <w:color w:val="3370ff"/>
      </w:rPr>
    </w:lvl>
  </w:abstractNum>
  <w:abstractNum w:abstractNumId="891653">
    <w:lvl>
      <w:start w:val="1"/>
      <w:numFmt w:val="decimal"/>
      <w:suff w:val="tab"/>
      <w:lvlText w:val="%1."/>
      <w:rPr>
        <w:color w:val="3370ff"/>
      </w:rPr>
    </w:lvl>
  </w:abstractNum>
  <w:abstractNum w:abstractNumId="891654">
    <w:lvl>
      <w:start w:val="1"/>
      <w:numFmt w:val="lowerLetter"/>
      <w:suff w:val="tab"/>
      <w:lvlText w:val="%1."/>
      <w:rPr>
        <w:color w:val="3370ff"/>
      </w:rPr>
    </w:lvl>
  </w:abstractNum>
  <w:abstractNum w:abstractNumId="891655">
    <w:lvl>
      <w:start w:val="2"/>
      <w:numFmt w:val="lowerLetter"/>
      <w:suff w:val="tab"/>
      <w:lvlText w:val="%1."/>
      <w:rPr>
        <w:color w:val="3370ff"/>
      </w:rPr>
    </w:lvl>
  </w:abstractNum>
  <w:abstractNum w:abstractNumId="891656">
    <w:lvl>
      <w:start w:val="1"/>
      <w:numFmt w:val="lowerRoman"/>
      <w:suff w:val="tab"/>
      <w:lvlText w:val="%1."/>
      <w:rPr>
        <w:color w:val="3370ff"/>
      </w:rPr>
    </w:lvl>
  </w:abstractNum>
  <w:abstractNum w:abstractNumId="891657">
    <w:lvl>
      <w:start w:val="2"/>
      <w:numFmt w:val="lowerRoman"/>
      <w:suff w:val="tab"/>
      <w:lvlText w:val="%1."/>
      <w:rPr>
        <w:color w:val="3370ff"/>
      </w:rPr>
    </w:lvl>
  </w:abstractNum>
  <w:abstractNum w:abstractNumId="891658">
    <w:lvl>
      <w:start w:val="1"/>
      <w:numFmt w:val="decimal"/>
      <w:suff w:val="tab"/>
      <w:lvlText w:val="%1."/>
      <w:rPr>
        <w:color w:val="3370ff"/>
      </w:rPr>
    </w:lvl>
  </w:abstractNum>
  <w:abstractNum w:abstractNumId="891659">
    <w:lvl>
      <w:start w:val="2"/>
      <w:numFmt w:val="decimal"/>
      <w:suff w:val="tab"/>
      <w:lvlText w:val="%1."/>
      <w:rPr>
        <w:color w:val="3370ff"/>
      </w:rPr>
    </w:lvl>
  </w:abstractNum>
  <w:abstractNum w:abstractNumId="891660">
    <w:lvl>
      <w:start w:val="1"/>
      <w:numFmt w:val="lowerLetter"/>
      <w:suff w:val="tab"/>
      <w:lvlText w:val="%1."/>
      <w:rPr>
        <w:color w:val="3370ff"/>
      </w:rPr>
    </w:lvl>
  </w:abstractNum>
  <w:abstractNum w:abstractNumId="891661">
    <w:lvl>
      <w:start w:val="2"/>
      <w:numFmt w:val="lowerLetter"/>
      <w:suff w:val="tab"/>
      <w:lvlText w:val="%1."/>
      <w:rPr>
        <w:color w:val="3370ff"/>
      </w:rPr>
    </w:lvl>
  </w:abstractNum>
  <w:abstractNum w:abstractNumId="891662">
    <w:lvl>
      <w:start w:val="3"/>
      <w:numFmt w:val="decimal"/>
      <w:suff w:val="tab"/>
      <w:lvlText w:val="%1."/>
      <w:rPr>
        <w:color w:val="3370ff"/>
      </w:rPr>
    </w:lvl>
  </w:abstractNum>
  <w:abstractNum w:abstractNumId="891663">
    <w:lvl>
      <w:start w:val="1"/>
      <w:numFmt w:val="lowerLetter"/>
      <w:suff w:val="tab"/>
      <w:lvlText w:val="%1."/>
      <w:rPr>
        <w:color w:val="3370ff"/>
      </w:rPr>
    </w:lvl>
  </w:abstractNum>
  <w:abstractNum w:abstractNumId="891664">
    <w:lvl>
      <w:start w:val="2"/>
      <w:numFmt w:val="lowerLetter"/>
      <w:suff w:val="tab"/>
      <w:lvlText w:val="%1."/>
      <w:rPr>
        <w:color w:val="3370ff"/>
      </w:rPr>
    </w:lvl>
  </w:abstractNum>
  <w:abstractNum w:abstractNumId="891665">
    <w:lvl>
      <w:start w:val="3"/>
      <w:numFmt w:val="lowerLetter"/>
      <w:suff w:val="tab"/>
      <w:lvlText w:val="%1."/>
      <w:rPr>
        <w:color w:val="3370ff"/>
      </w:rPr>
    </w:lvl>
  </w:abstractNum>
  <w:abstractNum w:abstractNumId="891666">
    <w:lvl>
      <w:start w:val="1"/>
      <w:numFmt w:val="lowerRoman"/>
      <w:suff w:val="tab"/>
      <w:lvlText w:val="%1."/>
      <w:rPr>
        <w:color w:val="3370ff"/>
      </w:rPr>
    </w:lvl>
  </w:abstractNum>
  <w:abstractNum w:abstractNumId="891667">
    <w:lvl>
      <w:numFmt w:val="bullet"/>
      <w:suff w:val="tab"/>
      <w:lvlText w:val="•"/>
      <w:rPr>
        <w:color w:val="3370ff"/>
      </w:rPr>
    </w:lvl>
  </w:abstractNum>
  <w:abstractNum w:abstractNumId="891668">
    <w:lvl>
      <w:numFmt w:val="bullet"/>
      <w:suff w:val="tab"/>
      <w:lvlText w:val="•"/>
      <w:rPr>
        <w:color w:val="3370ff"/>
      </w:rPr>
    </w:lvl>
  </w:abstractNum>
  <w:abstractNum w:abstractNumId="891669">
    <w:lvl>
      <w:numFmt w:val="bullet"/>
      <w:suff w:val="tab"/>
      <w:lvlText w:val="•"/>
      <w:rPr>
        <w:color w:val="3370ff"/>
      </w:rPr>
    </w:lvl>
  </w:abstractNum>
  <w:abstractNum w:abstractNumId="891670">
    <w:lvl>
      <w:start w:val="1"/>
      <w:numFmt w:val="decimal"/>
      <w:suff w:val="tab"/>
      <w:lvlText w:val="%1."/>
      <w:rPr>
        <w:color w:val="3370ff"/>
      </w:rPr>
    </w:lvl>
  </w:abstractNum>
  <w:abstractNum w:abstractNumId="891671">
    <w:lvl>
      <w:start w:val="2"/>
      <w:numFmt w:val="decimal"/>
      <w:suff w:val="tab"/>
      <w:lvlText w:val="%1."/>
      <w:rPr>
        <w:color w:val="3370ff"/>
      </w:rPr>
    </w:lvl>
  </w:abstractNum>
  <w:abstractNum w:abstractNumId="891672">
    <w:lvl>
      <w:start w:val="3"/>
      <w:numFmt w:val="decimal"/>
      <w:suff w:val="tab"/>
      <w:lvlText w:val="%1."/>
      <w:rPr>
        <w:color w:val="3370ff"/>
      </w:rPr>
    </w:lvl>
  </w:abstractNum>
  <w:abstractNum w:abstractNumId="891673">
    <w:lvl>
      <w:start w:val="1"/>
      <w:numFmt w:val="decimal"/>
      <w:suff w:val="tab"/>
      <w:lvlText w:val="%1."/>
      <w:rPr>
        <w:color w:val="3370ff"/>
      </w:rPr>
    </w:lvl>
  </w:abstractNum>
  <w:abstractNum w:abstractNumId="891674">
    <w:lvl>
      <w:numFmt w:val="bullet"/>
      <w:suff w:val="tab"/>
      <w:lvlText w:val="•"/>
      <w:rPr>
        <w:color w:val="3370ff"/>
      </w:rPr>
    </w:lvl>
  </w:abstractNum>
  <w:abstractNum w:abstractNumId="891675">
    <w:lvl>
      <w:numFmt w:val="bullet"/>
      <w:suff w:val="tab"/>
      <w:lvlText w:val="•"/>
      <w:rPr>
        <w:color w:val="3370ff"/>
      </w:rPr>
    </w:lvl>
  </w:abstractNum>
  <w:abstractNum w:abstractNumId="891676">
    <w:lvl>
      <w:numFmt w:val="bullet"/>
      <w:suff w:val="tab"/>
      <w:lvlText w:val="•"/>
      <w:rPr>
        <w:color w:val="3370ff"/>
      </w:rPr>
    </w:lvl>
  </w:abstractNum>
  <w:abstractNum w:abstractNumId="891677">
    <w:lvl>
      <w:numFmt w:val="bullet"/>
      <w:suff w:val="tab"/>
      <w:lvlText w:val="•"/>
      <w:rPr>
        <w:color w:val="3370ff"/>
      </w:rPr>
    </w:lvl>
  </w:abstractNum>
  <w:abstractNum w:abstractNumId="891678">
    <w:lvl>
      <w:numFmt w:val="bullet"/>
      <w:suff w:val="tab"/>
      <w:lvlText w:val="•"/>
      <w:rPr>
        <w:color w:val="3370ff"/>
      </w:rPr>
    </w:lvl>
  </w:abstractNum>
  <w:abstractNum w:abstractNumId="891679">
    <w:lvl>
      <w:numFmt w:val="bullet"/>
      <w:suff w:val="tab"/>
      <w:lvlText w:val="•"/>
      <w:rPr>
        <w:color w:val="3370ff"/>
      </w:rPr>
    </w:lvl>
  </w:abstractNum>
  <w:abstractNum w:abstractNumId="891680">
    <w:lvl>
      <w:numFmt w:val="bullet"/>
      <w:suff w:val="tab"/>
      <w:lvlText w:val="•"/>
      <w:rPr>
        <w:color w:val="3370ff"/>
      </w:rPr>
    </w:lvl>
  </w:abstractNum>
  <w:abstractNum w:abstractNumId="891681">
    <w:lvl>
      <w:numFmt w:val="bullet"/>
      <w:suff w:val="tab"/>
      <w:lvlText w:val="•"/>
      <w:rPr>
        <w:color w:val="3370ff"/>
      </w:rPr>
    </w:lvl>
  </w:abstractNum>
  <w:abstractNum w:abstractNumId="891682">
    <w:lvl>
      <w:start w:val="2"/>
      <w:numFmt w:val="decimal"/>
      <w:suff w:val="tab"/>
      <w:lvlText w:val="%1."/>
      <w:rPr>
        <w:color w:val="3370ff"/>
      </w:rPr>
    </w:lvl>
  </w:abstractNum>
  <w:abstractNum w:abstractNumId="891683">
    <w:lvl>
      <w:start w:val="3"/>
      <w:numFmt w:val="decimal"/>
      <w:suff w:val="tab"/>
      <w:lvlText w:val="%1."/>
      <w:rPr>
        <w:color w:val="3370ff"/>
      </w:rPr>
    </w:lvl>
  </w:abstractNum>
  <w:abstractNum w:abstractNumId="891684">
    <w:lvl>
      <w:start w:val="1"/>
      <w:numFmt w:val="decimal"/>
      <w:suff w:val="tab"/>
      <w:lvlText w:val="%1."/>
      <w:rPr>
        <w:color w:val="3370ff"/>
      </w:rPr>
    </w:lvl>
  </w:abstractNum>
  <w:abstractNum w:abstractNumId="891685">
    <w:lvl>
      <w:numFmt w:val="bullet"/>
      <w:suff w:val="tab"/>
      <w:lvlText w:val="•"/>
      <w:rPr>
        <w:color w:val="3370ff"/>
      </w:rPr>
    </w:lvl>
  </w:abstractNum>
  <w:abstractNum w:abstractNumId="891686">
    <w:lvl>
      <w:numFmt w:val="bullet"/>
      <w:suff w:val="tab"/>
      <w:lvlText w:val="•"/>
      <w:rPr>
        <w:color w:val="3370ff"/>
      </w:rPr>
    </w:lvl>
  </w:abstractNum>
  <w:abstractNum w:abstractNumId="891687">
    <w:lvl>
      <w:start w:val="1"/>
      <w:numFmt w:val="decimal"/>
      <w:suff w:val="tab"/>
      <w:lvlText w:val="%1."/>
      <w:rPr>
        <w:color w:val="3370ff"/>
      </w:rPr>
    </w:lvl>
  </w:abstractNum>
  <w:abstractNum w:abstractNumId="891688">
    <w:lvl>
      <w:start w:val="1"/>
      <w:numFmt w:val="lowerLetter"/>
      <w:suff w:val="tab"/>
      <w:lvlText w:val="%1."/>
      <w:rPr>
        <w:color w:val="3370ff"/>
      </w:rPr>
    </w:lvl>
  </w:abstractNum>
  <w:abstractNum w:abstractNumId="891689">
    <w:lvl>
      <w:start w:val="2"/>
      <w:numFmt w:val="decimal"/>
      <w:suff w:val="tab"/>
      <w:lvlText w:val="%1."/>
      <w:rPr>
        <w:color w:val="3370ff"/>
      </w:rPr>
    </w:lvl>
  </w:abstractNum>
  <w:abstractNum w:abstractNumId="891690">
    <w:lvl>
      <w:start w:val="1"/>
      <w:numFmt w:val="lowerLetter"/>
      <w:suff w:val="tab"/>
      <w:lvlText w:val="%1."/>
      <w:rPr>
        <w:color w:val="3370ff"/>
      </w:rPr>
    </w:lvl>
  </w:abstractNum>
  <w:abstractNum w:abstractNumId="891691">
    <w:lvl>
      <w:start w:val="3"/>
      <w:numFmt w:val="decimal"/>
      <w:suff w:val="tab"/>
      <w:lvlText w:val="%1."/>
      <w:rPr>
        <w:color w:val="3370ff"/>
      </w:rPr>
    </w:lvl>
  </w:abstractNum>
  <w:abstractNum w:abstractNumId="891692">
    <w:lvl>
      <w:start w:val="4"/>
      <w:numFmt w:val="decimal"/>
      <w:suff w:val="tab"/>
      <w:lvlText w:val="%1."/>
      <w:rPr>
        <w:color w:val="3370ff"/>
      </w:rPr>
    </w:lvl>
  </w:abstractNum>
  <w:abstractNum w:abstractNumId="891693">
    <w:lvl>
      <w:start w:val="1"/>
      <w:numFmt w:val="lowerLetter"/>
      <w:suff w:val="tab"/>
      <w:lvlText w:val="%1."/>
      <w:rPr>
        <w:color w:val="3370ff"/>
      </w:rPr>
    </w:lvl>
  </w:abstractNum>
  <w:abstractNum w:abstractNumId="891694">
    <w:lvl>
      <w:start w:val="2"/>
      <w:numFmt w:val="lowerLetter"/>
      <w:suff w:val="tab"/>
      <w:lvlText w:val="%1."/>
      <w:rPr>
        <w:color w:val="3370ff"/>
      </w:rPr>
    </w:lvl>
  </w:abstractNum>
  <w:abstractNum w:abstractNumId="891695">
    <w:lvl>
      <w:start w:val="5"/>
      <w:numFmt w:val="decimal"/>
      <w:suff w:val="tab"/>
      <w:lvlText w:val="%1."/>
      <w:rPr>
        <w:color w:val="3370ff"/>
      </w:rPr>
    </w:lvl>
  </w:abstractNum>
  <w:abstractNum w:abstractNumId="891696">
    <w:lvl>
      <w:start w:val="1"/>
      <w:numFmt w:val="lowerLetter"/>
      <w:suff w:val="tab"/>
      <w:lvlText w:val="%1."/>
      <w:rPr>
        <w:color w:val="3370ff"/>
      </w:rPr>
    </w:lvl>
  </w:abstractNum>
  <w:abstractNum w:abstractNumId="891697">
    <w:lvl>
      <w:start w:val="2"/>
      <w:numFmt w:val="lowerLetter"/>
      <w:suff w:val="tab"/>
      <w:lvlText w:val="%1."/>
      <w:rPr>
        <w:color w:val="3370ff"/>
      </w:rPr>
    </w:lvl>
  </w:abstractNum>
  <w:abstractNum w:abstractNumId="891698">
    <w:lvl>
      <w:start w:val="1"/>
      <w:numFmt w:val="decimal"/>
      <w:suff w:val="tab"/>
      <w:lvlText w:val="%1."/>
      <w:rPr>
        <w:color w:val="3370ff"/>
      </w:rPr>
    </w:lvl>
  </w:abstractNum>
  <w:abstractNum w:abstractNumId="891699">
    <w:lvl>
      <w:start w:val="2"/>
      <w:numFmt w:val="decimal"/>
      <w:suff w:val="tab"/>
      <w:lvlText w:val="%1."/>
      <w:rPr>
        <w:color w:val="3370ff"/>
      </w:rPr>
    </w:lvl>
  </w:abstractNum>
  <w:abstractNum w:abstractNumId="891700">
    <w:lvl>
      <w:numFmt w:val="bullet"/>
      <w:suff w:val="tab"/>
      <w:lvlText w:val="•"/>
      <w:rPr>
        <w:color w:val="3370ff"/>
      </w:rPr>
    </w:lvl>
  </w:abstractNum>
  <w:abstractNum w:abstractNumId="891701">
    <w:lvl>
      <w:numFmt w:val="bullet"/>
      <w:suff w:val="tab"/>
      <w:lvlText w:val="•"/>
      <w:rPr>
        <w:color w:val="3370ff"/>
      </w:rPr>
    </w:lvl>
  </w:abstractNum>
  <w:abstractNum w:abstractNumId="891702">
    <w:lvl>
      <w:numFmt w:val="bullet"/>
      <w:suff w:val="tab"/>
      <w:lvlText w:val="￮"/>
      <w:rPr>
        <w:color w:val="3370ff"/>
      </w:rPr>
    </w:lvl>
  </w:abstractNum>
  <w:abstractNum w:abstractNumId="891703">
    <w:lvl>
      <w:start w:val="3"/>
      <w:numFmt w:val="decimal"/>
      <w:suff w:val="tab"/>
      <w:lvlText w:val="%1."/>
      <w:rPr>
        <w:color w:val="3370ff"/>
      </w:rPr>
    </w:lvl>
  </w:abstractNum>
  <w:abstractNum w:abstractNumId="891704">
    <w:lvl>
      <w:start w:val="4"/>
      <w:numFmt w:val="decimal"/>
      <w:suff w:val="tab"/>
      <w:lvlText w:val="%1."/>
      <w:rPr>
        <w:color w:val="3370ff"/>
      </w:rPr>
    </w:lvl>
  </w:abstractNum>
  <w:num w:numId="1">
    <w:abstractNumId w:val="891476"/>
  </w:num>
  <w:num w:numId="2">
    <w:abstractNumId w:val="891477"/>
  </w:num>
  <w:num w:numId="3">
    <w:abstractNumId w:val="891478"/>
  </w:num>
  <w:num w:numId="4">
    <w:abstractNumId w:val="891479"/>
  </w:num>
  <w:num w:numId="5">
    <w:abstractNumId w:val="891480"/>
  </w:num>
  <w:num w:numId="6">
    <w:abstractNumId w:val="891481"/>
  </w:num>
  <w:num w:numId="7">
    <w:abstractNumId w:val="891482"/>
  </w:num>
  <w:num w:numId="8">
    <w:abstractNumId w:val="891483"/>
  </w:num>
  <w:num w:numId="9">
    <w:abstractNumId w:val="891484"/>
  </w:num>
  <w:num w:numId="10">
    <w:abstractNumId w:val="891485"/>
  </w:num>
  <w:num w:numId="11">
    <w:abstractNumId w:val="891486"/>
  </w:num>
  <w:num w:numId="12">
    <w:abstractNumId w:val="891487"/>
  </w:num>
  <w:num w:numId="13">
    <w:abstractNumId w:val="891488"/>
  </w:num>
  <w:num w:numId="14">
    <w:abstractNumId w:val="891489"/>
  </w:num>
  <w:num w:numId="15">
    <w:abstractNumId w:val="891490"/>
  </w:num>
  <w:num w:numId="16">
    <w:abstractNumId w:val="891491"/>
  </w:num>
  <w:num w:numId="17">
    <w:abstractNumId w:val="891492"/>
  </w:num>
  <w:num w:numId="18">
    <w:abstractNumId w:val="891493"/>
  </w:num>
  <w:num w:numId="19">
    <w:abstractNumId w:val="891494"/>
  </w:num>
  <w:num w:numId="20">
    <w:abstractNumId w:val="891495"/>
  </w:num>
  <w:num w:numId="21">
    <w:abstractNumId w:val="891496"/>
  </w:num>
  <w:num w:numId="22">
    <w:abstractNumId w:val="891497"/>
  </w:num>
  <w:num w:numId="23">
    <w:abstractNumId w:val="891498"/>
  </w:num>
  <w:num w:numId="24">
    <w:abstractNumId w:val="891499"/>
  </w:num>
  <w:num w:numId="25">
    <w:abstractNumId w:val="891500"/>
  </w:num>
  <w:num w:numId="26">
    <w:abstractNumId w:val="891501"/>
  </w:num>
  <w:num w:numId="27">
    <w:abstractNumId w:val="891502"/>
  </w:num>
  <w:num w:numId="28">
    <w:abstractNumId w:val="891503"/>
  </w:num>
  <w:num w:numId="29">
    <w:abstractNumId w:val="891504"/>
  </w:num>
  <w:num w:numId="30">
    <w:abstractNumId w:val="891505"/>
  </w:num>
  <w:num w:numId="31">
    <w:abstractNumId w:val="891506"/>
  </w:num>
  <w:num w:numId="32">
    <w:abstractNumId w:val="891507"/>
  </w:num>
  <w:num w:numId="33">
    <w:abstractNumId w:val="891508"/>
  </w:num>
  <w:num w:numId="34">
    <w:abstractNumId w:val="891509"/>
  </w:num>
  <w:num w:numId="35">
    <w:abstractNumId w:val="891510"/>
  </w:num>
  <w:num w:numId="36">
    <w:abstractNumId w:val="891511"/>
  </w:num>
  <w:num w:numId="37">
    <w:abstractNumId w:val="891512"/>
  </w:num>
  <w:num w:numId="38">
    <w:abstractNumId w:val="891513"/>
  </w:num>
  <w:num w:numId="39">
    <w:abstractNumId w:val="891514"/>
  </w:num>
  <w:num w:numId="40">
    <w:abstractNumId w:val="891515"/>
  </w:num>
  <w:num w:numId="41">
    <w:abstractNumId w:val="891516"/>
  </w:num>
  <w:num w:numId="42">
    <w:abstractNumId w:val="891517"/>
  </w:num>
  <w:num w:numId="43">
    <w:abstractNumId w:val="891518"/>
  </w:num>
  <w:num w:numId="44">
    <w:abstractNumId w:val="891519"/>
  </w:num>
  <w:num w:numId="45">
    <w:abstractNumId w:val="891520"/>
  </w:num>
  <w:num w:numId="46">
    <w:abstractNumId w:val="891521"/>
  </w:num>
  <w:num w:numId="47">
    <w:abstractNumId w:val="891522"/>
  </w:num>
  <w:num w:numId="48">
    <w:abstractNumId w:val="891523"/>
  </w:num>
  <w:num w:numId="49">
    <w:abstractNumId w:val="891524"/>
  </w:num>
  <w:num w:numId="50">
    <w:abstractNumId w:val="891525"/>
  </w:num>
  <w:num w:numId="51">
    <w:abstractNumId w:val="891526"/>
  </w:num>
  <w:num w:numId="52">
    <w:abstractNumId w:val="891527"/>
  </w:num>
  <w:num w:numId="53">
    <w:abstractNumId w:val="891528"/>
  </w:num>
  <w:num w:numId="54">
    <w:abstractNumId w:val="891529"/>
  </w:num>
  <w:num w:numId="55">
    <w:abstractNumId w:val="891530"/>
  </w:num>
  <w:num w:numId="56">
    <w:abstractNumId w:val="891531"/>
  </w:num>
  <w:num w:numId="57">
    <w:abstractNumId w:val="891532"/>
  </w:num>
  <w:num w:numId="58">
    <w:abstractNumId w:val="891533"/>
  </w:num>
  <w:num w:numId="59">
    <w:abstractNumId w:val="891534"/>
  </w:num>
  <w:num w:numId="60">
    <w:abstractNumId w:val="891535"/>
  </w:num>
  <w:num w:numId="61">
    <w:abstractNumId w:val="891536"/>
  </w:num>
  <w:num w:numId="62">
    <w:abstractNumId w:val="891537"/>
  </w:num>
  <w:num w:numId="63">
    <w:abstractNumId w:val="891538"/>
  </w:num>
  <w:num w:numId="64">
    <w:abstractNumId w:val="891539"/>
  </w:num>
  <w:num w:numId="65">
    <w:abstractNumId w:val="891540"/>
  </w:num>
  <w:num w:numId="66">
    <w:abstractNumId w:val="891541"/>
  </w:num>
  <w:num w:numId="67">
    <w:abstractNumId w:val="891542"/>
  </w:num>
  <w:num w:numId="68">
    <w:abstractNumId w:val="891543"/>
  </w:num>
  <w:num w:numId="69">
    <w:abstractNumId w:val="891544"/>
  </w:num>
  <w:num w:numId="70">
    <w:abstractNumId w:val="891545"/>
  </w:num>
  <w:num w:numId="71">
    <w:abstractNumId w:val="891546"/>
  </w:num>
  <w:num w:numId="72">
    <w:abstractNumId w:val="891547"/>
  </w:num>
  <w:num w:numId="73">
    <w:abstractNumId w:val="891548"/>
  </w:num>
  <w:num w:numId="74">
    <w:abstractNumId w:val="891549"/>
  </w:num>
  <w:num w:numId="75">
    <w:abstractNumId w:val="891550"/>
  </w:num>
  <w:num w:numId="76">
    <w:abstractNumId w:val="891551"/>
  </w:num>
  <w:num w:numId="77">
    <w:abstractNumId w:val="891552"/>
  </w:num>
  <w:num w:numId="78">
    <w:abstractNumId w:val="891553"/>
  </w:num>
  <w:num w:numId="79">
    <w:abstractNumId w:val="891554"/>
  </w:num>
  <w:num w:numId="80">
    <w:abstractNumId w:val="891555"/>
  </w:num>
  <w:num w:numId="81">
    <w:abstractNumId w:val="891556"/>
  </w:num>
  <w:num w:numId="82">
    <w:abstractNumId w:val="891557"/>
  </w:num>
  <w:num w:numId="83">
    <w:abstractNumId w:val="891558"/>
  </w:num>
  <w:num w:numId="84">
    <w:abstractNumId w:val="891559"/>
  </w:num>
  <w:num w:numId="85">
    <w:abstractNumId w:val="891560"/>
  </w:num>
  <w:num w:numId="86">
    <w:abstractNumId w:val="891561"/>
  </w:num>
  <w:num w:numId="87">
    <w:abstractNumId w:val="891562"/>
  </w:num>
  <w:num w:numId="88">
    <w:abstractNumId w:val="891563"/>
  </w:num>
  <w:num w:numId="89">
    <w:abstractNumId w:val="891564"/>
  </w:num>
  <w:num w:numId="90">
    <w:abstractNumId w:val="891565"/>
  </w:num>
  <w:num w:numId="91">
    <w:abstractNumId w:val="891566"/>
  </w:num>
  <w:num w:numId="92">
    <w:abstractNumId w:val="891567"/>
  </w:num>
  <w:num w:numId="93">
    <w:abstractNumId w:val="891568"/>
  </w:num>
  <w:num w:numId="94">
    <w:abstractNumId w:val="891569"/>
  </w:num>
  <w:num w:numId="95">
    <w:abstractNumId w:val="891570"/>
  </w:num>
  <w:num w:numId="96">
    <w:abstractNumId w:val="891571"/>
  </w:num>
  <w:num w:numId="97">
    <w:abstractNumId w:val="891572"/>
  </w:num>
  <w:num w:numId="98">
    <w:abstractNumId w:val="891573"/>
  </w:num>
  <w:num w:numId="99">
    <w:abstractNumId w:val="891574"/>
  </w:num>
  <w:num w:numId="100">
    <w:abstractNumId w:val="891575"/>
  </w:num>
  <w:num w:numId="101">
    <w:abstractNumId w:val="891576"/>
  </w:num>
  <w:num w:numId="102">
    <w:abstractNumId w:val="891577"/>
  </w:num>
  <w:num w:numId="103">
    <w:abstractNumId w:val="891578"/>
  </w:num>
  <w:num w:numId="104">
    <w:abstractNumId w:val="891579"/>
  </w:num>
  <w:num w:numId="105">
    <w:abstractNumId w:val="891580"/>
  </w:num>
  <w:num w:numId="106">
    <w:abstractNumId w:val="891581"/>
  </w:num>
  <w:num w:numId="107">
    <w:abstractNumId w:val="891582"/>
  </w:num>
  <w:num w:numId="108">
    <w:abstractNumId w:val="891583"/>
  </w:num>
  <w:num w:numId="109">
    <w:abstractNumId w:val="891584"/>
  </w:num>
  <w:num w:numId="110">
    <w:abstractNumId w:val="891585"/>
  </w:num>
  <w:num w:numId="111">
    <w:abstractNumId w:val="891586"/>
  </w:num>
  <w:num w:numId="112">
    <w:abstractNumId w:val="891587"/>
  </w:num>
  <w:num w:numId="113">
    <w:abstractNumId w:val="891588"/>
  </w:num>
  <w:num w:numId="114">
    <w:abstractNumId w:val="891589"/>
  </w:num>
  <w:num w:numId="115">
    <w:abstractNumId w:val="891590"/>
  </w:num>
  <w:num w:numId="116">
    <w:abstractNumId w:val="891591"/>
  </w:num>
  <w:num w:numId="117">
    <w:abstractNumId w:val="891592"/>
  </w:num>
  <w:num w:numId="118">
    <w:abstractNumId w:val="891593"/>
  </w:num>
  <w:num w:numId="119">
    <w:abstractNumId w:val="891594"/>
  </w:num>
  <w:num w:numId="120">
    <w:abstractNumId w:val="891595"/>
  </w:num>
  <w:num w:numId="121">
    <w:abstractNumId w:val="891596"/>
  </w:num>
  <w:num w:numId="122">
    <w:abstractNumId w:val="891597"/>
  </w:num>
  <w:num w:numId="123">
    <w:abstractNumId w:val="891598"/>
  </w:num>
  <w:num w:numId="124">
    <w:abstractNumId w:val="891599"/>
  </w:num>
  <w:num w:numId="125">
    <w:abstractNumId w:val="891600"/>
  </w:num>
  <w:num w:numId="126">
    <w:abstractNumId w:val="891601"/>
  </w:num>
  <w:num w:numId="127">
    <w:abstractNumId w:val="891602"/>
  </w:num>
  <w:num w:numId="128">
    <w:abstractNumId w:val="891603"/>
  </w:num>
  <w:num w:numId="129">
    <w:abstractNumId w:val="891604"/>
  </w:num>
  <w:num w:numId="130">
    <w:abstractNumId w:val="891605"/>
  </w:num>
  <w:num w:numId="131">
    <w:abstractNumId w:val="891606"/>
  </w:num>
  <w:num w:numId="132">
    <w:abstractNumId w:val="891607"/>
  </w:num>
  <w:num w:numId="133">
    <w:abstractNumId w:val="891608"/>
  </w:num>
  <w:num w:numId="134">
    <w:abstractNumId w:val="891609"/>
  </w:num>
  <w:num w:numId="135">
    <w:abstractNumId w:val="891610"/>
  </w:num>
  <w:num w:numId="136">
    <w:abstractNumId w:val="891611"/>
  </w:num>
  <w:num w:numId="137">
    <w:abstractNumId w:val="891612"/>
  </w:num>
  <w:num w:numId="138">
    <w:abstractNumId w:val="891613"/>
  </w:num>
  <w:num w:numId="139">
    <w:abstractNumId w:val="891614"/>
  </w:num>
  <w:num w:numId="140">
    <w:abstractNumId w:val="891615"/>
  </w:num>
  <w:num w:numId="141">
    <w:abstractNumId w:val="891616"/>
  </w:num>
  <w:num w:numId="142">
    <w:abstractNumId w:val="891617"/>
  </w:num>
  <w:num w:numId="143">
    <w:abstractNumId w:val="891618"/>
  </w:num>
  <w:num w:numId="144">
    <w:abstractNumId w:val="891619"/>
  </w:num>
  <w:num w:numId="145">
    <w:abstractNumId w:val="891620"/>
  </w:num>
  <w:num w:numId="146">
    <w:abstractNumId w:val="891621"/>
  </w:num>
  <w:num w:numId="147">
    <w:abstractNumId w:val="891622"/>
  </w:num>
  <w:num w:numId="148">
    <w:abstractNumId w:val="891623"/>
  </w:num>
  <w:num w:numId="149">
    <w:abstractNumId w:val="891624"/>
  </w:num>
  <w:num w:numId="150">
    <w:abstractNumId w:val="891625"/>
  </w:num>
  <w:num w:numId="151">
    <w:abstractNumId w:val="891626"/>
  </w:num>
  <w:num w:numId="152">
    <w:abstractNumId w:val="891627"/>
  </w:num>
  <w:num w:numId="153">
    <w:abstractNumId w:val="891628"/>
  </w:num>
  <w:num w:numId="154">
    <w:abstractNumId w:val="891629"/>
  </w:num>
  <w:num w:numId="155">
    <w:abstractNumId w:val="891630"/>
  </w:num>
  <w:num w:numId="156">
    <w:abstractNumId w:val="891631"/>
  </w:num>
  <w:num w:numId="157">
    <w:abstractNumId w:val="891632"/>
  </w:num>
  <w:num w:numId="158">
    <w:abstractNumId w:val="891633"/>
  </w:num>
  <w:num w:numId="159">
    <w:abstractNumId w:val="891634"/>
  </w:num>
  <w:num w:numId="160">
    <w:abstractNumId w:val="891635"/>
  </w:num>
  <w:num w:numId="161">
    <w:abstractNumId w:val="891636"/>
  </w:num>
  <w:num w:numId="162">
    <w:abstractNumId w:val="891637"/>
  </w:num>
  <w:num w:numId="163">
    <w:abstractNumId w:val="891638"/>
  </w:num>
  <w:num w:numId="164">
    <w:abstractNumId w:val="891639"/>
  </w:num>
  <w:num w:numId="165">
    <w:abstractNumId w:val="891640"/>
  </w:num>
  <w:num w:numId="166">
    <w:abstractNumId w:val="891641"/>
  </w:num>
  <w:num w:numId="167">
    <w:abstractNumId w:val="891642"/>
  </w:num>
  <w:num w:numId="168">
    <w:abstractNumId w:val="891643"/>
  </w:num>
  <w:num w:numId="169">
    <w:abstractNumId w:val="891644"/>
  </w:num>
  <w:num w:numId="170">
    <w:abstractNumId w:val="891645"/>
  </w:num>
  <w:num w:numId="171">
    <w:abstractNumId w:val="891646"/>
  </w:num>
  <w:num w:numId="172">
    <w:abstractNumId w:val="891647"/>
  </w:num>
  <w:num w:numId="173">
    <w:abstractNumId w:val="891648"/>
  </w:num>
  <w:num w:numId="174">
    <w:abstractNumId w:val="891649"/>
  </w:num>
  <w:num w:numId="175">
    <w:abstractNumId w:val="891650"/>
  </w:num>
  <w:num w:numId="176">
    <w:abstractNumId w:val="891651"/>
  </w:num>
  <w:num w:numId="177">
    <w:abstractNumId w:val="891652"/>
  </w:num>
  <w:num w:numId="178">
    <w:abstractNumId w:val="891653"/>
  </w:num>
  <w:num w:numId="179">
    <w:abstractNumId w:val="891654"/>
  </w:num>
  <w:num w:numId="180">
    <w:abstractNumId w:val="891655"/>
  </w:num>
  <w:num w:numId="181">
    <w:abstractNumId w:val="891656"/>
  </w:num>
  <w:num w:numId="182">
    <w:abstractNumId w:val="891657"/>
  </w:num>
  <w:num w:numId="183">
    <w:abstractNumId w:val="891658"/>
  </w:num>
  <w:num w:numId="184">
    <w:abstractNumId w:val="891659"/>
  </w:num>
  <w:num w:numId="185">
    <w:abstractNumId w:val="891660"/>
  </w:num>
  <w:num w:numId="186">
    <w:abstractNumId w:val="891661"/>
  </w:num>
  <w:num w:numId="187">
    <w:abstractNumId w:val="891662"/>
  </w:num>
  <w:num w:numId="188">
    <w:abstractNumId w:val="891663"/>
  </w:num>
  <w:num w:numId="189">
    <w:abstractNumId w:val="891664"/>
  </w:num>
  <w:num w:numId="190">
    <w:abstractNumId w:val="891665"/>
  </w:num>
  <w:num w:numId="191">
    <w:abstractNumId w:val="891666"/>
  </w:num>
  <w:num w:numId="192">
    <w:abstractNumId w:val="891667"/>
  </w:num>
  <w:num w:numId="193">
    <w:abstractNumId w:val="891668"/>
  </w:num>
  <w:num w:numId="194">
    <w:abstractNumId w:val="891669"/>
  </w:num>
  <w:num w:numId="195">
    <w:abstractNumId w:val="891670"/>
  </w:num>
  <w:num w:numId="196">
    <w:abstractNumId w:val="891671"/>
  </w:num>
  <w:num w:numId="197">
    <w:abstractNumId w:val="891672"/>
  </w:num>
  <w:num w:numId="198">
    <w:abstractNumId w:val="891673"/>
  </w:num>
  <w:num w:numId="199">
    <w:abstractNumId w:val="891674"/>
  </w:num>
  <w:num w:numId="200">
    <w:abstractNumId w:val="891675"/>
  </w:num>
  <w:num w:numId="201">
    <w:abstractNumId w:val="891676"/>
  </w:num>
  <w:num w:numId="202">
    <w:abstractNumId w:val="891677"/>
  </w:num>
  <w:num w:numId="203">
    <w:abstractNumId w:val="891678"/>
  </w:num>
  <w:num w:numId="204">
    <w:abstractNumId w:val="891679"/>
  </w:num>
  <w:num w:numId="205">
    <w:abstractNumId w:val="891680"/>
  </w:num>
  <w:num w:numId="206">
    <w:abstractNumId w:val="891681"/>
  </w:num>
  <w:num w:numId="207">
    <w:abstractNumId w:val="891682"/>
  </w:num>
  <w:num w:numId="208">
    <w:abstractNumId w:val="891683"/>
  </w:num>
  <w:num w:numId="209">
    <w:abstractNumId w:val="891684"/>
  </w:num>
  <w:num w:numId="210">
    <w:abstractNumId w:val="891685"/>
  </w:num>
  <w:num w:numId="211">
    <w:abstractNumId w:val="891686"/>
  </w:num>
  <w:num w:numId="212">
    <w:abstractNumId w:val="891687"/>
  </w:num>
  <w:num w:numId="213">
    <w:abstractNumId w:val="891688"/>
  </w:num>
  <w:num w:numId="214">
    <w:abstractNumId w:val="891689"/>
  </w:num>
  <w:num w:numId="215">
    <w:abstractNumId w:val="891690"/>
  </w:num>
  <w:num w:numId="216">
    <w:abstractNumId w:val="891691"/>
  </w:num>
  <w:num w:numId="217">
    <w:abstractNumId w:val="891692"/>
  </w:num>
  <w:num w:numId="218">
    <w:abstractNumId w:val="891693"/>
  </w:num>
  <w:num w:numId="219">
    <w:abstractNumId w:val="891694"/>
  </w:num>
  <w:num w:numId="220">
    <w:abstractNumId w:val="891695"/>
  </w:num>
  <w:num w:numId="221">
    <w:abstractNumId w:val="891696"/>
  </w:num>
  <w:num w:numId="222">
    <w:abstractNumId w:val="891697"/>
  </w:num>
  <w:num w:numId="223">
    <w:abstractNumId w:val="891698"/>
  </w:num>
  <w:num w:numId="224">
    <w:abstractNumId w:val="891699"/>
  </w:num>
  <w:num w:numId="225">
    <w:abstractNumId w:val="891700"/>
  </w:num>
  <w:num w:numId="226">
    <w:abstractNumId w:val="891701"/>
  </w:num>
  <w:num w:numId="227">
    <w:abstractNumId w:val="891702"/>
  </w:num>
  <w:num w:numId="228">
    <w:abstractNumId w:val="891703"/>
  </w:num>
  <w:num w:numId="229">
    <w:abstractNumId w:val="89170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jpeg" Type="http://schemas.openxmlformats.org/officeDocument/2006/relationships/image"/><Relationship Id="rId11" Target="media/image5.jpeg" Type="http://schemas.openxmlformats.org/officeDocument/2006/relationships/image"/><Relationship Id="rId12" Target="media/image6.jpeg" Type="http://schemas.openxmlformats.org/officeDocument/2006/relationships/image"/><Relationship Id="rId13" Target="media/image7.jpeg" Type="http://schemas.openxmlformats.org/officeDocument/2006/relationships/image"/><Relationship Id="rId14" Target="media/image8.png" Type="http://schemas.openxmlformats.org/officeDocument/2006/relationships/image"/><Relationship Id="rId15" Target="media/image9.jpeg" Type="http://schemas.openxmlformats.org/officeDocument/2006/relationships/image"/><Relationship Id="rId16" Target="media/image10.png" Type="http://schemas.openxmlformats.org/officeDocument/2006/relationships/image"/><Relationship Id="rId17" Target="http://solapex.lazzapay.com" TargetMode="External" Type="http://schemas.openxmlformats.org/officeDocument/2006/relationships/hyperlink"/><Relationship Id="rId18" Target="media/image11.png" Type="http://schemas.openxmlformats.org/officeDocument/2006/relationships/image"/><Relationship Id="rId19" Target="media/image12.png" Type="http://schemas.openxmlformats.org/officeDocument/2006/relationships/image"/><Relationship Id="rId2" Target="styles.xml" Type="http://schemas.openxmlformats.org/officeDocument/2006/relationships/styles"/><Relationship Id="rId20" Target="media/image13.png" Type="http://schemas.openxmlformats.org/officeDocument/2006/relationships/image"/><Relationship Id="rId21" Target="media/image14.jpeg" Type="http://schemas.openxmlformats.org/officeDocument/2006/relationships/image"/><Relationship Id="rId22" Target="media/image15.png" Type="http://schemas.openxmlformats.org/officeDocument/2006/relationships/image"/><Relationship Id="rId23" Target="media/image16.jpeg" Type="http://schemas.openxmlformats.org/officeDocument/2006/relationships/image"/><Relationship Id="rId24" Target="media/image17.jpeg" Type="http://schemas.openxmlformats.org/officeDocument/2006/relationships/image"/><Relationship Id="rId25" Target="media/image18.jpeg" Type="http://schemas.openxmlformats.org/officeDocument/2006/relationships/image"/><Relationship Id="rId26" Target="media/image19.png" Type="http://schemas.openxmlformats.org/officeDocument/2006/relationships/image"/><Relationship Id="rId27" Target="media/image20.png" Type="http://schemas.openxmlformats.org/officeDocument/2006/relationships/image"/><Relationship Id="rId28" Target="media/image21.png" Type="http://schemas.openxmlformats.org/officeDocument/2006/relationships/image"/><Relationship Id="rId29" Target="media/image22.jpeg" Type="http://schemas.openxmlformats.org/officeDocument/2006/relationships/image"/><Relationship Id="rId3" Target="footer1.xml" Type="http://schemas.openxmlformats.org/officeDocument/2006/relationships/footer"/><Relationship Id="rId30" Target="media/image23.png" Type="http://schemas.openxmlformats.org/officeDocument/2006/relationships/image"/><Relationship Id="rId31" Target="media/image24.png" Type="http://schemas.openxmlformats.org/officeDocument/2006/relationships/image"/><Relationship Id="rId32" Target="media/image25.png" Type="http://schemas.openxmlformats.org/officeDocument/2006/relationships/image"/><Relationship Id="rId33" Target="media/image26.png" Type="http://schemas.openxmlformats.org/officeDocument/2006/relationships/image"/><Relationship Id="rId34" Target="media/image27.png" Type="http://schemas.openxmlformats.org/officeDocument/2006/relationships/image"/><Relationship Id="rId35" Target="media/image28.png" Type="http://schemas.openxmlformats.org/officeDocument/2006/relationships/image"/><Relationship Id="rId36" Target="media/image29.png" Type="http://schemas.openxmlformats.org/officeDocument/2006/relationships/image"/><Relationship Id="rId37" Target="media/image30.png" Type="http://schemas.openxmlformats.org/officeDocument/2006/relationships/image"/><Relationship Id="rId38" Target="media/image31.png" Type="http://schemas.openxmlformats.org/officeDocument/2006/relationships/image"/><Relationship Id="rId39" Target="media/image32.png" Type="http://schemas.openxmlformats.org/officeDocument/2006/relationships/image"/><Relationship Id="rId4" Target="numbering.xml" Type="http://schemas.openxmlformats.org/officeDocument/2006/relationships/numbering"/><Relationship Id="rId40" Target="media/image33.png" Type="http://schemas.openxmlformats.org/officeDocument/2006/relationships/image"/><Relationship Id="rId41" Target="media/image34.png" Type="http://schemas.openxmlformats.org/officeDocument/2006/relationships/image"/><Relationship Id="rId42" Target="media/image35.png" Type="http://schemas.openxmlformats.org/officeDocument/2006/relationships/image"/><Relationship Id="rId43" Target="media/image36.png" Type="http://schemas.openxmlformats.org/officeDocument/2006/relationships/image"/><Relationship Id="rId44" Target="header1.xml" Type="http://schemas.openxmlformats.org/officeDocument/2006/relationships/header"/><Relationship Id="rId5" Target="https://shoplazza.feishu.cn/wiki/TXGcwJj2ri8zu0kxyrOcBh1hnZe" TargetMode="External" Type="http://schemas.openxmlformats.org/officeDocument/2006/relationships/hyperlink"/><Relationship Id="rId6" Target="https://shoplazza.feishu.cn/wiki/O7mrw60phiYOotkNDWIco5TinVh?sheet=CVDcuJ" TargetMode="External" Type="http://schemas.openxmlformats.org/officeDocument/2006/relationships/hyperlink"/><Relationship Id="rId7" Target="media/image1.png" Type="http://schemas.openxmlformats.org/officeDocument/2006/relationships/image"/><Relationship Id="rId8" Target="media/image2.png" Type="http://schemas.openxmlformats.org/officeDocument/2006/relationships/image"/><Relationship Id="rId9" Target="media/image3.jpeg" Type="http://schemas.openxmlformats.org/officeDocument/2006/relationships/image"/></Relationships>
</file>

<file path=word/_rels/header1.xml.rels><?xml version="1.0" encoding="UTF-8" standalone="yes"?><Relationships xmlns="http://schemas.openxmlformats.org/package/2006/relationships"><Relationship Id="rId1" Target="media/image37.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2026-03-10T12:41:45Z</dcterms:created>
  <dc:creator>Apache POI</dc:creator>
</cp:coreProperties>
</file>