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Bruna Santana Puga LTDA, inscrito(a) no CNPJ/ME sob o n° 41.621.737/0001-09, com sede em RUA t-51, nº 555.0, (Complemento FALTANTE), CEP 91430835, Porto Alegre, RS, neste ato representada por Bruna Santana Puga,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 xml:space="preserve">Cláusula 5.2. O pagamento será realizado por meio de depósito bancário na seguinte conta-corrente de titularidade do CONTRATADO, servindo o recibo de depósito como comprovante de pagamento e documento de quitação: </w:t>
        <w:br/>
        <w:t>INTER - 077</w:t>
        <w:br/>
        <w:t>BRUNA SANTANA PUGA LTDA</w:t>
        <w:br/>
        <w:t>CNPJ: 41.621.737/0001-09</w:t>
        <w:br/>
        <w:t>Agência: 0001</w:t>
        <w:br/>
        <w:t>Conta: 27288443-0.</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bruna@brunapuga.adv.br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Bruna Santana Puga, Brasileira, Solteira, professor(a), portador(a) da carteira de identidade (RG) nº 17893715, expedida pelo DadoOrgaoExpedidor, inscrito no CPF/ME sob o nº DadoCPF, com endereço eletrônico (e-mail) bruna@brunapuga.adv.br, residente e domiciliado à Rua Gralha Azul, nº 555.0, (Complemento FALTANTE), CEP 91430835, Porto Alegre, RS,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bruna@brunapuga.adv.br,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