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Osmar Fernando Gonçalves Barreto - ME, inscrito(a) no CNPJ/ME sob o n° 12.622.496/0001-14, com sede em Rua Capote Valente, n. 874, Sala 9-A, Pinheiros, São Paulo/SP, CEP: 05409-002., nº 313.0, Casa, CEP 04116-060, São Paulo, SP, neste ato representada por Osmar Fernando Gonçalves Barreto,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Santander</w:t>
        <w:br/>
        <w:t>Ag- 0248</w:t>
        <w:br/>
        <w:t xml:space="preserve">C/C- 01051922-2 </w:t>
        <w:br/>
        <w:t>Pix - 311.238.968-95 (CPF)</w:t>
        <w:br/>
        <w:t>conta pessoal.</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osmarfgb@gmail.com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Osmar Fernando Gonçalves Barreto, Brasileiro, Em união estável, professor(a), portador(a) da carteira de identidade (RG) nº 43662852-1, expedida pelo DadoOrgaoExpedidor, inscrito no CPF/ME sob o nº DadoCPF, com endereço eletrônico (e-mail) osmarfgb@gmail.com, residente e domiciliado à R. Dr José Estefno , nº 313.0, Casa, CEP 04116-060, São Paulo, SP,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osmarfgb@gmail.com,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