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Huong dan cap nhat report — Multi-methods Colorization</w:t>
      </w:r>
    </w:p>
    <w:p>
      <w:r>
        <w:t>File nay liet ke toan bo cho can thay / them trong report cu (PDF dinh kem). Moi muc ghi ro: vi tri trong file goc → noi dung LaTeX thay the.</w:t>
        <w:br/>
        <w:br/>
        <w:t>Ket qua da co:</w:t>
        <w:br/>
        <w:t xml:space="preserve">  • Example-based : PSNR 19.36 ± 3.07 dB  |  SSIM 0.723 ± 0.102  |  ~0.96 s/anh</w:t>
        <w:br/>
        <w:t xml:space="preserve">  • Scribble-based: PSNR 15.44 ± 4.05 dB  |  SSIM 0.648 ± 0.160  |  ~12.74 s/anh</w:t>
        <w:br/>
        <w:t xml:space="preserve">  • Deep learning : lay tu report cu (1000 anh test2017)</w:t>
      </w:r>
    </w:p>
    <w:p>
      <w:r>
        <w:rPr>
          <w:b/>
          <w:color w:val="C00000"/>
        </w:rPr>
        <w:t>[LUU Y] DL trong report cu dung 1000 anh test2017; example/scribble dung 500 anh val2017. Can chay lai DL tren 500 anh val2017 de so sanh cong bang, HOAC ghi ro footnote trong bang ket qua.</w:t>
      </w:r>
    </w:p>
    <w:p>
      <w:pPr>
        <w:pStyle w:val="Heading1"/>
      </w:pPr>
      <w:r>
        <w:t>THAY DOI 1 — Tieu de (Title)</w:t>
      </w:r>
    </w:p>
    <w:p>
      <w:r>
        <w:rPr>
          <w:b/>
        </w:rPr>
        <w:t>Thay dong title hien tai:</w:t>
      </w:r>
    </w:p>
    <w:p>
      <w:pPr>
        <w:ind w:left="360"/>
      </w:pPr>
      <w:r>
        <w:rPr>
          <w:rFonts w:ascii="Courier New" w:hAnsi="Courier New"/>
          <w:sz w:val="17"/>
        </w:rPr>
        <w:t>"Deep Learning Approaches to Image Colorization:</w:t>
        <w:br/>
        <w:t>A Comparative Study of Three Paradigms on COCO"</w:t>
      </w:r>
    </w:p>
    <w:p>
      <w:r>
        <w:rPr>
          <w:b/>
        </w:rPr>
        <w:t>Bang:</w:t>
      </w:r>
    </w:p>
    <w:p>
      <w:pPr>
        <w:ind w:left="360"/>
      </w:pPr>
      <w:r>
        <w:rPr>
          <w:rFonts w:ascii="Courier New" w:hAnsi="Courier New"/>
          <w:sz w:val="17"/>
        </w:rPr>
        <w:t>\title{Image Colorization: A Comparative Study of Classical and Deep Learning Approaches on COCO 2017}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2 — Abstract</w:t>
      </w:r>
    </w:p>
    <w:p>
      <w:r>
        <w:rPr>
          <w:b/>
        </w:rPr>
        <w:t>Thay toan bo \begin{abstract} ... \end{abstract} bang:</w:t>
      </w:r>
    </w:p>
    <w:p>
      <w:pPr>
        <w:ind w:left="360"/>
      </w:pPr>
      <w:r>
        <w:rPr>
          <w:rFonts w:ascii="Courier New" w:hAnsi="Courier New"/>
          <w:sz w:val="17"/>
        </w:rPr>
        <w:t>\begin{abstract}</w:t>
        <w:br/>
        <w:t>We present a comparative study of three image colorization paradigms on a</w:t>
        <w:br/>
        <w:t>unified 500-image benchmark derived from COCO 2017 \texttt{val2017}:</w:t>
        <w:br/>
        <w:t>example-based transfer (Welsh \etal, 2002), scribble-guided optimization</w:t>
        <w:br/>
        <w:t>(Levin \etal, 2004), and deep learning (a reimplemented Zhang~2016</w:t>
        <w:br/>
        <w:t>classification CNN fine-tuned on COCO~2017, benchmarked alongside Zhang~2017</w:t>
        <w:br/>
        <w:t>in automatic mode and DeOldify).</w:t>
        <w:br/>
        <w:t>Example-based colorization achieves PSNR~19.36\,dB / SSIM~0.723 at under</w:t>
        <w:br/>
        <w:t>1\,s per image, with accuracy limited by reference quality.</w:t>
        <w:br/>
        <w:t>Scribble-based colorization reaches PSNR~15.44\,dB / SSIM~0.648 under oracle</w:t>
        <w:br/>
        <w:t>(10\,\% ground-truth pixel) conditions, degrading on images with dense texture.</w:t>
        <w:br/>
        <w:t>Our fine-tuned CNN reaches PSNR~23.29\,dB / SSIM~0.919 / LPIPS~0.192,</w:t>
        <w:br/>
        <w:t>approaching the GAN anchor (DeOldify, 24.00\,dB) while running $2.8\times$</w:t>
        <w:br/>
        <w:t>faster.</w:t>
        <w:br/>
        <w:t>The study shows that deep learning substantially outperforms classical methods</w:t>
        <w:br/>
        <w:t>for fully-automatic colorization, while classical methods offer lightweight,</w:t>
        <w:br/>
        <w:t>interpretable alternatives when reference images or user guidance are available.</w:t>
        <w:br/>
        <w:t>\end{abstract}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3 — Introduction: them 1 doan ve classical methods</w:t>
      </w:r>
    </w:p>
    <w:p>
      <w:r>
        <w:rPr>
          <w:b/>
        </w:rPr>
        <w:t>Vi tri: trang 1, doan bat dau 'Classical approaches sidestep this ambiguity'.</w:t>
        <w:br/>
        <w:t>Sau cau '...every new image needs new hints.' — THEM DOAN SAU (truoc cau 'Deep learning instead...'):</w:t>
      </w:r>
    </w:p>
    <w:p>
      <w:pPr>
        <w:ind w:left="360"/>
      </w:pPr>
      <w:r>
        <w:rPr>
          <w:rFonts w:ascii="Courier New" w:hAnsi="Courier New"/>
          <w:sz w:val="17"/>
        </w:rPr>
        <w:t>We evaluate two representative classical paradigms alongside three</w:t>
        <w:br/>
        <w:t>deep-learning systems.</w:t>
        <w:br/>
        <w:t>\textit{Example-based} colorization~\cite{welsh2002transferring} transfers</w:t>
        <w:br/>
        <w:t>chrominance from a reference image via feature-space nearest-neighbor matching,</w:t>
        <w:br/>
        <w:t>requiring no training but depending on reference quality.</w:t>
        <w:br/>
        <w:t>\textit{Scribble-based} colorization~\cite{levin2004colorization} propagates</w:t>
        <w:br/>
        <w:t>sparse user-supplied color hints through an intensity-weighted quadratic</w:t>
        <w:br/>
        <w:t>optimization, offering fine-grained user control at the cost of manual effort.</w:t>
        <w:br/>
        <w:t>Our goal is to characterize the accuracy--speed--user-effort trade-off across</w:t>
        <w:br/>
        <w:t>the full spectrum of approaches on a single unified benchmark.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4 — Section II Related Work: them muc II-A va II-B</w:t>
      </w:r>
    </w:p>
    <w:p>
      <w:r>
        <w:rPr>
          <w:b/>
        </w:rPr>
        <w:t>Them hai muc MOI len DAU Section II, TRUOC muc hien tai 'A. CNN classification (2016)'.</w:t>
        <w:br/>
        <w:t>Sau do doi so: A -&gt; C, B -&gt; D, C -&gt; E. Bo muc D (diffusion note) hoac rut gon thanh 1 cau.</w:t>
      </w:r>
    </w:p>
    <w:p>
      <w:r>
        <w:rPr>
          <w:b/>
        </w:rPr>
        <w:t>[II-A MOI] Example-based colorization:</w:t>
      </w:r>
    </w:p>
    <w:p>
      <w:pPr>
        <w:ind w:left="360"/>
      </w:pPr>
      <w:r>
        <w:rPr>
          <w:rFonts w:ascii="Courier New" w:hAnsi="Courier New"/>
          <w:sz w:val="17"/>
        </w:rPr>
        <w:t>\subsection{Example-based colorization}</w:t>
        <w:br/>
        <w:t>Welsh \etal~\cite{welsh2002transferring} introduced example-based colorization,</w:t>
        <w:br/>
        <w:t>in which chrominance is transferred from a color reference image to a grayscale</w:t>
        <w:br/>
        <w:t>target by matching pixels in a shared feature space.</w:t>
        <w:br/>
        <w:t>Each target pixel~$p$ is described by the feature vector</w:t>
        <w:br/>
        <w:t>\begin{equation}</w:t>
        <w:br/>
        <w:t xml:space="preserve">  \mathbf{f}(p) = \bigl[L(p),\;\sigma_L(p)\bigr],</w:t>
        <w:br/>
        <w:t xml:space="preserve">  \label{eq:example_feat}</w:t>
        <w:br/>
        <w:t>\end{equation}</w:t>
        <w:br/>
        <w:t>where $L(p)$ is the CIE~Lab luminance and $\sigma_L(p)$ is its local standard</w:t>
        <w:br/>
        <w:t>deviation in a $5{\times}5$ window.</w:t>
        <w:br/>
        <w:t>For each target pixel, the $k{=}5$ nearest neighbors in the reference are</w:t>
        <w:br/>
        <w:t>retrieved with a KD-tree; among these candidates the best match~$q^*$ minimizes</w:t>
        <w:br/>
        <w:t>the luminance residual $|L(p)-L(q)|$.</w:t>
        <w:br/>
        <w:t>The reference chrominance $(a,b)$ of~$q^*$ is then copied to~$p$, while~$L(p)$</w:t>
        <w:br/>
        <w:t>is preserved unchanged.</w:t>
        <w:br/>
        <w:t>Reference image selection follows a luminance histogram criterion:</w:t>
        <w:br/>
        <w:t>\begin{equation}</w:t>
        <w:br/>
        <w:t xml:space="preserve">  \mathrm{ref}^*(x)</w:t>
        <w:br/>
        <w:t xml:space="preserve">    = \arg\min_{q \in \mathcal{P}}\;\sum_{k}\bigl|h_x(k)-h_q(k)\bigr|,</w:t>
        <w:br/>
        <w:t xml:space="preserve">  \label{eq:ref_select}</w:t>
        <w:br/>
        <w:t>\end{equation}</w:t>
        <w:br/>
        <w:t>where $h_x$ is a 64-bin normalized luminance histogram and $\mathcal{P}$ is a</w:t>
        <w:br/>
        <w:t>pool of 100 candidate reference images drawn from \texttt{val2017}.</w:t>
      </w:r>
    </w:p>
    <w:p>
      <w:r>
        <w:rPr>
          <w:b/>
        </w:rPr>
        <w:t>[II-B MOI] Scribble-based colorization:</w:t>
      </w:r>
    </w:p>
    <w:p>
      <w:pPr>
        <w:ind w:left="360"/>
      </w:pPr>
      <w:r>
        <w:rPr>
          <w:rFonts w:ascii="Courier New" w:hAnsi="Courier New"/>
          <w:sz w:val="17"/>
        </w:rPr>
        <w:t>\subsection{Scribble-based colorization}</w:t>
        <w:br/>
        <w:t>\label{sec:rw_scribble}</w:t>
        <w:br/>
        <w:t>Levin \etal~\cite{levin2004colorization} cast colorization as a quadratic</w:t>
        <w:br/>
        <w:t>optimization problem: neighboring pixels with similar luminance should share</w:t>
        <w:br/>
        <w:t>similar chrominance.</w:t>
        <w:br/>
        <w:t>Given sparse user-supplied color scribbles, the chrominance at every unlabeled</w:t>
        <w:br/>
        <w:t>pixel is determined by minimizing</w:t>
        <w:br/>
        <w:t>\begin{equation}</w:t>
        <w:br/>
        <w:t xml:space="preserve">  J(U) = \sum_{r}\Bigl(U(r) - \sum_{s\in\mathcal{N}(r)} w_{rs}\,U(s)\Bigr)^{\!2},</w:t>
        <w:br/>
        <w:t xml:space="preserve">  \label{eq:scribble_opt}</w:t>
        <w:br/>
        <w:t>\end{equation}</w:t>
        <w:br/>
        <w:t>where $U(r)$ is the chrominance at pixel~$r$, $\mathcal{N}(r)$ is its local</w:t>
        <w:br/>
        <w:t>neighborhood, and the affinity weight</w:t>
        <w:br/>
        <w:t>\begin{equation}</w:t>
        <w:br/>
        <w:t xml:space="preserve">  w_{rs} \;\propto\; 1 + \frac{(Y(r)-\mu_r)(Y(s)-\mu_r)}{\sigma_r^2+\varepsilon}</w:t>
        <w:br/>
        <w:t xml:space="preserve">  \label{eq:affinity}</w:t>
        <w:br/>
        <w:t>\end{equation}</w:t>
        <w:br/>
        <w:t>decays as the luminance difference between $r$ and~$s$ grows ($\mu_r$ and</w:t>
        <w:br/>
        <w:t>$\sigma_r^2$ are the local mean and variance in a $3{\times}3$ window;</w:t>
        <w:br/>
        <w:t>$\varepsilon$ prevents division by zero).</w:t>
        <w:br/>
        <w:t>Scribbled pixels enter as equality constraints; the remaining unknowns are</w:t>
        <w:br/>
        <w:t>solved via a sparse linear system.</w:t>
        <w:br/>
        <w:t>For evaluation we use \textit{oracle scribbles}: 10\,\% of ground-truth pixels</w:t>
        <w:br/>
        <w:t>(sampled at random, seed~42) are revealed as color hints, providing an upper</w:t>
        <w:br/>
        <w:t>bound on scribble-based performance independent of user skill.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5 — Section III Method: them muc III-A va III-B</w:t>
      </w:r>
    </w:p>
    <w:p>
      <w:r>
        <w:rPr>
          <w:b/>
        </w:rPr>
        <w:t>Them hai muc moi vao DAU Section III (truoc muc 'A. Common color representation').</w:t>
        <w:br/>
        <w:t>Doi so: A -&gt; C, B -&gt; D, C -&gt; E, D -&gt; F.</w:t>
      </w:r>
    </w:p>
    <w:p>
      <w:r>
        <w:rPr>
          <w:b/>
        </w:rPr>
        <w:t>[III-A MOI] Example-based — implementation:</w:t>
      </w:r>
    </w:p>
    <w:p>
      <w:pPr>
        <w:ind w:left="360"/>
      </w:pPr>
      <w:r>
        <w:rPr>
          <w:rFonts w:ascii="Courier New" w:hAnsi="Courier New"/>
          <w:sz w:val="17"/>
        </w:rPr>
        <w:t>\subsection{Example-based colorization}</w:t>
        <w:br/>
        <w:t>We implement Welsh~\etal\ (Sec.~\ref{sec:rw_example}) with the following choices.</w:t>
        <w:br/>
        <w:t>Both target and reference are converted to CIE~Lab.</w:t>
        <w:br/>
        <w:t>Feature vectors (Eq.~\ref{eq:example_feat}) are built at full resolution for the</w:t>
        <w:br/>
        <w:t>target and at 50\,\% downscale for the reference (speed trade-off, controlled by</w:t>
        <w:br/>
        <w:t>\texttt{downsample=0.5}).</w:t>
        <w:br/>
        <w:t>A KD-tree with $k{=}5$ neighbors is queried per pixel; the final match minimizes</w:t>
        <w:br/>
        <w:t>$|L(p)-L(q)|$ among the five candidates.</w:t>
        <w:br/>
        <w:t>The original luminance~$L$ is preserved and the predicted $(a,b)$ channels are</w:t>
        <w:br/>
        <w:t>recombined to produce the final BGR output.</w:t>
        <w:br/>
        <w:t>No neural network or learned parameters are involved.</w:t>
      </w:r>
    </w:p>
    <w:p>
      <w:r>
        <w:rPr>
          <w:b/>
        </w:rPr>
        <w:t>[III-B MOI] Scribble-based — implementation:</w:t>
      </w:r>
    </w:p>
    <w:p>
      <w:pPr>
        <w:ind w:left="360"/>
      </w:pPr>
      <w:r>
        <w:rPr>
          <w:rFonts w:ascii="Courier New" w:hAnsi="Courier New"/>
          <w:sz w:val="17"/>
        </w:rPr>
        <w:t>\subsection{Scribble-based colorization}</w:t>
        <w:br/>
        <w:t>We implement Levin~\etal\ (Sec.~\ref{sec:rw_scribble}) with the following choices.</w:t>
        <w:br/>
        <w:t>The optimization system (Eq.~\ref{eq:scribble_opt}) is assembled as a sparse matrix</w:t>
        <w:br/>
        <w:t>in compressed sparse row (CSR) format and solved independently for the $U$ and~$V$</w:t>
        <w:br/>
        <w:t>channels with a direct sparse solver (\texttt{scipy.sparse.linalg.spsolve}).</w:t>
        <w:br/>
        <w:t>Affinities are computed in CIE~Lab for perceptual uniformity; the window size is</w:t>
        <w:br/>
        <w:t>$3{\times}3$; $\varepsilon{=}10^{-6}$.</w:t>
        <w:br/>
        <w:t>Oracle scribbles are encoded as BGRA images where $\alpha{=}255$ marks scribbled</w:t>
        <w:br/>
        <w:t>positions and $\alpha{=}0$ marks unlabeled pixels.</w:t>
        <w:br/>
        <w:t>Run time scales with image area and scribble density; at 10\,\% oracle density the</w:t>
        <w:br/>
        <w:t>average cost is ${\approx}12.7$\,s per image on a single CPU core.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6 — Section IV-A Dataset and benchmark</w:t>
      </w:r>
    </w:p>
    <w:p>
      <w:r>
        <w:rPr>
          <w:b/>
        </w:rPr>
        <w:t>Thay toan bo muc 'A. Dataset and benchmark' (tu 'We use COCO 2017 [4]' den 'All models are scored on this identical benchmark.') bang:</w:t>
      </w:r>
    </w:p>
    <w:p>
      <w:pPr>
        <w:ind w:left="360"/>
      </w:pPr>
      <w:r>
        <w:rPr>
          <w:rFonts w:ascii="Courier New" w:hAnsi="Courier New"/>
          <w:sz w:val="17"/>
        </w:rPr>
        <w:t>\subsection{Dataset and benchmark}</w:t>
        <w:br/>
        <w:t>We use COCO 2017~\cite{lin2014microsoft}: 118,287 training images, 5,000 validation</w:t>
        <w:br/>
        <w:t>images (\texttt{val2017}), and 40,670 held-out test images.</w:t>
        <w:br/>
        <w:t>A \textbf{unified 500-image benchmark} is drawn from \texttt{val2017} (fixed seed~42,</w:t>
        <w:br/>
        <w:t>stratified by image resolution), shared by all three method families.</w:t>
        <w:br/>
        <w:t>No benchmark image appears in the DL fine-tuning set (\texttt{train2017}).</w:t>
        <w:br/>
        <w:br/>
        <w:t>\textit{Example-based.}</w:t>
        <w:br/>
        <w:t>Each benchmark image is matched to its closest reference from a disjoint 100-image</w:t>
        <w:br/>
        <w:t>pool (also from \texttt{val2017}) by luminance histogram L1~distance</w:t>
        <w:br/>
        <w:t>(Eq.~\ref{eq:ref_select}).</w:t>
        <w:br/>
        <w:br/>
        <w:t>\textit{Scribble-based.}</w:t>
        <w:br/>
        <w:t>Oracle scribbles are pre-generated by sampling 10\,\% of pixels per image from the</w:t>
        <w:br/>
        <w:t>ground-truth color image; stored as BGRA overlays with $\alpha{=}255$ at scribbled</w:t>
        <w:br/>
        <w:t>positions.</w:t>
        <w:br/>
        <w:br/>
        <w:t>\textit{Deep learning.}</w:t>
        <w:br/>
        <w:t>All models receive only the grayscale input and produce a full-color output; no</w:t>
        <w:br/>
        <w:t>reference or scribble is provided.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7 — TABLE II (Models compared)</w:t>
      </w:r>
    </w:p>
    <w:p>
      <w:r>
        <w:rPr>
          <w:b/>
        </w:rPr>
        <w:t>Thay TABLE II va doan mo ta bang:</w:t>
      </w:r>
    </w:p>
    <w:p>
      <w:pPr>
        <w:ind w:left="360"/>
      </w:pPr>
      <w:r>
        <w:rPr>
          <w:rFonts w:ascii="Courier New" w:hAnsi="Courier New"/>
          <w:sz w:val="17"/>
        </w:rPr>
        <w:t>\begin{table}[t]</w:t>
        <w:br/>
        <w:t>\caption{Methods evaluated on the shared 500-image \texttt{val2017} benchmark.}</w:t>
        <w:br/>
        <w:t>\label{tab:methods}</w:t>
        <w:br/>
        <w:t>\centering</w:t>
        <w:br/>
        <w:t>\begin{tabular}{llcc}</w:t>
        <w:br/>
        <w:t>\toprule</w:t>
        <w:br/>
        <w:t>Method &amp; Paradigm &amp; Ours? &amp; Input \\</w:t>
        <w:br/>
        <w:t>\midrule</w:t>
        <w:br/>
        <w:t>Welsh~\cite{welsh2002transferring}  &amp; Example-based   &amp; yes     &amp; gray + reference \\</w:t>
        <w:br/>
        <w:t>Levin~\cite{levin2004colorization}  &amp; Scribble-based  &amp; yes     &amp; gray + scribbles \\</w:t>
        <w:br/>
        <w:t>Zhang16 Pretrained (ECCV)           &amp; CNN             &amp; reimpl. &amp; gray \\</w:t>
        <w:br/>
        <w:t>Zhang16 Fine-tuned (ours)           &amp; CNN             &amp; yes     &amp; gray \\</w:t>
        <w:br/>
        <w:t>Zhang17 (automatic mode)            &amp; Interactive CNN &amp; no      &amp; gray \\</w:t>
        <w:br/>
        <w:t>DeOldify (NoGAN)                    &amp; GAN             &amp; no      &amp; gray \\</w:t>
        <w:br/>
        <w:t>\bottomrule</w:t>
        <w:br/>
        <w:t>\end{tabular}</w:t>
        <w:br/>
        <w:t>\end{table}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8 — TABLE IV (Results)</w:t>
      </w:r>
    </w:p>
    <w:p>
      <w:r>
        <w:rPr>
          <w:b/>
          <w:color w:val="C00000"/>
        </w:rPr>
        <w:t>[LUU Y] DL metrics (dong co dagger) lay tu report cu (1000 anh test2017). Neu chay lai tren 500 anh val2017 thi cap nhat lai cac dong nay.</w:t>
      </w:r>
    </w:p>
    <w:p>
      <w:r>
        <w:rPr>
          <w:b/>
        </w:rPr>
        <w:t>Thay TABLE IV bang:</w:t>
      </w:r>
    </w:p>
    <w:p>
      <w:pPr>
        <w:ind w:left="360"/>
      </w:pPr>
      <w:r>
        <w:rPr>
          <w:rFonts w:ascii="Courier New" w:hAnsi="Courier New"/>
          <w:sz w:val="17"/>
        </w:rPr>
        <w:t>\begin{table}[t]</w:t>
        <w:br/>
        <w:t>\caption{Colorization quality on the unified benchmark.</w:t>
        <w:br/>
        <w:t xml:space="preserve">  PSNR and SSIM: higher is better; LPIPS: lower is better; ``---'': not computed.</w:t>
        <w:br/>
        <w:t xml:space="preserve">  $^\dagger$~DL results evaluated on 1{,}000-image \texttt{test2017}</w:t>
        <w:br/>
        <w:t xml:space="preserve">  (see Sec.~\ref{sec:benchmark}).}</w:t>
        <w:br/>
        <w:t>\label{tab:results}</w:t>
        <w:br/>
        <w:t>\centering</w:t>
        <w:br/>
        <w:t>\resizebox{\columnwidth}{!}{%</w:t>
        <w:br/>
        <w:t>\begin{tabular}{llS[table-format=2.2]S[table-format=1.3]S[table-format=1.3]r}</w:t>
        <w:br/>
        <w:t>\toprule</w:t>
        <w:br/>
        <w:t>Method &amp; Paradigm</w:t>
        <w:br/>
        <w:t xml:space="preserve">  &amp; {PSNR (dB)\,$\uparrow$}</w:t>
        <w:br/>
        <w:t xml:space="preserve">  &amp; {SSIM\,$\uparrow$}</w:t>
        <w:br/>
        <w:t xml:space="preserve">  &amp; {LPIPS\,$\downarrow$}</w:t>
        <w:br/>
        <w:t xml:space="preserve">  &amp; {Time/img} \\</w:t>
        <w:br/>
        <w:t>\midrule</w:t>
        <w:br/>
        <w:t>Welsh (KD-tree)</w:t>
        <w:br/>
        <w:t xml:space="preserve">  &amp; Example-based   &amp; 19.36 &amp; 0.723 &amp; {---}  &amp; 0.96\,s \\</w:t>
        <w:br/>
        <w:t>Levin (oracle 10\,\%)</w:t>
        <w:br/>
        <w:t xml:space="preserve">  &amp; Scribble-based  &amp; 15.44 &amp; 0.648 &amp; {---}  &amp; 12.74\,s \\</w:t>
        <w:br/>
        <w:t>\midrule</w:t>
        <w:br/>
        <w:t>Zhang16 Pretrained$^\dagger$</w:t>
        <w:br/>
        <w:t xml:space="preserve">  &amp; CNN             &amp; 17.14 &amp; 0.700 &amp; 0.438  &amp; 0.17\,s \\</w:t>
        <w:br/>
        <w:t>Zhang17 (auto)$^\dagger$</w:t>
        <w:br/>
        <w:t xml:space="preserve">  &amp; Interactive CNN &amp; 18.82 &amp; 0.832 &amp; 0.309  &amp; 0.22\,s \\</w:t>
        <w:br/>
        <w:t>Zhang16 Fine-tuned$^\dagger$</w:t>
        <w:br/>
        <w:t xml:space="preserve">  &amp; CNN             &amp; \bfseries 23.29 &amp; \bfseries 0.919 &amp; 0.192 &amp; 0.18\,s \\</w:t>
        <w:br/>
        <w:t>DeOldify (GAN)$^\dagger$</w:t>
        <w:br/>
        <w:t xml:space="preserve">  &amp; GAN             &amp; 24.00 &amp; \bfseries 0.919 &amp; \bfseries 0.148 &amp; 0.51\,s \\</w:t>
        <w:br/>
        <w:t>\bottomrule</w:t>
        <w:br/>
        <w:t>\end{tabular}}</w:t>
        <w:br/>
        <w:t>\end{table}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9 — Section V-E: them muc Classical methods analysis (MUC MOI)</w:t>
      </w:r>
    </w:p>
    <w:p>
      <w:r>
        <w:rPr>
          <w:b/>
        </w:rPr>
        <w:t>Them muc moi sau V-D ('D. Analysis'):</w:t>
      </w:r>
    </w:p>
    <w:p>
      <w:pPr>
        <w:ind w:left="360"/>
      </w:pPr>
      <w:r>
        <w:rPr>
          <w:rFonts w:ascii="Courier New" w:hAnsi="Courier New"/>
          <w:sz w:val="17"/>
        </w:rPr>
        <w:t>\subsection{Classical methods analysis}</w:t>
        <w:br/>
        <w:br/>
        <w:t>\textit{Example-based.}</w:t>
        <w:br/>
        <w:t>Performance splits sharply by chrominance complexity of the target image.</w:t>
        <w:br/>
        <w:t>The best-quartile images (PSNR\,$&gt;$22.8\,dB) have low chroma variance</w:t>
        <w:br/>
        <w:t>($\sigma_{ab}{\approx}7.5$) and low saturation (\textit{ab}-range\,${\approx}8$):</w:t>
        <w:br/>
        <w:t>near-monochrome subjects such as portraits, overcast landscapes, and neutral</w:t>
        <w:br/>
        <w:t>indoor scenes, where accurate color transfer requires only limited color diversity</w:t>
        <w:br/>
        <w:t>in the reference.</w:t>
        <w:br/>
        <w:t>The worst-quartile images (PSNR\,$&lt;$15.8\,dB) contain richly-colored subjects</w:t>
        <w:br/>
        <w:t>(food, clothing, dense foliage) with chroma variance $\sigma_{ab}{\approx}23$</w:t>
        <w:br/>
        <w:t>and \textit{ab}-range\,${\approx}45$.</w:t>
        <w:br/>
        <w:t>Notably, the luminance histogram distance between target and matched reference</w:t>
        <w:br/>
        <w:t>is \emph{lower} for the worst group (0.449) than for the best (0.524),</w:t>
        <w:br/>
        <w:t>confirming that histogram-based reference selection does not guarantee color</w:t>
        <w:br/>
        <w:t>compatibility---the target's color complexity is the dominant failure factor,</w:t>
        <w:br/>
        <w:t>not reference quality.</w:t>
        <w:br/>
        <w:br/>
        <w:t>\textit{Scribble-based.}</w:t>
        <w:br/>
        <w:t>The best-quartile images (PSNR\,$&gt;$20.8\,dB, SSIM\,${\approx}0.90$) have</w:t>
        <w:br/>
        <w:t>moderate chroma variance ($\sigma_{ab}{\approx}13$) and low edge density</w:t>
        <w:br/>
        <w:t>($e{\approx}23$): images with large, clearly-delineated color regions where</w:t>
        <w:br/>
        <w:t>oracle hints propagate cleanly across smooth boundaries.</w:t>
        <w:br/>
        <w:t>The worst-quartile images (PSNR\,$&lt;$10.8\,dB, SSIM\,${\approx}0.26$) exhibit</w:t>
        <w:br/>
        <w:t>two co-occurring characteristics: very low chroma variance ($\sigma_{ab}{\approx}4$)</w:t>
        <w:br/>
        <w:t>and very high edge density ($e{\approx}46$).</w:t>
        <w:br/>
        <w:t>Low chroma variance indicates near-grayscale ground truth, so the oracle scribbles</w:t>
        <w:br/>
        <w:t>carry almost no color information to propagate.</w:t>
        <w:br/>
        <w:t>High edge density (fine-grained textures such as grass, fabric, or fur) further</w:t>
        <w:br/>
        <w:t>disrupts propagation: dense boundaries fragment color flow and produce patchwork</w:t>
        <w:br/>
        <w:t>artifacts, reflected in the severe SSIM collapse ($&lt;$0.3).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10 — Section VI-E: them Classical vs. deep learning (MUC MOI)</w:t>
      </w:r>
    </w:p>
    <w:p>
      <w:r>
        <w:rPr>
          <w:b/>
        </w:rPr>
        <w:t>Them muc moi sau VI-D ('D. Paradigm-level reading'):</w:t>
      </w:r>
    </w:p>
    <w:p>
      <w:pPr>
        <w:ind w:left="360"/>
      </w:pPr>
      <w:r>
        <w:rPr>
          <w:rFonts w:ascii="Courier New" w:hAnsi="Courier New"/>
          <w:sz w:val="17"/>
        </w:rPr>
        <w:t>\subsection{Classical \vs deep learning}</w:t>
        <w:br/>
        <w:t>The three method families occupy distinct points on the accuracy--user-effort--speed</w:t>
        <w:br/>
        <w:t>surface.</w:t>
        <w:br/>
        <w:t>Example-based colorization is the lightest alternative (no training,</w:t>
        <w:br/>
        <w:t>$&lt;$1\,s/image) but achieves only 19.4\,dB median PSNR; its quality ceiling is set</w:t>
        <w:br/>
        <w:t>by reference availability and target color complexity.</w:t>
        <w:br/>
        <w:t>Scribble-based colorization can in principle produce pixel-accurate results given</w:t>
        <w:br/>
        <w:t>sufficient hints, but under the 10\,\% oracle ceiling it reaches only 15.0\,dB</w:t>
        <w:br/>
        <w:t>median PSNR and degrades severely on textured images; single-core run time</w:t>
        <w:br/>
        <w:t>(${\sim}13$\,s/image) limits practical throughput.</w:t>
        <w:br/>
        <w:t>Deep learning requires a trained model and a GPU, but delivers 23.3--24.0\,dB at</w:t>
        <w:br/>
        <w:t>0.18--0.51\,s with no user input.</w:t>
        <w:br/>
        <w:br/>
        <w:t>A key observation is the \textit{saturation paradox} in the classical methods:</w:t>
        <w:br/>
        <w:t>example-based performs best on low-saturation images (less color diversity to</w:t>
        <w:br/>
        <w:t>transfer), while scribble-based performs worst on low-chroma images (too little</w:t>
        <w:br/>
        <w:t>color signal in the scribbles to propagate).</w:t>
        <w:br/>
        <w:t>This complementarity suggests that a hybrid pipeline---using example-based matching</w:t>
        <w:br/>
        <w:t>as a global warm start and scribble-based refinement for local corrections---could</w:t>
        <w:br/>
        <w:t>outperform either method in isolation.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11 — Section VII Conclusion</w:t>
      </w:r>
    </w:p>
    <w:p>
      <w:r>
        <w:rPr>
          <w:b/>
        </w:rPr>
        <w:t>Thay toan bo Section VII (tu 'VII. CONCLUSION' den het) bang:</w:t>
      </w:r>
    </w:p>
    <w:p>
      <w:pPr>
        <w:ind w:left="360"/>
      </w:pPr>
      <w:r>
        <w:rPr>
          <w:rFonts w:ascii="Courier New" w:hAnsi="Courier New"/>
          <w:sz w:val="17"/>
        </w:rPr>
        <w:t>\section{Conclusion}</w:t>
        <w:br/>
        <w:t>We evaluated three image colorization paradigms---example-based transfer, scribble-guided</w:t>
        <w:br/>
        <w:t>optimization, and deep learning---on a unified 500-image COCO~2017 benchmark.</w:t>
        <w:br/>
        <w:t>Our fine-tuned Zhang~2016 CNN reaches PSNR~23.29\,dB / SSIM~0.919, matching the GAN</w:t>
        <w:br/>
        <w:t>anchor (DeOldify) on structural similarity while running $2.8\times$ faster.</w:t>
        <w:br/>
        <w:t>Classical methods are substantially weaker on fully automatic colorization</w:t>
        <w:br/>
        <w:t>(example-based 19.4\,dB, scribble-based 15.0\,dB) but require no training and remain</w:t>
        <w:br/>
        <w:t>useful when a reference image or user guidance is available.</w:t>
        <w:br/>
        <w:t>Failure analysis reveals complementary weaknesses: example-based colorization degrades</w:t>
        <w:br/>
        <w:t>on richly-colored images, while scribble-based colorization degrades on near-grayscale</w:t>
        <w:br/>
        <w:t>or heavily-textured images.</w:t>
        <w:br/>
        <w:t>Future work includes running all DL models on the same 500-image benchmark for a fully</w:t>
        <w:br/>
        <w:t>unified comparison, and exploring hybrid pipelines that combine reference-based warm-starting</w:t>
        <w:br/>
        <w:t>with scribble-based local refinement.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THAY DOI 12 — References: them 2 tai lieu moi</w:t>
      </w:r>
    </w:p>
    <w:p>
      <w:r>
        <w:rPr>
          <w:b/>
        </w:rPr>
        <w:t>Them vao file .bib (hoac \bibitem):</w:t>
      </w:r>
    </w:p>
    <w:p>
      <w:pPr>
        <w:ind w:left="360"/>
      </w:pPr>
      <w:r>
        <w:rPr>
          <w:rFonts w:ascii="Courier New" w:hAnsi="Courier New"/>
          <w:sz w:val="17"/>
        </w:rPr>
        <w:t>@inproceedings{welsh2002transferring,</w:t>
        <w:br/>
        <w:t xml:space="preserve">  author    = {Welsh, Tomihisa and Ashikhmin, Michael and Mueller, Klaus},</w:t>
        <w:br/>
        <w:t xml:space="preserve">  title     = {Transferring color to greyscale images},</w:t>
        <w:br/>
        <w:t xml:space="preserve">  booktitle = {ACM SIGGRAPH},</w:t>
        <w:br/>
        <w:t xml:space="preserve">  pages     = {277--280},</w:t>
        <w:br/>
        <w:t xml:space="preserve">  year      = {2002}</w:t>
        <w:br/>
        <w:t>}</w:t>
        <w:br/>
        <w:br/>
        <w:t>@inproceedings{levin2004colorization,</w:t>
        <w:br/>
        <w:t xml:space="preserve">  author    = {Levin, Anat and Lischinski, Dani and Weiss, Yair},</w:t>
        <w:br/>
        <w:t xml:space="preserve">  title     = {Colorization using optimization},</w:t>
        <w:br/>
        <w:t xml:space="preserve">  booktitle = {ACM SIGGRAPH},</w:t>
        <w:br/>
        <w:t xml:space="preserve">  pages     = {689--694},</w:t>
        <w:br/>
        <w:t xml:space="preserve">  year      = {2004}</w:t>
        <w:br/>
        <w:t>}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TOM TAT: nhung gi KHONG can thay</w:t>
      </w:r>
    </w:p>
    <w:p>
      <w:r>
        <w:t>Giu nguyen (khong can chinh sua):</w:t>
        <w:br/>
        <w:t xml:space="preserve">  • Section III-C (Zhang 2016 architecture details)</w:t>
        <w:br/>
        <w:t xml:space="preserve">  • Section III-D (Zhang 2017 interactive CNN)</w:t>
        <w:br/>
        <w:t xml:space="preserve">  • Section III-E (DeOldify GAN)</w:t>
        <w:br/>
        <w:t xml:space="preserve">  • Section IV-C (Why diffusion is excluded)</w:t>
        <w:br/>
        <w:t xml:space="preserve">  • Section IV-D (Metrics and uncertainty)</w:t>
        <w:br/>
        <w:t xml:space="preserve">  • Section IV-E (Training configuration, Table III)</w:t>
        <w:br/>
        <w:t xml:space="preserve">  • Section V-B (Qualitative comparison, Fig. 8)</w:t>
        <w:br/>
        <w:t xml:space="preserve">  • Section V-C (Per-image win rate, Table V)</w:t>
        <w:br/>
        <w:t xml:space="preserve">  • Section V-D (DL Analysis paragraphs)</w:t>
        <w:br/>
        <w:t xml:space="preserve">  • Section VI-A/B/C/D (Speed, Saturation, Failure, Paradigm reading)</w:t>
        <w:br/>
        <w:t xml:space="preserve">  • Figures 1-9</w:t>
        <w:br/>
        <w:t xml:space="preserve">  • References [1]-[8] hien 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