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25C57"/>
          <w:sz w:val="18"/>
        </w:rPr>
        <w:t>WERKGEVERSDEMO</w:t>
      </w:r>
    </w:p>
    <w:p>
      <w:pPr>
        <w:spacing w:after="80"/>
      </w:pPr>
      <w:r>
        <w:rPr>
          <w:rFonts w:ascii="Calibri" w:hAnsi="Calibri"/>
          <w:b/>
          <w:color w:val="173B39"/>
          <w:sz w:val="50"/>
        </w:rPr>
        <w:t>Minder registratietijd. Sterkere zorgverslagen.</w:t>
      </w:r>
    </w:p>
    <w:p>
      <w:pPr>
        <w:spacing w:after="300"/>
      </w:pPr>
      <w:r>
        <w:rPr>
          <w:rFonts w:ascii="Calibri" w:hAnsi="Calibri"/>
          <w:b w:val="0"/>
          <w:color w:val="667B77"/>
          <w:sz w:val="24"/>
        </w:rPr>
        <w:t>Houvast helpt medewerkers sneller en vollediger rapporteren, terwijl de werkgever overzicht en controle houdt.</w:t>
      </w:r>
    </w:p>
    <w:p>
      <w:pPr>
        <w:spacing w:before="40" w:after="200" w:line="269" w:lineRule="auto"/>
        <w:ind w:left="230" w:right="230"/>
        <w:shd w:fill="EDF5F0"/>
      </w:pPr>
      <w:r>
        <w:rPr>
          <w:rFonts w:ascii="Calibri" w:hAnsi="Calibri"/>
          <w:b/>
          <w:color w:val="125C57"/>
          <w:sz w:val="22"/>
        </w:rPr>
        <w:t xml:space="preserve">De winst: </w:t>
      </w:r>
      <w:r>
        <w:rPr>
          <w:rFonts w:ascii="Calibri" w:hAnsi="Calibri"/>
          <w:b w:val="0"/>
          <w:color w:val="173B39"/>
          <w:sz w:val="22"/>
        </w:rPr>
        <w:t>minder losse vragen en dubbel werk, meer uniforme formulieren en sneller inzicht in wat aandacht nodig heeft.</w:t>
      </w:r>
    </w:p>
    <w:p>
      <w:pPr>
        <w:pStyle w:val="Heading1"/>
        <w:keepNext/>
        <w:spacing w:before="260" w:after="100"/>
      </w:pPr>
      <w:r>
        <w:rPr>
          <w:rFonts w:ascii="Calibri" w:hAnsi="Calibri"/>
          <w:b/>
          <w:color w:val="125C57"/>
          <w:sz w:val="28"/>
        </w:rPr>
        <w:t>Zo werkt de demonstratie</w:t>
      </w:r>
    </w:p>
    <w:p>
      <w:pPr>
        <w:pStyle w:val="ListNumber"/>
        <w:spacing w:after="60" w:line="264" w:lineRule="auto"/>
        <w:ind w:left="720" w:hanging="360"/>
      </w:pPr>
      <w:r>
        <w:rPr>
          <w:rFonts w:ascii="Calibri" w:hAnsi="Calibri"/>
          <w:b w:val="0"/>
          <w:color w:val="173B39"/>
          <w:sz w:val="21"/>
        </w:rPr>
        <w:t>Log in met het verstrekte werkgeversaccount.</w:t>
      </w:r>
    </w:p>
    <w:p>
      <w:pPr>
        <w:pStyle w:val="ListNumber"/>
        <w:spacing w:after="60" w:line="264" w:lineRule="auto"/>
        <w:ind w:left="720" w:hanging="360"/>
      </w:pPr>
      <w:r>
        <w:rPr>
          <w:rFonts w:ascii="Calibri" w:hAnsi="Calibri"/>
          <w:b w:val="0"/>
          <w:color w:val="173B39"/>
          <w:sz w:val="21"/>
        </w:rPr>
        <w:t>Kies op het overzicht ‘Bekijk als demomedewerker’.</w:t>
      </w:r>
    </w:p>
    <w:p>
      <w:pPr>
        <w:pStyle w:val="ListNumber"/>
        <w:spacing w:after="60" w:line="264" w:lineRule="auto"/>
        <w:ind w:left="720" w:hanging="360"/>
      </w:pPr>
      <w:r>
        <w:rPr>
          <w:rFonts w:ascii="Calibri" w:hAnsi="Calibri"/>
          <w:b w:val="0"/>
          <w:color w:val="173B39"/>
          <w:sz w:val="21"/>
        </w:rPr>
        <w:t>Selecteer een cliënt en spreek of typ een zorgverslag.</w:t>
      </w:r>
    </w:p>
    <w:p>
      <w:pPr>
        <w:pStyle w:val="ListNumber"/>
        <w:spacing w:after="60" w:line="264" w:lineRule="auto"/>
        <w:ind w:left="720" w:hanging="360"/>
      </w:pPr>
      <w:r>
        <w:rPr>
          <w:rFonts w:ascii="Calibri" w:hAnsi="Calibri"/>
          <w:b w:val="0"/>
          <w:color w:val="173B39"/>
          <w:sz w:val="21"/>
        </w:rPr>
        <w:t>Bekijk wat automatisch is ingevuld. Alleen noodzakelijke vragen verschijnen, tegelijk.</w:t>
      </w:r>
    </w:p>
    <w:p>
      <w:pPr>
        <w:pStyle w:val="ListNumber"/>
        <w:spacing w:after="60" w:line="264" w:lineRule="auto"/>
        <w:ind w:left="720" w:hanging="360"/>
      </w:pPr>
      <w:r>
        <w:rPr>
          <w:rFonts w:ascii="Calibri" w:hAnsi="Calibri"/>
          <w:b w:val="0"/>
          <w:color w:val="173B39"/>
          <w:sz w:val="21"/>
        </w:rPr>
        <w:t>Controleer het concept en sla het definitief op.</w:t>
      </w:r>
    </w:p>
    <w:p>
      <w:pPr>
        <w:pStyle w:val="ListNumber"/>
        <w:spacing w:after="60" w:line="264" w:lineRule="auto"/>
        <w:ind w:left="720" w:hanging="360"/>
      </w:pPr>
      <w:r>
        <w:rPr>
          <w:rFonts w:ascii="Calibri" w:hAnsi="Calibri"/>
          <w:b w:val="0"/>
          <w:color w:val="173B39"/>
          <w:sz w:val="21"/>
        </w:rPr>
        <w:t>Kies ‘Terug naar beheer’. De rapportage staat direct in het cliëntdossier.</w:t>
      </w:r>
    </w:p>
    <w:p>
      <w:pPr>
        <w:pStyle w:val="Heading1"/>
        <w:keepNext/>
        <w:spacing w:before="260" w:after="100"/>
      </w:pPr>
      <w:r>
        <w:rPr>
          <w:rFonts w:ascii="Calibri" w:hAnsi="Calibri"/>
          <w:b/>
          <w:color w:val="125C57"/>
          <w:sz w:val="28"/>
        </w:rPr>
        <w:t>Wat de werkgever krijgt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/>
          <w:b w:val="0"/>
          <w:color w:val="173B39"/>
          <w:sz w:val="21"/>
        </w:rPr>
        <w:t>Een actueel overzicht van rapportages, formulieren, zorgminuten en open acties.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/>
          <w:b w:val="0"/>
          <w:color w:val="173B39"/>
          <w:sz w:val="21"/>
        </w:rPr>
        <w:t>Persoonlijke medewerkersaccounts via een eenmalige uitnodigingslink.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/>
          <w:b w:val="0"/>
          <w:color w:val="173B39"/>
          <w:sz w:val="21"/>
        </w:rPr>
        <w:t>AI als hulpmiddel; de zorgmedewerker blijft verantwoordelijk voor controle en opslag.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/>
          <w:b w:val="0"/>
          <w:color w:val="173B39"/>
          <w:sz w:val="21"/>
        </w:rPr>
        <w:t>Definitieve rapportages blijven intact. Aanvullingen worden apart en herleidbaar vastgelegd.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/>
          <w:b w:val="0"/>
          <w:color w:val="173B39"/>
          <w:sz w:val="21"/>
        </w:rPr>
        <w:t>Organisatie-eigen cliënten, diensten en formulieren in één werkomgeving.</w:t>
      </w:r>
    </w:p>
    <w:p>
      <w:pPr>
        <w:pStyle w:val="Heading1"/>
        <w:keepNext/>
        <w:spacing w:before="260" w:after="100"/>
      </w:pPr>
      <w:r>
        <w:rPr>
          <w:rFonts w:ascii="Calibri" w:hAnsi="Calibri"/>
          <w:b/>
          <w:color w:val="125C57"/>
          <w:sz w:val="28"/>
        </w:rPr>
        <w:t>Nieuwe medewerker uitnodigen</w:t>
      </w:r>
    </w:p>
    <w:p>
      <w:pPr>
        <w:spacing w:after="0" w:line="264" w:lineRule="auto"/>
      </w:pPr>
      <w:r>
        <w:rPr>
          <w:rFonts w:ascii="Calibri" w:hAnsi="Calibri"/>
          <w:b w:val="0"/>
          <w:color w:val="173B39"/>
          <w:sz w:val="22"/>
        </w:rPr>
        <w:t>Open Beheer, kies ‘Nodig medewerker uit’ en vul naam en eventueel werk-e-mailadres in. Houvast maakt automatisch een medewerkernummer en persoonlijke link. Na activatie logt de medewerker voortaan in met het eigen e-mailadres en wachtwoord.</w:t>
      </w:r>
    </w:p>
    <w:sectPr w:rsidR="00FC693F" w:rsidRPr="0006063C" w:rsidSect="00034616">
      <w:footerReference w:type="default" r:id="rId9"/>
      <w:pgSz w:w="12240" w:h="15840"/>
      <w:pgMar w:top="1123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7B77"/>
        <w:sz w:val="17"/>
      </w:rPr>
      <w:t>Houvast | demonstratie voor werkgevers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3B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Houvast werkgeversdemo</dc:title>
  <dc:subject>Korte uitleg en demonstratieroute voor werkgevers</dc:subject>
  <dc:creator>Houvast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