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C5E6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20" w:afterAutospacing="0" w:line="9" w:lineRule="atLeast"/>
        <w:ind w:left="0" w:firstLine="0"/>
        <w:jc w:val="center"/>
        <w:rPr>
          <w:rFonts w:hint="default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  <w:t>任务三</w:t>
      </w:r>
    </w:p>
    <w:p w14:paraId="22B482D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20" w:afterAutospacing="0" w:line="9" w:lineRule="atLeast"/>
        <w:ind w:left="0" w:firstLine="0"/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系统分析与架构设计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：基于RAG的智能代码审查辅助系统</w:t>
      </w:r>
    </w:p>
    <w:p w14:paraId="1CF8C52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1. 问题分析</w:t>
      </w:r>
    </w:p>
    <w:p w14:paraId="144DD84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1.1 代码审查的核心挑战</w:t>
      </w:r>
    </w:p>
    <w:p w14:paraId="6D65BBB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基于对现有技术方案的调研和分析，智能代码审查系统面临以下核心挑战：</w:t>
      </w:r>
    </w:p>
    <w:tbl>
      <w:tblPr>
        <w:tblW w:w="84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2233"/>
        <w:gridCol w:w="4994"/>
      </w:tblGrid>
      <w:tr w14:paraId="41CB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187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8AC29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挑战维度</w:t>
            </w:r>
          </w:p>
        </w:tc>
        <w:tc>
          <w:tcPr>
            <w:tcW w:w="223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0FA73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4994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4DE82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技术影响</w:t>
            </w:r>
          </w:p>
        </w:tc>
      </w:tr>
      <w:tr w14:paraId="02C6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87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7C6DD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上下文窗口限制</w:t>
            </w:r>
          </w:p>
        </w:tc>
        <w:tc>
          <w:tcPr>
            <w:tcW w:w="223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10182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大语言模型通常只有4K-128K的上下文窗口，无法直接处理大型代码文件（如2000行以上）</w:t>
            </w:r>
          </w:p>
        </w:tc>
        <w:tc>
          <w:tcPr>
            <w:tcW w:w="4994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F9F73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直接截断会导致关键信息丢失，审查深度受限</w:t>
            </w:r>
          </w:p>
        </w:tc>
      </w:tr>
      <w:tr w14:paraId="5454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87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36ACB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代码语义完整性</w:t>
            </w:r>
          </w:p>
        </w:tc>
        <w:tc>
          <w:tcPr>
            <w:tcW w:w="223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62FF9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简单按行数截断会破坏函数、类等语义单元，使模型无法理解完整逻辑</w:t>
            </w:r>
          </w:p>
        </w:tc>
        <w:tc>
          <w:tcPr>
            <w:tcW w:w="4994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5FC3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导致审查结果碎片化，无法发现跨函数的逻辑缺陷</w:t>
            </w:r>
          </w:p>
        </w:tc>
      </w:tr>
      <w:tr w14:paraId="78D8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87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48D0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项目特定知识缺失</w:t>
            </w:r>
          </w:p>
        </w:tc>
        <w:tc>
          <w:tcPr>
            <w:tcW w:w="223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697FE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通用LLM不了解项目的架构设计、编码规范和历史模式</w:t>
            </w:r>
          </w:p>
        </w:tc>
        <w:tc>
          <w:tcPr>
            <w:tcW w:w="4994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FDB05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生成的审查意见泛泛而谈，缺乏针对性</w:t>
            </w:r>
          </w:p>
        </w:tc>
      </w:tr>
      <w:tr w14:paraId="247BE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187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39349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检索准确性</w:t>
            </w:r>
          </w:p>
        </w:tc>
        <w:tc>
          <w:tcPr>
            <w:tcW w:w="223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F940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从大量代码块中召回与当前变更真正相关的上下文难度大</w:t>
            </w:r>
          </w:p>
        </w:tc>
        <w:tc>
          <w:tcPr>
            <w:tcW w:w="4994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3E833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召回的上下文不相关，反而干扰模型判断</w:t>
            </w:r>
          </w:p>
        </w:tc>
      </w:tr>
      <w:tr w14:paraId="1B8C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87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ED100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知识归纳失真</w:t>
            </w:r>
          </w:p>
        </w:tc>
        <w:tc>
          <w:tcPr>
            <w:tcW w:w="2233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E0AE7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对代码变更进行总结时，LLM可能遗漏或曲解关键上下文</w:t>
            </w:r>
          </w:p>
        </w:tc>
        <w:tc>
          <w:tcPr>
            <w:tcW w:w="4994" w:type="dxa"/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870C4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后续流程建立在不完整的信息基础上，导致误报漏报</w:t>
            </w:r>
          </w:p>
        </w:tc>
      </w:tr>
    </w:tbl>
    <w:p w14:paraId="72BF47B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1.2 现有方案的局限性</w:t>
      </w:r>
    </w:p>
    <w:p w14:paraId="2549165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通过对京东云、Arm、PayPay等企业的实践调研，发现当前主流方案存在以下问题：</w:t>
      </w:r>
    </w:p>
    <w:p w14:paraId="778D8EA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技术1：基于流水线的AI代码评审方案</w:t>
      </w:r>
    </w:p>
    <w:p w14:paraId="07BCF2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采用固定行数截断（如仅取变更处附近10行），完全丧失项目架构视野</w:t>
      </w:r>
    </w:p>
    <w:p w14:paraId="3622D8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所有评审规则硬编码于Prompt中，规则膨胀后触及上下文上限</w:t>
      </w:r>
    </w:p>
    <w:p w14:paraId="7F9BB16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3. 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效果提升依赖更换模型和调整Prompt，缺乏知识沉淀机制</w:t>
      </w:r>
    </w:p>
    <w:p w14:paraId="10BA927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技术2：基于RAG的通用检索方案</w:t>
      </w:r>
    </w:p>
    <w:p w14:paraId="58810A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知识归纳步骤不稳定，经常遗漏关键上下文</w:t>
      </w:r>
    </w:p>
    <w:p w14:paraId="5AF7E9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未对检索结果进行重排序，召回的规则与真实代码场景匹配度低</w:t>
      </w:r>
    </w:p>
    <w:p w14:paraId="24EFC7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缺乏项目身份感知能力，无法针对特定项目类型（如EDI配置）使用专用规则</w:t>
      </w:r>
    </w:p>
    <w:p w14:paraId="7790AF3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技术3：传统静态分析工具（SAST）</w:t>
      </w:r>
    </w:p>
    <w:p w14:paraId="58B09F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基于规则的模式匹配，无法理解代码的业务意图</w:t>
      </w:r>
    </w:p>
    <w:p w14:paraId="754510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对逻辑漏洞和设计缺陷检测能力有限，误报率高</w:t>
      </w:r>
    </w:p>
    <w:p w14:paraId="726492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无法提供自然语言的解释和修改建议</w:t>
      </w:r>
    </w:p>
    <w:p w14:paraId="33A41E3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1.3 解决方案设计原则</w:t>
      </w:r>
    </w:p>
    <w:p w14:paraId="367F971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基于上述分析，本系统的设计遵循以下原则：</w:t>
      </w:r>
    </w:p>
    <w:p w14:paraId="073A99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语义完整性优先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：代码分块必须在函数、类等自然边界处进行，保证语义单元完整</w:t>
      </w:r>
    </w:p>
    <w:p w14:paraId="7932DF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多级检索增强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：结合项目类型识别、语义相似度搜索和重排序，提高上下文相关性</w:t>
      </w:r>
    </w:p>
    <w:p w14:paraId="520492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本地化部署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：所有处理在本地完成，保护代码隐私</w:t>
      </w:r>
    </w:p>
    <w:p w14:paraId="3F24B7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轻量级实现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：支持在普通个人电脑（16GB内存，无GPU）上运行</w:t>
      </w:r>
    </w:p>
    <w:p w14:paraId="7A52AE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可扩展架构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：易于添加新语言支持或替换LLM模型</w:t>
      </w:r>
    </w:p>
    <w:p w14:paraId="02E36E93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10" w:beforeAutospacing="0" w:after="120" w:afterAutospacing="0" w:line="9" w:lineRule="atLeast"/>
        <w:jc w:val="left"/>
        <w:outlineLvl w:val="2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 xml:space="preserve">2.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技术选型分析</w:t>
      </w:r>
    </w:p>
    <w:p w14:paraId="0733BF3A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10" w:beforeAutospacing="0" w:after="120" w:afterAutospacing="0" w:line="9" w:lineRule="atLeast"/>
        <w:jc w:val="left"/>
        <w:outlineLvl w:val="2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2.1 代码分块策略选型</w:t>
      </w:r>
    </w:p>
    <w:tbl>
      <w:tblPr>
        <w:tblW w:w="83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2"/>
        <w:gridCol w:w="1617"/>
        <w:gridCol w:w="2375"/>
        <w:gridCol w:w="1542"/>
        <w:gridCol w:w="1791"/>
      </w:tblGrid>
      <w:tr w14:paraId="61CF7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77C4E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分块策略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9F2BB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FBB37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859F47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E983E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选择决策</w:t>
            </w:r>
          </w:p>
        </w:tc>
      </w:tr>
      <w:tr w14:paraId="6DD12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746E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基于AST的拆分</w:t>
            </w: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7D9D3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按函数/类拆分，语义完整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C2EFE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需要语言解析器，实现较复杂</w:t>
            </w: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C8458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生产级系统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97A33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核心策略</w:t>
            </w:r>
          </w:p>
        </w:tc>
      </w:tr>
      <w:tr w14:paraId="6B852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BF487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混合拆分</w:t>
            </w: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2C65C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先AST拆分，超大函数再滑动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E68F4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实现复杂，但平衡完整性和可控性</w:t>
            </w:r>
          </w:p>
        </w:tc>
        <w:tc>
          <w:tcPr>
            <w:tcW w:w="1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2B57A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大型代码库</w:t>
            </w:r>
          </w:p>
        </w:tc>
        <w:tc>
          <w:tcPr>
            <w:tcW w:w="1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19A2C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辅助策略</w:t>
            </w:r>
          </w:p>
        </w:tc>
      </w:tr>
    </w:tbl>
    <w:p w14:paraId="520E6FF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选择理由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</w:p>
    <w:p w14:paraId="0C3270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京东云的实践表明，在方法或类的自然边界处进行分割，能最大限度保持代码块的语义完整性</w:t>
      </w:r>
    </w:p>
    <w:p w14:paraId="79E26B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Qodo的工程实践证实，使用语言特定的静态分析实现分块，可以避免向LLM提供无效或不完整的代码段</w:t>
      </w:r>
    </w:p>
    <w:p w14:paraId="78ABEB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学术研究也支持基于AST的拆分策略，认为语义完整的代码块能显著提升检索效果</w:t>
      </w:r>
    </w:p>
    <w:p w14:paraId="6051ECC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2.2 嵌入模型对比与选型</w:t>
      </w:r>
    </w:p>
    <w:tbl>
      <w:tblPr>
        <w:tblW w:w="83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1103"/>
        <w:gridCol w:w="1592"/>
        <w:gridCol w:w="1508"/>
        <w:gridCol w:w="2183"/>
      </w:tblGrid>
      <w:tr w14:paraId="031B6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633C6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9BAA1E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参数量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34D74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特点</w:t>
            </w: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6FDBE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硬件要求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38153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选择决策</w:t>
            </w:r>
          </w:p>
        </w:tc>
      </w:tr>
      <w:tr w14:paraId="2ADB2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AC399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CodeBERT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89FFC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125M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3E24A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代码专用，效果均衡</w:t>
            </w: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86DEE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8GB内存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66062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主选</w:t>
            </w:r>
          </w:p>
        </w:tc>
      </w:tr>
      <w:tr w14:paraId="5D389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B5BB1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UniXcoder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C08AF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125M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F079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支持多语言</w:t>
            </w: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87D4B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8GB内存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9F1FD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</w:t>
            </w:r>
          </w:p>
        </w:tc>
      </w:tr>
      <w:tr w14:paraId="7573B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0F544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Qodo-Embed-1-7B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EE1D8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7B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D9CF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SOTA精度，代码优化</w:t>
            </w: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562D6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16GB显存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E626E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备选（有GPU时）</w:t>
            </w:r>
          </w:p>
        </w:tc>
      </w:tr>
    </w:tbl>
    <w:p w14:paraId="6A5ECD2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选择理由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</w:p>
    <w:p w14:paraId="6E3B98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代码特定的嵌入模型能更好地理解语法、变量依赖和API使用等代码元素</w:t>
      </w:r>
    </w:p>
    <w:p w14:paraId="22523D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CodeBERT（125M）可在消费级硬件运行，适合本地部署</w:t>
      </w:r>
    </w:p>
    <w:p w14:paraId="04B3D1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PayPay的实践使用text-embedding-ada-002，但本项目强调本地化，故选择开源模型</w:t>
      </w:r>
    </w:p>
    <w:p w14:paraId="31D2FD4D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2.3 向量数据库对比与选型</w:t>
      </w:r>
    </w:p>
    <w:tbl>
      <w:tblPr>
        <w:tblW w:w="84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3934"/>
        <w:gridCol w:w="2033"/>
        <w:gridCol w:w="1525"/>
      </w:tblGrid>
      <w:tr w14:paraId="33EE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63789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ED69A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A0A77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70437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选择决策</w:t>
            </w:r>
          </w:p>
        </w:tc>
      </w:tr>
      <w:tr w14:paraId="048D4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4CF91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Chroma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41800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轻量级嵌入式，Python集成简单，适合POC</w:t>
            </w:r>
          </w:p>
        </w:tc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8B1F5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大规模扩展性有限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14DCE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主选</w:t>
            </w:r>
          </w:p>
        </w:tc>
      </w:tr>
      <w:tr w14:paraId="3163B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1DE97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FAISS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7D234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高效相似搜索，Meta出品</w:t>
            </w:r>
          </w:p>
        </w:tc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13637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需要自行管理持久化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A1B6E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</w:t>
            </w:r>
          </w:p>
        </w:tc>
      </w:tr>
      <w:tr w14:paraId="1464F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F6819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Qdrant</w:t>
            </w:r>
          </w:p>
        </w:tc>
        <w:tc>
          <w:tcPr>
            <w:tcW w:w="3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9C359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功能丰富，有本地模式</w:t>
            </w:r>
          </w:p>
        </w:tc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6509A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相对较重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1E194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</w:t>
            </w:r>
          </w:p>
        </w:tc>
      </w:tr>
    </w:tbl>
    <w:p w14:paraId="5A3145B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选择理由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</w:p>
    <w:p w14:paraId="06B055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PayPay的实践评估了多种向量数据库，最终选择Chroma用于其低成本和高易用性</w:t>
      </w:r>
    </w:p>
    <w:p w14:paraId="64BCA9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Chroma嵌入式设计无需单独部署服务，适合桌面应用</w:t>
      </w:r>
    </w:p>
    <w:p w14:paraId="433E9D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Chroma完全满足性能需求</w:t>
      </w:r>
    </w:p>
    <w:p w14:paraId="6D32617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6F9CFFC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4A19198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 w14:paraId="30E97D1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2.4 LLM本地部署方案对比</w:t>
      </w:r>
    </w:p>
    <w:tbl>
      <w:tblPr>
        <w:tblW w:w="84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3521"/>
        <w:gridCol w:w="1875"/>
        <w:gridCol w:w="1741"/>
      </w:tblGrid>
      <w:tr w14:paraId="4FC45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8AF48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方案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7CE0F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945E4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1C1EA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选择决策</w:t>
            </w:r>
          </w:p>
        </w:tc>
      </w:tr>
      <w:tr w14:paraId="54B3C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E15F5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Ollama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0A10BC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一键安装，支持多模型，API兼容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B3819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需单独下载模型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7209EA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主选</w:t>
            </w:r>
          </w:p>
        </w:tc>
      </w:tr>
      <w:tr w14:paraId="545D2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EA777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llama.cpp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7B4F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纯CPU可运行，支持量化</w:t>
            </w:r>
          </w:p>
        </w:tc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AF2B9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使用稍复杂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21883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备选（无GPU时）</w:t>
            </w:r>
          </w:p>
        </w:tc>
      </w:tr>
    </w:tbl>
    <w:p w14:paraId="3726535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模型选择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</w:p>
    <w:p w14:paraId="5A2F42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主选：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DeepSeek-Coder-6.7B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（中文支持好，代码专项优化）</w:t>
      </w:r>
    </w:p>
    <w:p w14:paraId="02BD63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备选：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CodeLlama-7B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（Meta出品，社区活跃）</w:t>
      </w:r>
    </w:p>
    <w:p w14:paraId="68D12E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备选：</w:t>
      </w: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Qwen2.5-Coder-7B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（阿里出品，中文友好）</w:t>
      </w:r>
    </w:p>
    <w:p w14:paraId="5005498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选择理由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</w:p>
    <w:p w14:paraId="492059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学术研究显示，7B级别模型在代码审查任务中表现强劲</w:t>
      </w:r>
    </w:p>
    <w:p w14:paraId="424A1A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可通过4-bit量化将显存需求降至8GB以内，适合普通个人电脑</w:t>
      </w:r>
    </w:p>
    <w:p w14:paraId="61E4F4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0"/>
        <w:ind w:left="36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DeepSeek-Coder在多项代码任务中表现优异</w:t>
      </w:r>
    </w:p>
    <w:p w14:paraId="479F28D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2.5 桌面GUI框架对比</w:t>
      </w:r>
    </w:p>
    <w:tbl>
      <w:tblPr>
        <w:tblW w:w="83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2508"/>
        <w:gridCol w:w="2692"/>
        <w:gridCol w:w="2033"/>
      </w:tblGrid>
      <w:tr w14:paraId="115B5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01258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框架</w:t>
            </w:r>
          </w:p>
        </w:tc>
        <w:tc>
          <w:tcPr>
            <w:tcW w:w="2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B4F29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2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1A8CC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5D791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选择决策</w:t>
            </w:r>
          </w:p>
        </w:tc>
      </w:tr>
      <w:tr w14:paraId="0A23F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58EAE5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Electron</w:t>
            </w:r>
          </w:p>
        </w:tc>
        <w:tc>
          <w:tcPr>
            <w:tcW w:w="2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64A4D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跨平台，Web技术栈，社区活跃</w:t>
            </w:r>
          </w:p>
        </w:tc>
        <w:tc>
          <w:tcPr>
            <w:tcW w:w="2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0669B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打包体积较大</w:t>
            </w:r>
          </w:p>
        </w:tc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39F11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主选</w:t>
            </w:r>
          </w:p>
        </w:tc>
      </w:tr>
      <w:tr w14:paraId="584C2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3D7BC3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PyQt5</w:t>
            </w:r>
          </w:p>
        </w:tc>
        <w:tc>
          <w:tcPr>
            <w:tcW w:w="2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166445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Python原生，性能好</w:t>
            </w:r>
          </w:p>
        </w:tc>
        <w:tc>
          <w:tcPr>
            <w:tcW w:w="2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2170DA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界面开发较复杂</w:t>
            </w:r>
          </w:p>
        </w:tc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 w14:paraId="4F1A71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</w:t>
            </w:r>
          </w:p>
        </w:tc>
      </w:tr>
    </w:tbl>
    <w:p w14:paraId="0E5634D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选择理由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</w:p>
    <w:p w14:paraId="49076D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Electron可使用Monaco Editor（VS Code编辑器核心），提供专业代码编辑体验</w:t>
      </w:r>
    </w:p>
    <w:p w14:paraId="618B9F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0"/>
        <w:ind w:left="360" w:lef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Web技术栈便于快速开发和迭代</w:t>
      </w:r>
    </w:p>
    <w:p w14:paraId="512E03B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p w14:paraId="10E6C1C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p w14:paraId="3912FC1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p w14:paraId="174472E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p w14:paraId="0C733BB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p w14:paraId="0F9DB49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3. 原型应用的分析与设计证据</w:t>
      </w:r>
    </w:p>
    <w:p w14:paraId="026B14C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3.1 核心流程设计</w:t>
      </w:r>
    </w:p>
    <w:p w14:paraId="76D0667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center"/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基于对现有成功案例的分析，系统核心流程设计如下：</w:t>
      </w:r>
      <w:r>
        <w:drawing>
          <wp:inline distT="0" distB="0" distL="114300" distR="114300">
            <wp:extent cx="2675890" cy="73914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BF5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设计证据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</w:p>
    <w:p w14:paraId="031A6C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1. 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京东云的双RAG架构证实，项目类型识别能显著提升检索针对性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>；</w:t>
      </w:r>
    </w:p>
    <w:p w14:paraId="38C648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2. 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Qodo的实践表明，AST语义分块比朴素分块能更准确描绘有意义的代码片段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>；</w:t>
      </w:r>
    </w:p>
    <w:p w14:paraId="5FE2CC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0"/>
        <w:ind w:left="720" w:hanging="36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3. 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Arm的Metis项目使用类似架构，在内部测试中达到95%的真阳性率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>。</w:t>
      </w:r>
    </w:p>
    <w:p w14:paraId="572A302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center"/>
      </w:pPr>
    </w:p>
    <w:p w14:paraId="276DDC8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20" w:afterAutospacing="0" w:line="9" w:lineRule="atLeast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4. 架构设计证据</w:t>
      </w:r>
    </w:p>
    <w:p w14:paraId="3E1DE61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4.1 系统架构图</w:t>
      </w:r>
    </w:p>
    <w:p w14:paraId="2E3CF4B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left"/>
      </w:pPr>
      <w:r>
        <w:drawing>
          <wp:inline distT="0" distB="0" distL="114300" distR="114300">
            <wp:extent cx="5323840" cy="372554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EB94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20" w:afterAutospacing="0" w:line="9" w:lineRule="atLeast"/>
        <w:ind w:lef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4.2 数据流设计</w:t>
      </w:r>
    </w:p>
    <w:p w14:paraId="287E1B1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数据流图</w:t>
      </w:r>
    </w:p>
    <w:p w14:paraId="77DC787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顶层图（上下文图）</w:t>
      </w:r>
    </w:p>
    <w:p w14:paraId="2BD4265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159510"/>
            <wp:effectExtent l="0" t="0" r="5080" b="2540"/>
            <wp:docPr id="3" name="图片 3" descr="顶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顶层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361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jc w:val="left"/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0层图（核心处理流程）</w:t>
      </w:r>
    </w:p>
    <w:p w14:paraId="767E733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44720" cy="6485890"/>
            <wp:effectExtent l="0" t="0" r="8255" b="635"/>
            <wp:docPr id="4" name="图片 4" descr="0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层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51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sz w:val="24"/>
          <w:szCs w:val="24"/>
        </w:rPr>
      </w:pPr>
      <w:r>
        <w:rPr>
          <w:rStyle w:val="8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数据流说明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61EE19E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right="0" w:righ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用户通过GUI输入代码（打开文件/粘贴）。</w:t>
      </w:r>
    </w:p>
    <w:p w14:paraId="0BDB44B3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right="0" w:right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GUI将代码发送至后端API。</w:t>
      </w:r>
    </w:p>
    <w:p w14:paraId="1B5E5A8E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后端API触发代码分块模块，将代码拆分为语义块（函数/类）。</w:t>
      </w:r>
    </w:p>
    <w:p w14:paraId="6EDF9FF0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嵌入模块为每个块生成向量，存入向量数据库（Chroma）。</w:t>
      </w:r>
    </w:p>
    <w:p w14:paraId="3A76B6E3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检索模块根据用户代码或查询，从向量数据库检索相关块（混合检索+重排序）。</w:t>
      </w:r>
    </w:p>
    <w:p w14:paraId="6D0A4AD3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审查模块将检索到的块与原代码组合成提示词，调用本地LLM（Ollama）生成审查意见。</w:t>
      </w:r>
    </w:p>
    <w:p w14:paraId="2C0330ED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审查结果返回给GUI，GUI在编辑器中高亮问题行并显示问题列表</w:t>
      </w:r>
    </w:p>
    <w:p w14:paraId="3BA4FC3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BC0BF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详细类图</w:t>
      </w:r>
      <w:bookmarkStart w:id="0" w:name="_GoBack"/>
      <w:bookmarkEnd w:id="0"/>
    </w:p>
    <w:p w14:paraId="2F64C78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后端核心类</w:t>
      </w:r>
    </w:p>
    <w:p w14:paraId="3BD8FCA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8790940" cy="4747260"/>
            <wp:effectExtent l="0" t="0" r="635" b="5715"/>
            <wp:docPr id="5" name="图片 5" descr="后端核心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后端核心类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9094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96E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left"/>
        <w:rPr>
          <w:rFonts w:hint="eastAsia" w:eastAsiaTheme="minorEastAsia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AF13F7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left"/>
        <w:rPr>
          <w:rFonts w:hint="eastAsia" w:eastAsiaTheme="minorEastAsia"/>
          <w:lang w:eastAsia="zh-CN"/>
        </w:rPr>
      </w:pPr>
    </w:p>
    <w:p w14:paraId="3F08150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915C29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前端主要组件</w:t>
      </w:r>
    </w:p>
    <w:p w14:paraId="79BA097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left"/>
        <w:rPr>
          <w:rFonts w:hint="eastAsia" w:eastAsiaTheme="minorEastAsia"/>
          <w:lang w:eastAsia="zh-CN"/>
        </w:rPr>
      </w:pPr>
    </w:p>
    <w:p w14:paraId="2F9B327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firstLine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3364230"/>
            <wp:effectExtent l="0" t="0" r="635" b="7620"/>
            <wp:docPr id="6" name="图片 6" descr="前端主要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前端主要组件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E0505"/>
    <w:multiLevelType w:val="singleLevel"/>
    <w:tmpl w:val="941E050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6B04BDB"/>
    <w:multiLevelType w:val="singleLevel"/>
    <w:tmpl w:val="96B04BD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813311D"/>
    <w:multiLevelType w:val="singleLevel"/>
    <w:tmpl w:val="A813311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82FFA8A"/>
    <w:multiLevelType w:val="singleLevel"/>
    <w:tmpl w:val="A82FFA8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D29E388"/>
    <w:multiLevelType w:val="singleLevel"/>
    <w:tmpl w:val="AD29E38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8C02461"/>
    <w:multiLevelType w:val="multilevel"/>
    <w:tmpl w:val="F8C02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86B7FDE"/>
    <w:multiLevelType w:val="singleLevel"/>
    <w:tmpl w:val="086B7FD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D1F291B"/>
    <w:multiLevelType w:val="multilevel"/>
    <w:tmpl w:val="0D1F29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203FF57"/>
    <w:multiLevelType w:val="singleLevel"/>
    <w:tmpl w:val="4203FF5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2CCA2F8"/>
    <w:multiLevelType w:val="singleLevel"/>
    <w:tmpl w:val="52CCA2F8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01A6C3A"/>
    <w:multiLevelType w:val="singleLevel"/>
    <w:tmpl w:val="701A6C3A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7718C95"/>
    <w:multiLevelType w:val="singleLevel"/>
    <w:tmpl w:val="77718C95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8"/>
  </w:num>
  <w:num w:numId="6">
    <w:abstractNumId w:val="4"/>
  </w:num>
  <w:num w:numId="7">
    <w:abstractNumId w:val="11"/>
  </w:num>
  <w:num w:numId="8">
    <w:abstractNumId w:val="6"/>
  </w:num>
  <w:num w:numId="9">
    <w:abstractNumId w:val="10"/>
  </w:num>
  <w:num w:numId="10">
    <w:abstractNumId w:val="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D1BF2"/>
    <w:rsid w:val="09A47E12"/>
    <w:rsid w:val="0FEB602A"/>
    <w:rsid w:val="2D9D1BF2"/>
    <w:rsid w:val="41426205"/>
    <w:rsid w:val="4163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2026-03-25T02:37:00Z</dcterms:created>
  <dc:creator>＠(￣-￣)＠</dc:creator>
  <cp:lastModifiedBy>＠(￣-￣)＠</cp:lastModifiedBy>
  <dcterms:modified xsi:type="dcterms:W3CDTF">2026-03-25T03:32:40Z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D5AA6101F5BC45B280DC9DC19E3EE994_11</vt:lpwstr>
  </property>
  <property fmtid="{D5CDD505-2E9C-101B-9397-08002B2CF9AE}" pid="4" name="KSOTemplateDocerSaveRecord">
    <vt:lpwstr>eyJoZGlkIjoiZjg2MzgzYzljN2VkMmUzZWQxYjVlNDBlMGQ5NGI5NzciLCJ1c2VySWQiOiI3ODU5MzI3NDMifQ==</vt:lpwstr>
  </property>
</Properties>
</file>