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pPr>
      <w:r>
        <w:rPr>
          <w:rFonts w:ascii="Calibri" w:hAnsi="Calibri"/>
          <w:b/>
          <w:i w:val="0"/>
          <w:color w:val="0F766E"/>
          <w:sz w:val="20"/>
        </w:rPr>
        <w:t>LIVE TRAINING INTEGRATION</w:t>
      </w:r>
    </w:p>
    <w:p>
      <w:pPr>
        <w:spacing w:before="0" w:after="160"/>
      </w:pPr>
      <w:r>
        <w:rPr>
          <w:rFonts w:ascii="Calibri" w:hAnsi="Calibri"/>
          <w:b/>
          <w:i w:val="0"/>
          <w:color w:val="0B2545"/>
          <w:sz w:val="56"/>
        </w:rPr>
        <w:t>Gamma + PulseDeck</w:t>
        <w:br/>
        <w:t>Facilitator Handoff</w:t>
      </w:r>
    </w:p>
    <w:p>
      <w:pPr>
        <w:spacing w:after="360"/>
      </w:pPr>
      <w:r>
        <w:rPr>
          <w:rFonts w:ascii="Calibri" w:hAnsi="Calibri"/>
          <w:b w:val="0"/>
          <w:i w:val="0"/>
          <w:color w:val="5B6472"/>
          <w:sz w:val="27"/>
        </w:rPr>
        <w:t>DFQI Part 1, Sessions 1-3  |  One-control browser pilot</w:t>
      </w:r>
    </w:p>
    <w:p>
      <w:pPr>
        <w:spacing w:before="80" w:after="240" w:line="288" w:lineRule="auto"/>
        <w:ind w:left="259" w:right="115"/>
        <w:shd w:fill="F0FDFA"/>
        <w:pBdr>
          <w:left w:val="single" w:sz="20" w:color="0F766E"/>
        </w:pBdr>
      </w:pPr>
      <w:r>
        <w:rPr>
          <w:rFonts w:ascii="Calibri" w:hAnsi="Calibri"/>
          <w:b/>
          <w:i w:val="0"/>
          <w:color w:val="0F766E"/>
          <w:sz w:val="22"/>
        </w:rPr>
        <w:t xml:space="preserve">Pilot status: </w:t>
      </w:r>
      <w:r>
        <w:rPr>
          <w:rFonts w:ascii="Calibri" w:hAnsi="Calibri"/>
          <w:b w:val="0"/>
          <w:i w:val="0"/>
          <w:color w:val="0B2545"/>
          <w:sz w:val="22"/>
        </w:rPr>
        <w:t>PASSED. Gamma navigation now advances PulseDeck, opens the mapped interaction, displays live results inside Gamma, and removes the interaction panel on the next content card.</w:t>
      </w:r>
    </w:p>
    <w:p>
      <w:pPr>
        <w:pStyle w:val="Heading1"/>
      </w:pPr>
      <w:r>
        <w:t>What is ready</w:t>
      </w:r>
    </w:p>
    <w:p>
      <w:pPr>
        <w:spacing w:after="100"/>
      </w:pPr>
      <w:r>
        <w:rPr>
          <w:rFonts w:ascii="Calibri" w:hAnsi="Calibri"/>
          <w:b/>
          <w:i w:val="0"/>
          <w:color w:val="0B2545"/>
          <w:sz w:val="22"/>
        </w:rPr>
        <w:t xml:space="preserve">Protected Gamma copies: </w:t>
      </w:r>
      <w:r>
        <w:rPr>
          <w:rFonts w:ascii="Calibri" w:hAnsi="Calibri"/>
          <w:b w:val="0"/>
          <w:i w:val="0"/>
          <w:color w:val="1F2937"/>
          <w:sz w:val="22"/>
        </w:rPr>
        <w:t>The three source presentations remain untouched; all edits and testing use named pilot copies.</w:t>
      </w:r>
    </w:p>
    <w:p>
      <w:pPr>
        <w:spacing w:after="100"/>
      </w:pPr>
      <w:r>
        <w:rPr>
          <w:rFonts w:ascii="Calibri" w:hAnsi="Calibri"/>
          <w:b/>
          <w:i w:val="0"/>
          <w:color w:val="0B2545"/>
          <w:sz w:val="22"/>
        </w:rPr>
        <w:t xml:space="preserve">Combined PulseDeck deck: </w:t>
      </w:r>
      <w:r>
        <w:rPr>
          <w:rFonts w:ascii="Calibri" w:hAnsi="Calibri"/>
          <w:b w:val="0"/>
          <w:i w:val="0"/>
          <w:color w:val="1F2937"/>
          <w:sz w:val="22"/>
        </w:rPr>
        <w:t>155 mapped Gamma cards, including 21 paced discussion interactions (7 per session).</w:t>
      </w:r>
    </w:p>
    <w:p>
      <w:pPr>
        <w:spacing w:after="100"/>
      </w:pPr>
      <w:r>
        <w:rPr>
          <w:rFonts w:ascii="Calibri" w:hAnsi="Calibri"/>
          <w:b/>
          <w:i w:val="0"/>
          <w:color w:val="0B2545"/>
          <w:sz w:val="22"/>
        </w:rPr>
        <w:t xml:space="preserve">Chrome integration: </w:t>
      </w:r>
      <w:r>
        <w:rPr>
          <w:rFonts w:ascii="Calibri" w:hAnsi="Calibri"/>
          <w:b w:val="0"/>
          <w:i w:val="0"/>
          <w:color w:val="1F2937"/>
          <w:sz w:val="22"/>
        </w:rPr>
        <w:t>PulseDeck Gamma Sync version 0.2.0 is installed and enabled in the current Chrome profile.</w:t>
      </w:r>
    </w:p>
    <w:p>
      <w:pPr>
        <w:spacing w:after="100"/>
      </w:pPr>
      <w:r>
        <w:rPr>
          <w:rFonts w:ascii="Calibri" w:hAnsi="Calibri"/>
          <w:b/>
          <w:i w:val="0"/>
          <w:color w:val="0B2545"/>
          <w:sz w:val="22"/>
        </w:rPr>
        <w:t xml:space="preserve">Seamless live layer: </w:t>
      </w:r>
      <w:r>
        <w:rPr>
          <w:rFonts w:ascii="Calibri" w:hAnsi="Calibri"/>
          <w:b w:val="0"/>
          <w:i w:val="0"/>
          <w:color w:val="1F2937"/>
          <w:sz w:val="22"/>
        </w:rPr>
        <w:t>A right-side PulseDeck panel appears only on join and activity cards. Ordinary Gamma cards stay unobstructed.</w:t>
      </w:r>
    </w:p>
    <w:p>
      <w:pPr>
        <w:pStyle w:val="Heading1"/>
      </w:pPr>
      <w:r>
        <w:t>Protected Gamma pilot presentations</w:t>
      </w:r>
    </w:p>
    <w:p>
      <w:pPr>
        <w:spacing w:after="100"/>
      </w:pPr>
      <w:hyperlink r:id="rId11">
        <w:r>
          <w:rPr>
            <w:rFonts w:ascii="Calibri" w:hAnsi="Calibri"/>
            <w:color w:val="0F766E"/>
            <w:u w:val="single"/>
          </w:rPr>
          <w:t>Session 1 - Signal or Noise?</w:t>
        </w:r>
      </w:hyperlink>
    </w:p>
    <w:p>
      <w:pPr>
        <w:spacing w:after="100"/>
      </w:pPr>
      <w:hyperlink r:id="rId12">
        <w:r>
          <w:rPr>
            <w:rFonts w:ascii="Calibri" w:hAnsi="Calibri"/>
            <w:color w:val="0F766E"/>
            <w:u w:val="single"/>
          </w:rPr>
          <w:t>Session 2 - From Metric to Chart</w:t>
        </w:r>
      </w:hyperlink>
    </w:p>
    <w:p>
      <w:pPr>
        <w:spacing w:after="100"/>
      </w:pPr>
      <w:hyperlink r:id="rId13">
        <w:r>
          <w:rPr>
            <w:rFonts w:ascii="Calibri" w:hAnsi="Calibri"/>
            <w:color w:val="0F766E"/>
            <w:u w:val="single"/>
          </w:rPr>
          <w:t>Session 3 - From Chart to Boardroom</w:t>
        </w:r>
      </w:hyperlink>
    </w:p>
    <w:p>
      <w:pPr>
        <w:pStyle w:val="Heading1"/>
      </w:pPr>
      <w:r>
        <w:t>Before each live delivery</w:t>
      </w:r>
    </w:p>
    <w:p>
      <w:pPr>
        <w:numPr>
          <w:ilvl w:val="0"/>
          <w:numId w:val="10"/>
        </w:numPr>
        <w:spacing w:before="0" w:after="80" w:line="300" w:lineRule="auto"/>
      </w:pPr>
      <w:r>
        <w:rPr>
          <w:rFonts w:ascii="Calibri" w:hAnsi="Calibri"/>
          <w:b/>
          <w:i w:val="0"/>
          <w:color w:val="0B2545"/>
          <w:sz w:val="22"/>
        </w:rPr>
        <w:t xml:space="preserve">Start the combined PulseDeck deck. </w:t>
      </w:r>
      <w:r>
        <w:rPr>
          <w:rFonts w:ascii="Calibri" w:hAnsi="Calibri"/>
          <w:b w:val="0"/>
          <w:i w:val="0"/>
          <w:color w:val="1F2937"/>
          <w:sz w:val="22"/>
        </w:rPr>
        <w:t>Create a fresh live session. Keep its complete Remote URL private; it contains presenter access.</w:t>
      </w:r>
    </w:p>
    <w:p>
      <w:pPr>
        <w:numPr>
          <w:ilvl w:val="0"/>
          <w:numId w:val="10"/>
        </w:numPr>
        <w:spacing w:before="0" w:after="80" w:line="300" w:lineRule="auto"/>
      </w:pPr>
      <w:r>
        <w:rPr>
          <w:rFonts w:ascii="Calibri" w:hAnsi="Calibri"/>
          <w:b/>
          <w:i w:val="0"/>
          <w:color w:val="0B2545"/>
          <w:sz w:val="22"/>
        </w:rPr>
        <w:t xml:space="preserve">Connect Gamma Sync. </w:t>
      </w:r>
      <w:r>
        <w:rPr>
          <w:rFonts w:ascii="Calibri" w:hAnsi="Calibri"/>
          <w:b w:val="0"/>
          <w:i w:val="0"/>
          <w:color w:val="1F2937"/>
          <w:sz w:val="22"/>
        </w:rPr>
        <w:t>Open the extension while a pilot Gamma is active, paste the complete Remote URL, and choose Connect live session. Confirm that it reports 155 Gamma cards mapped.</w:t>
      </w:r>
    </w:p>
    <w:p>
      <w:pPr>
        <w:numPr>
          <w:ilvl w:val="0"/>
          <w:numId w:val="10"/>
        </w:numPr>
        <w:spacing w:before="0" w:after="80" w:line="300" w:lineRule="auto"/>
      </w:pPr>
      <w:r>
        <w:rPr>
          <w:rFonts w:ascii="Calibri" w:hAnsi="Calibri"/>
          <w:b/>
          <w:i w:val="0"/>
          <w:color w:val="0B2545"/>
          <w:sz w:val="22"/>
        </w:rPr>
        <w:t xml:space="preserve">Open the participant join. </w:t>
      </w:r>
      <w:r>
        <w:rPr>
          <w:rFonts w:ascii="Calibri" w:hAnsi="Calibri"/>
          <w:b w:val="0"/>
          <w:i w:val="0"/>
          <w:color w:val="1F2937"/>
          <w:sz w:val="22"/>
        </w:rPr>
        <w:t>Show the first Gamma card long enough for participants to scan the join QR or enter the session code.</w:t>
      </w:r>
    </w:p>
    <w:p>
      <w:pPr>
        <w:numPr>
          <w:ilvl w:val="0"/>
          <w:numId w:val="10"/>
        </w:numPr>
        <w:spacing w:before="0" w:after="80" w:line="300" w:lineRule="auto"/>
      </w:pPr>
      <w:r>
        <w:rPr>
          <w:rFonts w:ascii="Calibri" w:hAnsi="Calibri"/>
          <w:b/>
          <w:i w:val="0"/>
          <w:color w:val="0B2545"/>
          <w:sz w:val="22"/>
        </w:rPr>
        <w:t xml:space="preserve">Present from Gamma. </w:t>
      </w:r>
      <w:r>
        <w:rPr>
          <w:rFonts w:ascii="Calibri" w:hAnsi="Calibri"/>
          <w:b w:val="0"/>
          <w:i w:val="0"/>
          <w:color w:val="1F2937"/>
          <w:sz w:val="22"/>
        </w:rPr>
        <w:t>Use Gamma's normal arrow-key navigation. Do not operate the PulseDeck remote unless the automatic sync fails.</w:t>
      </w:r>
    </w:p>
    <w:p>
      <w:pPr>
        <w:numPr>
          <w:ilvl w:val="0"/>
          <w:numId w:val="10"/>
        </w:numPr>
        <w:spacing w:before="0" w:after="80" w:line="300" w:lineRule="auto"/>
      </w:pPr>
      <w:r>
        <w:rPr>
          <w:rFonts w:ascii="Calibri" w:hAnsi="Calibri"/>
          <w:b/>
          <w:i w:val="0"/>
          <w:color w:val="0B2545"/>
          <w:sz w:val="22"/>
        </w:rPr>
        <w:t xml:space="preserve">Run a 3-minute rehearsal. </w:t>
      </w:r>
      <w:r>
        <w:rPr>
          <w:rFonts w:ascii="Calibri" w:hAnsi="Calibri"/>
          <w:b w:val="0"/>
          <w:i w:val="0"/>
          <w:color w:val="1F2937"/>
          <w:sz w:val="22"/>
        </w:rPr>
        <w:t>Open one poll, submit at least one test response, advance one card, and confirm that the panel disappears before participants join.</w:t>
      </w:r>
    </w:p>
    <w:p>
      <w:pPr>
        <w:pStyle w:val="Heading1"/>
      </w:pPr>
      <w:r>
        <w:t>What the facilitator will see</w:t>
      </w:r>
    </w:p>
    <w:p>
      <w:pPr>
        <w:pStyle w:val="Heading2"/>
      </w:pPr>
      <w:r>
        <w:t>On an activity card</w:t>
      </w:r>
    </w:p>
    <w:p>
      <w:pPr>
        <w:spacing w:after="120"/>
      </w:pPr>
      <w:r>
        <w:t>The extension badge reads ON. PulseDeck advances to the mapped activity, opens voting automatically, and overlays live results on the right side of Gamma. The Gamma prompt remains visible on the left.</w:t>
      </w:r>
    </w:p>
    <w:p>
      <w:pPr>
        <w:pStyle w:val="Heading2"/>
      </w:pPr>
      <w:r>
        <w:t>On the next content card</w:t>
      </w:r>
    </w:p>
    <w:p>
      <w:pPr>
        <w:spacing w:after="120"/>
      </w:pPr>
      <w:r>
        <w:t>One Gamma arrow key advances both systems. PulseDeck returns to the neutral show phase and the overlay is removed immediately.</w:t>
      </w:r>
    </w:p>
    <w:p>
      <w:pPr>
        <w:pStyle w:val="Heading1"/>
      </w:pPr>
      <w:r>
        <w:t>Interaction pacing</w:t>
      </w:r>
    </w:p>
    <w:p>
      <w:pPr>
        <w:spacing w:after="120"/>
      </w:pPr>
      <w:r>
        <w:t>Seven moments per session were selected to support discussion without turning the training into a game. The cadence is approximately one interaction every 8-9 minutes across the 3-hour sequence.</w:t>
      </w:r>
    </w:p>
    <w:p>
      <w:pPr>
        <w:spacing w:after="80"/>
      </w:pPr>
      <w:r>
        <w:rPr>
          <w:rFonts w:ascii="Calibri" w:hAnsi="Calibri"/>
          <w:b/>
          <w:i w:val="0"/>
          <w:color w:val="0B2545"/>
          <w:sz w:val="22"/>
        </w:rPr>
        <w:t xml:space="preserve">Session 1 - Think: </w:t>
      </w:r>
      <w:r>
        <w:rPr>
          <w:rFonts w:ascii="Calibri" w:hAnsi="Calibri"/>
          <w:b w:val="0"/>
          <w:i w:val="0"/>
          <w:color w:val="1F2937"/>
          <w:sz w:val="22"/>
        </w:rPr>
        <w:t>3 polls, 3 open-text reflections, 1 confidence scale.</w:t>
      </w:r>
    </w:p>
    <w:p>
      <w:pPr>
        <w:spacing w:after="80"/>
      </w:pPr>
      <w:r>
        <w:rPr>
          <w:rFonts w:ascii="Calibri" w:hAnsi="Calibri"/>
          <w:b/>
          <w:i w:val="0"/>
          <w:color w:val="0B2545"/>
          <w:sz w:val="22"/>
        </w:rPr>
        <w:t xml:space="preserve">Session 2 - Chart: </w:t>
      </w:r>
      <w:r>
        <w:rPr>
          <w:rFonts w:ascii="Calibri" w:hAnsi="Calibri"/>
          <w:b w:val="0"/>
          <w:i w:val="0"/>
          <w:color w:val="1F2937"/>
          <w:sz w:val="22"/>
        </w:rPr>
        <w:t>4 polls, 1 open-text debrief, 1 word cloud, 1 confidence scale.</w:t>
      </w:r>
    </w:p>
    <w:p>
      <w:pPr>
        <w:spacing w:after="80"/>
      </w:pPr>
      <w:r>
        <w:rPr>
          <w:rFonts w:ascii="Calibri" w:hAnsi="Calibri"/>
          <w:b/>
          <w:i w:val="0"/>
          <w:color w:val="0B2545"/>
          <w:sz w:val="22"/>
        </w:rPr>
        <w:t xml:space="preserve">Session 3 - Communicate: </w:t>
      </w:r>
      <w:r>
        <w:rPr>
          <w:rFonts w:ascii="Calibri" w:hAnsi="Calibri"/>
          <w:b w:val="0"/>
          <w:i w:val="0"/>
          <w:color w:val="1F2937"/>
          <w:sz w:val="22"/>
        </w:rPr>
        <w:t>3 polls, 3 open-text decisions/reflections, 1 confidence scale.</w:t>
      </w:r>
    </w:p>
    <w:p>
      <w:r>
        <w:br w:type="page"/>
      </w:r>
    </w:p>
    <w:p>
      <w:pPr>
        <w:pStyle w:val="Heading1"/>
      </w:pPr>
      <w:r>
        <w:t>Pilot verification evidence</w:t>
      </w:r>
    </w:p>
    <w:tbl>
      <w:tblPr>
        <w:tblW w:type="dxa" w:w="9360"/>
        <w:tblLayout w:type="fixed"/>
        <w:tblLook w:firstColumn="1" w:firstRow="1" w:lastColumn="0" w:lastRow="0" w:noHBand="0" w:noVBand="1" w:val="04A0"/>
        <w:jc w:val="left"/>
        <w:tblInd w:w="120" w:type="dxa"/>
      </w:tblPr>
      <w:tblGrid>
        <w:gridCol w:w="2480"/>
        <w:gridCol w:w="1120"/>
        <w:gridCol w:w="5760"/>
      </w:tblGrid>
      <w:tr>
        <w:tc>
          <w:tcPr>
            <w:tcW w:type="dxa" w:w="2480"/>
            <w:vAlign w:val="center"/>
            <w:tcMar>
              <w:top w:w="80" w:type="dxa"/>
              <w:start w:w="120" w:type="dxa"/>
              <w:bottom w:w="80" w:type="dxa"/>
              <w:end w:w="120" w:type="dxa"/>
            </w:tcMar>
            <w:shd w:fill="0F766E"/>
            <w:tcBorders>
              <w:top w:val="single" w:sz="6" w:color="0F766E"/>
              <w:start w:val="single" w:sz="6" w:color="0F766E"/>
              <w:bottom w:val="single" w:sz="6" w:color="0F766E"/>
              <w:end w:val="single" w:sz="6" w:color="0F766E"/>
              <w:insideH w:val="single" w:sz="6" w:color="0F766E"/>
              <w:insideV w:val="single" w:sz="6" w:color="0F766E"/>
            </w:tcBorders>
          </w:tcPr>
          <w:p>
            <w:pPr>
              <w:spacing w:after="0"/>
            </w:pPr>
            <w:r>
              <w:rPr>
                <w:rFonts w:ascii="Calibri" w:hAnsi="Calibri"/>
                <w:b/>
                <w:i w:val="0"/>
                <w:color w:val="FFFFFF"/>
                <w:sz w:val="20"/>
              </w:rPr>
              <w:t>Boundary</w:t>
            </w:r>
          </w:p>
        </w:tc>
        <w:tc>
          <w:tcPr>
            <w:tcW w:type="dxa" w:w="1120"/>
            <w:vAlign w:val="center"/>
            <w:tcMar>
              <w:top w:w="80" w:type="dxa"/>
              <w:start w:w="120" w:type="dxa"/>
              <w:bottom w:w="80" w:type="dxa"/>
              <w:end w:w="120" w:type="dxa"/>
            </w:tcMar>
            <w:shd w:fill="0F766E"/>
            <w:tcBorders>
              <w:top w:val="single" w:sz="6" w:color="0F766E"/>
              <w:start w:val="single" w:sz="6" w:color="0F766E"/>
              <w:bottom w:val="single" w:sz="6" w:color="0F766E"/>
              <w:end w:val="single" w:sz="6" w:color="0F766E"/>
              <w:insideH w:val="single" w:sz="6" w:color="0F766E"/>
              <w:insideV w:val="single" w:sz="6" w:color="0F766E"/>
            </w:tcBorders>
          </w:tcPr>
          <w:p>
            <w:pPr>
              <w:spacing w:after="0"/>
            </w:pPr>
            <w:r>
              <w:rPr>
                <w:rFonts w:ascii="Calibri" w:hAnsi="Calibri"/>
                <w:b/>
                <w:i w:val="0"/>
                <w:color w:val="FFFFFF"/>
                <w:sz w:val="20"/>
              </w:rPr>
              <w:t>Status</w:t>
            </w:r>
          </w:p>
        </w:tc>
        <w:tc>
          <w:tcPr>
            <w:tcW w:type="dxa" w:w="5760"/>
            <w:vAlign w:val="center"/>
            <w:tcMar>
              <w:top w:w="80" w:type="dxa"/>
              <w:start w:w="120" w:type="dxa"/>
              <w:bottom w:w="80" w:type="dxa"/>
              <w:end w:w="120" w:type="dxa"/>
            </w:tcMar>
            <w:shd w:fill="0F766E"/>
            <w:tcBorders>
              <w:top w:val="single" w:sz="6" w:color="0F766E"/>
              <w:start w:val="single" w:sz="6" w:color="0F766E"/>
              <w:bottom w:val="single" w:sz="6" w:color="0F766E"/>
              <w:end w:val="single" w:sz="6" w:color="0F766E"/>
              <w:insideH w:val="single" w:sz="6" w:color="0F766E"/>
              <w:insideV w:val="single" w:sz="6" w:color="0F766E"/>
            </w:tcBorders>
          </w:tcPr>
          <w:p>
            <w:pPr>
              <w:spacing w:after="0"/>
            </w:pPr>
            <w:r>
              <w:rPr>
                <w:rFonts w:ascii="Calibri" w:hAnsi="Calibri"/>
                <w:b/>
                <w:i w:val="0"/>
                <w:color w:val="FFFFFF"/>
                <w:sz w:val="20"/>
              </w:rPr>
              <w:t>Evidence</w:t>
            </w:r>
          </w:p>
        </w:tc>
      </w:tr>
      <w:tr>
        <w:trPr>
          <w:cantSplit/>
        </w:trPr>
        <w:tc>
          <w:tcPr>
            <w:tcW w:type="dxa" w:w="248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val="0"/>
                <w:i w:val="0"/>
                <w:color w:val="1F2937"/>
                <w:sz w:val="19"/>
              </w:rPr>
              <w:t>Mapping</w:t>
            </w:r>
          </w:p>
        </w:tc>
        <w:tc>
          <w:tcPr>
            <w:tcW w:type="dxa" w:w="112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i w:val="0"/>
                <w:color w:val="0F766E"/>
                <w:sz w:val="19"/>
              </w:rPr>
              <w:t>PASS</w:t>
            </w:r>
          </w:p>
        </w:tc>
        <w:tc>
          <w:tcPr>
            <w:tcW w:type="dxa" w:w="576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val="0"/>
                <w:i w:val="0"/>
                <w:color w:val="1F2937"/>
                <w:sz w:val="19"/>
              </w:rPr>
              <w:t>155 unique Gamma cards; 21 activities; all three protected pilot slugs.</w:t>
            </w:r>
          </w:p>
        </w:tc>
      </w:tr>
      <w:tr>
        <w:trPr>
          <w:cantSplit/>
        </w:trPr>
        <w:tc>
          <w:tcPr>
            <w:tcW w:type="dxa" w:w="248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val="0"/>
                <w:i w:val="0"/>
                <w:color w:val="1F2937"/>
                <w:sz w:val="19"/>
              </w:rPr>
              <w:t>Gamma to API</w:t>
            </w:r>
          </w:p>
        </w:tc>
        <w:tc>
          <w:tcPr>
            <w:tcW w:type="dxa" w:w="112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i w:val="0"/>
                <w:color w:val="0F766E"/>
                <w:sz w:val="19"/>
              </w:rPr>
              <w:t>PASS</w:t>
            </w:r>
          </w:p>
        </w:tc>
        <w:tc>
          <w:tcPr>
            <w:tcW w:type="dxa" w:w="576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val="0"/>
                <w:i w:val="0"/>
                <w:color w:val="1F2937"/>
                <w:sz w:val="19"/>
              </w:rPr>
              <w:t>Activity card krnae3syuwn1fpk advanced PulseDeck to slide 115 and phase open.</w:t>
            </w:r>
          </w:p>
        </w:tc>
      </w:tr>
      <w:tr>
        <w:trPr>
          <w:cantSplit/>
        </w:trPr>
        <w:tc>
          <w:tcPr>
            <w:tcW w:type="dxa" w:w="248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val="0"/>
                <w:i w:val="0"/>
                <w:color w:val="1F2937"/>
                <w:sz w:val="19"/>
              </w:rPr>
              <w:t>API to overlay</w:t>
            </w:r>
          </w:p>
        </w:tc>
        <w:tc>
          <w:tcPr>
            <w:tcW w:type="dxa" w:w="112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i w:val="0"/>
                <w:color w:val="0F766E"/>
                <w:sz w:val="19"/>
              </w:rPr>
              <w:t>PASS</w:t>
            </w:r>
          </w:p>
        </w:tc>
        <w:tc>
          <w:tcPr>
            <w:tcW w:type="dxa" w:w="576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val="0"/>
                <w:i w:val="0"/>
                <w:color w:val="1F2937"/>
                <w:sz w:val="19"/>
              </w:rPr>
              <w:t>The mapped poll rendered inside Gamma presentation mode without a presenter key in the iframe.</w:t>
            </w:r>
          </w:p>
        </w:tc>
      </w:tr>
      <w:tr>
        <w:trPr>
          <w:cantSplit/>
        </w:trPr>
        <w:tc>
          <w:tcPr>
            <w:tcW w:type="dxa" w:w="248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val="0"/>
                <w:i w:val="0"/>
                <w:color w:val="1F2937"/>
                <w:sz w:val="19"/>
              </w:rPr>
              <w:t>Audience results</w:t>
            </w:r>
          </w:p>
        </w:tc>
        <w:tc>
          <w:tcPr>
            <w:tcW w:type="dxa" w:w="112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i w:val="0"/>
                <w:color w:val="0F766E"/>
                <w:sz w:val="19"/>
              </w:rPr>
              <w:t>PASS</w:t>
            </w:r>
          </w:p>
        </w:tc>
        <w:tc>
          <w:tcPr>
            <w:tcW w:type="dxa" w:w="576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val="0"/>
                <w:i w:val="0"/>
                <w:color w:val="1F2937"/>
                <w:sz w:val="19"/>
              </w:rPr>
              <w:t>12 simulated participants produced 10 responses; counts and percentages updated live in Gamma.</w:t>
            </w:r>
          </w:p>
        </w:tc>
      </w:tr>
      <w:tr>
        <w:trPr>
          <w:cantSplit/>
        </w:trPr>
        <w:tc>
          <w:tcPr>
            <w:tcW w:type="dxa" w:w="248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val="0"/>
                <w:i w:val="0"/>
                <w:color w:val="1F2937"/>
                <w:sz w:val="19"/>
              </w:rPr>
              <w:t>Close/advance</w:t>
            </w:r>
          </w:p>
        </w:tc>
        <w:tc>
          <w:tcPr>
            <w:tcW w:type="dxa" w:w="112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i w:val="0"/>
                <w:color w:val="0F766E"/>
                <w:sz w:val="19"/>
              </w:rPr>
              <w:t>PASS</w:t>
            </w:r>
          </w:p>
        </w:tc>
        <w:tc>
          <w:tcPr>
            <w:tcW w:type="dxa" w:w="5760"/>
            <w:tcBorders>
              <w:top w:val="single" w:sz="6" w:color="D7E1E7"/>
              <w:start w:val="single" w:sz="6" w:color="D7E1E7"/>
              <w:bottom w:val="single" w:sz="6" w:color="D7E1E7"/>
              <w:end w:val="single" w:sz="6" w:color="D7E1E7"/>
              <w:insideH w:val="single" w:sz="6" w:color="D7E1E7"/>
              <w:insideV w:val="single" w:sz="6" w:color="D7E1E7"/>
            </w:tcBorders>
            <w:vAlign w:val="center"/>
            <w:tcMar>
              <w:top w:w="80" w:type="dxa"/>
              <w:start w:w="120" w:type="dxa"/>
              <w:bottom w:w="80" w:type="dxa"/>
              <w:end w:w="120" w:type="dxa"/>
            </w:tcMar>
          </w:tcPr>
          <w:p>
            <w:pPr>
              <w:spacing w:after="0"/>
            </w:pPr>
            <w:r>
              <w:rPr>
                <w:rFonts w:ascii="Calibri" w:hAnsi="Calibri"/>
                <w:b w:val="0"/>
                <w:i w:val="0"/>
                <w:color w:val="1F2937"/>
                <w:sz w:val="19"/>
              </w:rPr>
              <w:t>One Right Arrow moved to card x97s8tut1ei5juq, set phase show, and removed the overlay.</w:t>
            </w:r>
          </w:p>
        </w:tc>
      </w:tr>
      <w:tr>
        <w:trPr>
          <w:cantSplit/>
        </w:trPr>
        <w:tc>
          <w:tcPr>
            <w:tcW w:type="dxa" w:w="248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val="0"/>
                <w:i w:val="0"/>
                <w:color w:val="1F2937"/>
                <w:sz w:val="19"/>
              </w:rPr>
              <w:t>Build quality</w:t>
            </w:r>
          </w:p>
        </w:tc>
        <w:tc>
          <w:tcPr>
            <w:tcW w:type="dxa" w:w="112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i w:val="0"/>
                <w:color w:val="0F766E"/>
                <w:sz w:val="19"/>
              </w:rPr>
              <w:t>PASS</w:t>
            </w:r>
          </w:p>
        </w:tc>
        <w:tc>
          <w:tcPr>
            <w:tcW w:type="dxa" w:w="5760"/>
            <w:tcBorders>
              <w:top w:val="single" w:sz="6" w:color="D7E1E7"/>
              <w:start w:val="single" w:sz="6" w:color="D7E1E7"/>
              <w:bottom w:val="single" w:sz="6" w:color="D7E1E7"/>
              <w:end w:val="single" w:sz="6" w:color="D7E1E7"/>
              <w:insideH w:val="single" w:sz="6" w:color="D7E1E7"/>
              <w:insideV w:val="single" w:sz="6" w:color="D7E1E7"/>
            </w:tcBorders>
            <w:shd w:fill="F2F4F7"/>
            <w:vAlign w:val="center"/>
            <w:tcMar>
              <w:top w:w="80" w:type="dxa"/>
              <w:start w:w="120" w:type="dxa"/>
              <w:bottom w:w="80" w:type="dxa"/>
              <w:end w:w="120" w:type="dxa"/>
            </w:tcMar>
          </w:tcPr>
          <w:p>
            <w:pPr>
              <w:spacing w:after="0"/>
            </w:pPr>
            <w:r>
              <w:rPr>
                <w:rFonts w:ascii="Calibri" w:hAnsi="Calibri"/>
                <w:b w:val="0"/>
                <w:i w:val="0"/>
                <w:color w:val="1F2937"/>
                <w:sz w:val="19"/>
              </w:rPr>
              <w:t>8 integration tests, ESLint, Next.js production build, and whitespace checks passed.</w:t>
            </w:r>
          </w:p>
        </w:tc>
      </w:tr>
    </w:tbl>
    <w:p>
      <w:pPr>
        <w:pStyle w:val="Heading1"/>
      </w:pPr>
      <w:r>
        <w:t>Fallback and recovery</w:t>
      </w:r>
    </w:p>
    <w:p>
      <w:pPr>
        <w:spacing w:after="100"/>
      </w:pPr>
      <w:r>
        <w:rPr>
          <w:rFonts w:ascii="Calibri" w:hAnsi="Calibri"/>
          <w:b/>
          <w:i w:val="0"/>
          <w:color w:val="0B2545"/>
          <w:sz w:val="22"/>
        </w:rPr>
        <w:t xml:space="preserve">Badge shows -: </w:t>
      </w:r>
      <w:r>
        <w:rPr>
          <w:rFonts w:ascii="Calibri" w:hAnsi="Calibri"/>
          <w:b w:val="0"/>
          <w:i w:val="0"/>
          <w:color w:val="1F2937"/>
          <w:sz w:val="22"/>
        </w:rPr>
        <w:t>The current Gamma card is not mapped. Confirm you opened a protected pilot copy, not a source deck.</w:t>
      </w:r>
    </w:p>
    <w:p>
      <w:pPr>
        <w:spacing w:after="100"/>
      </w:pPr>
      <w:r>
        <w:rPr>
          <w:rFonts w:ascii="Calibri" w:hAnsi="Calibri"/>
          <w:b/>
          <w:i w:val="0"/>
          <w:color w:val="0B2545"/>
          <w:sz w:val="22"/>
        </w:rPr>
        <w:t xml:space="preserve">Badge shows !: </w:t>
      </w:r>
      <w:r>
        <w:rPr>
          <w:rFonts w:ascii="Calibri" w:hAnsi="Calibri"/>
          <w:b w:val="0"/>
          <w:i w:val="0"/>
          <w:color w:val="1F2937"/>
          <w:sz w:val="22"/>
        </w:rPr>
        <w:t>A network or presenter-auth error occurred. Open the extension and reconnect with the current session's Remote URL.</w:t>
      </w:r>
    </w:p>
    <w:p>
      <w:pPr>
        <w:spacing w:after="100"/>
      </w:pPr>
      <w:r>
        <w:rPr>
          <w:rFonts w:ascii="Calibri" w:hAnsi="Calibri"/>
          <w:b/>
          <w:i w:val="0"/>
          <w:color w:val="0B2545"/>
          <w:sz w:val="22"/>
        </w:rPr>
        <w:t xml:space="preserve">Overlay does not appear: </w:t>
      </w:r>
      <w:r>
        <w:rPr>
          <w:rFonts w:ascii="Calibri" w:hAnsi="Calibri"/>
          <w:b w:val="0"/>
          <w:i w:val="0"/>
          <w:color w:val="1F2937"/>
          <w:sz w:val="22"/>
        </w:rPr>
        <w:t>Refresh the Gamma tab once, then choose Sync this card now in the extension.</w:t>
      </w:r>
    </w:p>
    <w:p>
      <w:pPr>
        <w:spacing w:after="100"/>
      </w:pPr>
      <w:r>
        <w:rPr>
          <w:rFonts w:ascii="Calibri" w:hAnsi="Calibri"/>
          <w:b/>
          <w:i w:val="0"/>
          <w:color w:val="0B2545"/>
          <w:sz w:val="22"/>
        </w:rPr>
        <w:t xml:space="preserve">Automatic sync stops: </w:t>
      </w:r>
      <w:r>
        <w:rPr>
          <w:rFonts w:ascii="Calibri" w:hAnsi="Calibri"/>
          <w:b w:val="0"/>
          <w:i w:val="0"/>
          <w:color w:val="1F2937"/>
          <w:sz w:val="22"/>
        </w:rPr>
        <w:t>Use the existing PulseDeck phone remote as the manual fallback; participant responses remain in the same live session.</w:t>
      </w:r>
    </w:p>
    <w:p>
      <w:pPr>
        <w:spacing w:after="100"/>
      </w:pPr>
      <w:r>
        <w:rPr>
          <w:rFonts w:ascii="Calibri" w:hAnsi="Calibri"/>
          <w:b/>
          <w:i w:val="0"/>
          <w:color w:val="0B2545"/>
          <w:sz w:val="22"/>
        </w:rPr>
        <w:t xml:space="preserve">Chrome was restarted: </w:t>
      </w:r>
      <w:r>
        <w:rPr>
          <w:rFonts w:ascii="Calibri" w:hAnsi="Calibri"/>
          <w:b w:val="0"/>
          <w:i w:val="0"/>
          <w:color w:val="1F2937"/>
          <w:sz w:val="22"/>
        </w:rPr>
        <w:t>Reconnect the extension. The presenter key is intentionally stored only for the Chrome session and is cleared on exit.</w:t>
      </w:r>
    </w:p>
    <w:p>
      <w:pPr>
        <w:spacing w:before="80" w:after="240" w:line="288" w:lineRule="auto"/>
        <w:ind w:left="259" w:right="115"/>
        <w:shd w:fill="F0FDFA"/>
        <w:pBdr>
          <w:left w:val="single" w:sz="20" w:color="0F766E"/>
        </w:pBdr>
      </w:pPr>
      <w:r>
        <w:rPr>
          <w:rFonts w:ascii="Calibri" w:hAnsi="Calibri"/>
          <w:b/>
          <w:i w:val="0"/>
          <w:color w:val="0F766E"/>
          <w:sz w:val="22"/>
        </w:rPr>
        <w:t xml:space="preserve">Security note: </w:t>
      </w:r>
      <w:r>
        <w:rPr>
          <w:rFonts w:ascii="Calibri" w:hAnsi="Calibri"/>
          <w:b w:val="0"/>
          <w:i w:val="0"/>
          <w:color w:val="0B2545"/>
          <w:sz w:val="22"/>
        </w:rPr>
        <w:t>Never paste the PulseDeck Remote URL into Gamma, a participant message, a screenshot, or this handoff. Public overlays use the credential-free deck embed; presenter control remains inside the extension's temporary session storage.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472"/>
        <w:sz w:val="17"/>
      </w:rPr>
      <w:t>PulseDeck Gamma Sync  |  28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472"/>
        <w:sz w:val="18"/>
      </w:rPr>
      <w:t>DFQI Part 1  |  Facilitator pilot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amma.app/docs/DFQI-Part-1-Session-1-Signal-or-Noise-PulseDeck-Live-Pilot-cy7x7cox38l68ru" TargetMode="External"/><Relationship Id="rId12" Type="http://schemas.openxmlformats.org/officeDocument/2006/relationships/hyperlink" Target="https://gamma.app/docs/DFQI-Part-1-Session-2-From-Metric-to-Chart-PulseDeck-Live-Pilot-dc0sfypwingbucz" TargetMode="External"/><Relationship Id="rId13" Type="http://schemas.openxmlformats.org/officeDocument/2006/relationships/hyperlink" Target="https://gamma.app/docs/DFQI-Part-1-Session-3-From-Chart-to-Boardroom-PulseDeck-Live-Pilo-f7h6h98pib25r7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DFQI Gamma + PulseDeck Facilitator Handoff</dc:title>
  <dc:subject>One-control live browser pilot and facilitator operating guide</dc:subject>
  <dc:creator>Ruavira Collective Inc.</dc:creator>
  <cp:keywords>DFQI, Gamma, PulseDeck, facilitator, live interaction</cp:keywords>
  <dc:description>generated by python-docx</dc:description>
  <cp:lastModifiedBy/>
  <cp:revision>1</cp:revision>
  <dcterms:created xsi:type="dcterms:W3CDTF">2013-12-23T23:15:00Z</dcterms:created>
  <dcterms:modified xsi:type="dcterms:W3CDTF">2013-12-23T23:15:00Z</dcterms:modified>
  <cp:category/>
</cp:coreProperties>
</file>