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b/>
          <w:color w:val="235A78"/>
          <w:sz w:val="20"/>
        </w:rPr>
        <w:t>RELAZIONE TECNICO-FUNZIONALE</w:t>
      </w:r>
    </w:p>
    <w:p>
      <w:pPr>
        <w:pStyle w:val="Title"/>
      </w:pPr>
      <w:r>
        <w:t>Journal Entry Testing</w:t>
        <w:br/>
        <w:t>AS-IS e proposta TO-BE</w:t>
      </w:r>
    </w:p>
    <w:p>
      <w:pPr>
        <w:pStyle w:val="Subtitle"/>
      </w:pPr>
      <w:r>
        <w:t>Valutazione dei 15 controlli richiesti per l’evoluzione da MVP a prodotto operativo</w:t>
      </w:r>
    </w:p>
    <w:p>
      <w:pPr>
        <w:spacing w:after="40"/>
      </w:pPr>
      <w:r>
        <w:rPr>
          <w:b/>
          <w:color w:val="183245"/>
        </w:rPr>
        <w:t xml:space="preserve">Destinatari: </w:t>
      </w:r>
      <w:r>
        <w:t>Partner, manager e responsabili del progetto</w:t>
      </w:r>
    </w:p>
    <w:p>
      <w:pPr>
        <w:spacing w:after="40"/>
      </w:pPr>
      <w:r>
        <w:rPr>
          <w:b/>
          <w:color w:val="183245"/>
        </w:rPr>
        <w:t xml:space="preserve">Perimetro: </w:t>
      </w:r>
      <w:r>
        <w:t>Analisi funzionale e metodologica; nessuna modifica al software</w:t>
      </w:r>
    </w:p>
    <w:p>
      <w:pPr>
        <w:spacing w:after="40"/>
      </w:pPr>
      <w:r>
        <w:rPr>
          <w:b/>
          <w:color w:val="183245"/>
        </w:rPr>
        <w:t xml:space="preserve">Base: </w:t>
      </w:r>
      <w:r>
        <w:t>ISA Italia 240 §33 e §A44; riferimento tecnico JET; codice Quadra attuale</w:t>
      </w:r>
    </w:p>
    <w:p>
      <w:pPr>
        <w:spacing w:after="40"/>
      </w:pPr>
      <w:r>
        <w:rPr>
          <w:b/>
          <w:color w:val="183245"/>
        </w:rPr>
        <w:t xml:space="preserve">Versione: </w:t>
      </w:r>
      <w:r>
        <w:t>1.0 — 10 settembre 2026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Messaggio decisionale</w:t>
            </w:r>
          </w:p>
          <w:p>
            <w:pPr>
              <w:spacing w:after="0" w:line="252" w:lineRule="auto"/>
            </w:pPr>
            <w:r>
              <w:t>L’MVP contiene una parte significativa dei controlli di preselezione, ma diversi requisiti richiesti sono assenti o implementati con una logica diversa. Prima dello sviluppo occorre approvare unità di analisi, soglie, punteggi, fonti dati e trattamento dei controlli non calcolabili.</w:t>
            </w:r>
          </w:p>
        </w:tc>
      </w:tr>
    </w:tbl>
    <w:p>
      <w:pPr>
        <w:spacing w:after="20"/>
      </w:pPr>
    </w:p>
    <w:p>
      <w:pPr>
        <w:pStyle w:val="Heading1"/>
      </w:pPr>
      <w:r>
        <w:t>Sintesi esecutiva</w:t>
      </w:r>
    </w:p>
    <w:p>
      <w:r>
        <w:t>Il JET attuale valuta prevalentemente singole righe del libro giornale. Ogni indicatore vero attribuisce un peso; la somma viene confrontata con la soglia “da investigare”. La selezione non certifica errore o frode: identifica registrazioni sulle quali svolgere follow-up documentale e professionale.</w:t>
      </w:r>
    </w:p>
    <w:p>
      <w:pPr>
        <w:pStyle w:val="ListBullet"/>
      </w:pPr>
      <w:r>
        <w:t>Già presenti e sostanzialmente coerenti: impatto sull’utile, oltre 10× la media, superamento della performance materiality, fuori orario, descrizione vuota, conto raro, sequenza numerica.</w:t>
      </w:r>
    </w:p>
    <w:p>
      <w:pPr>
        <w:pStyle w:val="ListBullet"/>
      </w:pPr>
      <w:r>
        <w:t>Presenti ma da correggere o ampliare: cifra tonda, weekend/festività, retrodatazione/fine periodo, utenti non autorizzati, keyword.</w:t>
      </w:r>
    </w:p>
    <w:p>
      <w:pPr>
        <w:pStyle w:val="ListBullet"/>
      </w:pPr>
      <w:r>
        <w:t>Assenti: cifre finali ripetute, seconda analisi strutturata dei sospetti, lunghezza anomala del conto, calendari multinazionali automatici, OCR della visura e incrocio con poteri/accessi.</w:t>
      </w:r>
    </w:p>
    <w:p>
      <w:pPr>
        <w:pStyle w:val="ListBullet"/>
      </w:pPr>
      <w:r>
        <w:t>Il test di sequenza e la successiva re-analisi non dovrebbero concorrere automaticamente al punteggio di rischio della singola riga.</w:t>
      </w:r>
    </w:p>
    <w:p>
      <w:pPr>
        <w:pStyle w:val="Heading2"/>
      </w:pPr>
      <w:r>
        <w:t>Decisioni richieste a partner e manager</w:t>
      </w:r>
    </w:p>
    <w:p>
      <w:pPr>
        <w:pStyle w:val="ListBullet"/>
      </w:pPr>
      <w:r>
        <w:t>Approvare se il JET debba selezionare righe, scritture complete o entrambe.</w:t>
      </w:r>
    </w:p>
    <w:p>
      <w:pPr>
        <w:pStyle w:val="ListBullet"/>
      </w:pPr>
      <w:r>
        <w:t>Approvare una matrice dei pesi e la regola per gli indicatori obbligatori indipendenti dal punteggio.</w:t>
      </w:r>
    </w:p>
    <w:p>
      <w:pPr>
        <w:pStyle w:val="ListBullet"/>
      </w:pPr>
      <w:r>
        <w:t>Stabilire chi è responsabile della validazione di calendario, utenti, parti correlate e data di chiusura.</w:t>
      </w:r>
    </w:p>
    <w:p>
      <w:pPr>
        <w:pStyle w:val="ListBullet"/>
      </w:pPr>
      <w:r>
        <w:t>Stabilire come documentare criteri non eseguibili per dati mancanti.</w:t>
      </w:r>
    </w:p>
    <w:p>
      <w:pPr>
        <w:pStyle w:val="ListBullet"/>
      </w:pPr>
      <w:r>
        <w:t>Separare l’analisi antifrode dai controlli di integrità e completezza della popolazione.</w:t>
      </w:r>
    </w:p>
    <w:p>
      <w:r>
        <w:br w:type="page"/>
      </w:r>
    </w:p>
    <w:p>
      <w:pPr>
        <w:pStyle w:val="Heading1"/>
      </w:pPr>
      <w:r>
        <w:t>1. Base normativa e metodo di valutazione</w:t>
      </w:r>
    </w:p>
    <w:p>
      <w:r>
        <w:t>L’ISA Italia 240 §33(a) richiede la verifica delle scritture contabili e delle rettifiche, con attenzione specifica alle registrazioni di fine periodo. Il §A44 fornisce caratteristiche di rischio — conti insoliti, autori inusuali, descrizioni scarse, importi tondi, operazioni infragruppo e fuori dal normale corso — ma non prescrive soglie numeriche o punteggi. Le formule quantitative derivano dal modello operativo NORDSON/BTI e dalle scelte progettuali di Quadra.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8F0F5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Principio di interpretazione</w:t>
            </w:r>
          </w:p>
          <w:p>
            <w:pPr>
              <w:spacing w:after="0" w:line="252" w:lineRule="auto"/>
            </w:pPr>
            <w:r>
              <w:t>Un indicatore vero significa “selezionare per approfondimento”, non “frode”. Un indicatore non calcolabile deve essere visibile come tale e non confuso con un risultato negativo.</w:t>
            </w:r>
          </w:p>
        </w:tc>
      </w:tr>
    </w:tbl>
    <w:p>
      <w:pPr>
        <w:spacing w:after="20"/>
      </w:pPr>
    </w:p>
    <w:p>
      <w:pPr>
        <w:pStyle w:val="Heading2"/>
      </w:pPr>
      <w:r>
        <w:t>Scala utilizzata nella relazione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860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Stato</w:t>
            </w:r>
          </w:p>
        </w:tc>
        <w:tc>
          <w:tcPr>
            <w:tcW w:type="dxa" w:w="78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Presente</w:t>
            </w:r>
          </w:p>
        </w:tc>
        <w:tc>
          <w:tcPr>
            <w:tcW w:type="dxa" w:w="78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Il controllo esiste e la logica richiesta è sostanzialmente disponibile.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Parziale/diverso</w:t>
            </w:r>
          </w:p>
        </w:tc>
        <w:tc>
          <w:tcPr>
            <w:tcW w:type="dxa" w:w="78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Esiste un controllo collegato, ma formula, perimetro o dati differiscono dal requisito.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Assente</w:t>
            </w:r>
          </w:p>
        </w:tc>
        <w:tc>
          <w:tcPr>
            <w:tcW w:type="dxa" w:w="78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 esiste oggi una logica che produca il risultato richiesto.</w:t>
            </w:r>
          </w:p>
        </w:tc>
      </w:tr>
    </w:tbl>
    <w:p>
      <w:pPr>
        <w:spacing w:after="20"/>
      </w:pPr>
    </w:p>
    <w:p>
      <w:pPr>
        <w:pStyle w:val="Heading1"/>
      </w:pPr>
      <w:r>
        <w:t>Matrice generale dei 15 controlli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00"/>
        <w:gridCol w:w="2100"/>
        <w:gridCol w:w="1400"/>
        <w:gridCol w:w="5760"/>
      </w:tblGrid>
      <w:tr>
        <w:trPr>
          <w:tblHeader w:val="true"/>
          <w:cantSplit/>
        </w:trPr>
        <w:tc>
          <w:tcPr>
            <w:tcW w:type="dxa" w:w="5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1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Stato attuale</w:t>
            </w:r>
          </w:p>
        </w:tc>
        <w:tc>
          <w:tcPr>
            <w:tcW w:type="dxa" w:w="14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Peso attuale</w:t>
            </w:r>
          </w:p>
        </w:tc>
        <w:tc>
          <w:tcPr>
            <w:tcW w:type="dxa" w:w="57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Intervento principale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Confermare formula e gestione utile nullo/perdita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Calcolare automaticamente la media assoluta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Importare/validare PM da Global Focus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  <w:tc>
          <w:tcPr>
            <w:tcW w:type="dxa" w:w="2100"/>
            <w:shd w:fill="FFF4D6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Parziale/diverso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Oggi divisibile per 10; definire 10.000/100.000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  <w:tc>
          <w:tcPr>
            <w:tcW w:type="dxa" w:w="2100"/>
            <w:shd w:fill="FFF4D6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Parziale/diverso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 + 1 oggi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Calendari per Paese assenti; data usata da chiarire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Default 08:00–18:00 configurabile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2100"/>
            <w:shd w:fill="FFF4D6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Parziale/diverso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 oggi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Manca finestra ultimi 5 giorni lavorativi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100"/>
            <w:shd w:fill="FFF4D6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Parziale/diverso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 oggi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Manca interruttore esplicito; dati spesso assenti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 oggi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Nel modello NORDSON valeva 4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opzionale/null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Definire 2–4 utilizzi e base annuale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11</w:t>
            </w:r>
          </w:p>
        </w:tc>
        <w:tc>
          <w:tcPr>
            <w:tcW w:type="dxa" w:w="2100"/>
            <w:shd w:fill="E6F3EA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Presente separato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Solo sequenze numeriche; regole per pagina/serie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210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Assente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da approvare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Definire pattern e soglia importo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13</w:t>
            </w:r>
          </w:p>
        </w:tc>
        <w:tc>
          <w:tcPr>
            <w:tcW w:type="dxa" w:w="210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Assente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Workflow di secondo livello, non nuovo rischio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14</w:t>
            </w:r>
          </w:p>
        </w:tc>
        <w:tc>
          <w:tcPr>
            <w:tcW w:type="dxa" w:w="210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Assente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da approvare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Validare rispetto ai formati ERP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2100"/>
            <w:shd w:fill="FFF4D6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Parziale + assente OCR</w:t>
            </w:r>
          </w:p>
        </w:tc>
        <w:tc>
          <w:tcPr>
            <w:tcW w:type="dxa" w:w="140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1 oggi keyword</w:t>
            </w:r>
          </w:p>
        </w:tc>
        <w:tc>
          <w:tcPr>
            <w:tcW w:type="dxa" w:w="5760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Separare keyword, visura, accessi e poteri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Analisi dettagliata dei controlli</w:t>
      </w:r>
    </w:p>
    <w:p>
      <w:pPr>
        <w:pStyle w:val="Heading2"/>
      </w:pPr>
      <w:r>
        <w:t>1. Impatto superiore al 10% dell’utile netto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6F3EA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PRESENTE. Peso iniziale attuale: 1.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Il sistema prende il valore assoluto della riga e lo confronta con il 10% del valore assoluto dell’utile netto dopo le imposte: |importo| &gt; 10% × |utile|. L’uguaglianza non attiva il flag.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Utile netto dopo imposte dello stesso periodo e importo netto correttamente normalizzato. Fonte: conto economico/bilancio di verifica e carta di lavoro di pianificazione.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“Impatto sull’utile”, incremento del punteggio e motivazione visibile nell’export.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Con utile nullo o molto basso il test diventa eccessivamente sensibile; con perdita usa il valore assoluto. Occorre prevedere un benchmark alternativo o una motivazione del revisore.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Mantenere il peso 1 come indicatore quantitativo, ma bloccare o qualificare il controllo quando l’utile non è un benchmark appropriato. Registrare fonte e periodo del valore inserito.</w:t>
      </w:r>
    </w:p>
    <w:p>
      <w:pPr>
        <w:pStyle w:val="Heading2"/>
      </w:pPr>
      <w:r>
        <w:t>2. Importi superiori a 10 volte la media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PRESENTE, CON MIGLIORIA NECESSARIA. Peso iniziale attuale: 1.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Confronta |importo della riga| con 10 × |valore medio registrazione|. Il valore medio è oggi inserito manualmente.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Popolazione completa del giornale, dopo pulizia e gestione duplicati. La media consigliata è somma degli importi assoluti divisa per numero di righe; non la media algebrica, che può annullarsi tra Dare e Avere.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“&gt;10× media” sulle righe eccezionalmente grandi rispetto alla popolazione.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La media manuale non è riproducibile; inoltre una media per riga può non rappresentare il valore della scrittura completa e risente fortemente degli outlier.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Calcolo automatico e tracciato; mostrare numeratore, denominatore e metodo. Valutare anche media/mediana per tipo documento o conto, senza sostituire la regola approvata.</w:t>
      </w:r>
    </w:p>
    <w:p>
      <w:pPr>
        <w:pStyle w:val="Heading2"/>
      </w:pPr>
      <w:r>
        <w:t>3. Superamento della materialità da Global Focus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 PER LA PERFORMANCE MATERIALITY. Peso iniziale attuale: 1.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Il sistema confronta |importo| con la performance materiality (PM). La casella “materialità di bilancio” è salvata ma non alimenta alcun controllo.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Performance materiality approvata per società, esercizio e perimetro. Fonte prevista: file Materiality/Global Focus, con verifica del valore, valuta, versione e data di approvazione.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“Oltre performance materiality” e incremento del punteggio.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Non esiste importazione diretta o riconciliazione con Global Focus. “Materialità complessiva” e “PM” non devono essere confuse. La PM potrebbe variare per area o componente.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Prevedere caricamento del file o inserimento manuale con evidenza della fonte; richiedere conferma esplicita di valuta e periodo. Mantenere peso 1 salvo diversa metodologia approvata.</w:t>
      </w:r>
    </w:p>
    <w:p>
      <w:pPr>
        <w:pStyle w:val="Heading2"/>
      </w:pPr>
      <w:r>
        <w:t>4. Cifre tonde divisibili per 10.000 o 100.000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 MA CON FORMULA DIVERSA. Peso iniziale attuale: 1.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Oggi una riga è “tonda” se |importo| è divisibile per 10. Quindi anche 20 o 150 vengono segnalati.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Importo netto; eventuale soglia minima; valuta della registrazione. Se vi sono più valute, il multiplo deve essere interpretato nella valuta della riga o dopo conversione definita.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Distinguere almeno “multiplo di 10.000” e “multiplo di 100.000”, mostrando quale regola è scattata.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Il requisito proposto non coincide con il codice. Non è chiaro se 100.000 debba attivare entrambi i flag o solo quello più significativo, né come gestire decimali/valute.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Parametri configurabili 10.000 e 100.000; un solo indicatore con livello massimo raggiunto per evitare doppio conteggio. Peso suggerito da sottoporre ad approvazione: 1, con soglia minima e motivazione.</w:t>
      </w:r>
    </w:p>
    <w:p>
      <w:pPr>
        <w:pStyle w:val="Heading2"/>
      </w:pPr>
      <w:r>
        <w:t>5. Weekend e festività per Paese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PARZIALE. Oggi due criteri distinti, peso iniziale 1 ciascuno.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Weekend: verifica se la data effettiva cade nei giorni configurati. Festività: verifica se la data effettiva è nell’elenco inserito manualmente.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Paese/sede applicabile alla società, calendario annuale, festività nazionali e locali, chiusure aziendali. Per Italia, Germania, Francia e Spagna occorre gestire anche festività regionali/locali.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separati “weekend” e “festività”, con Paese/calendario e festività che ha causato la selezione.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Non esiste libreria/calendario automatico. Il codice usa la data effettiva: per sapere quando l’utente ha operato sarebbe normalmente più pertinente la data di creazione.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Calendari versionati interni o libreria affidabile, con override cliente. Usare data creazione per attività fuori giorno lavorativo e, se utile, mantenere un indicatore distinto sulla data effettiva. Peso 1 ciascuno; evitare di contare due volte sabato che coincida con festività, salvo scelta esplicita.</w:t>
      </w:r>
    </w:p>
    <w:p>
      <w:pPr>
        <w:pStyle w:val="Heading2"/>
      </w:pPr>
      <w:r>
        <w:t>6. Registrazioni prima delle 08:00 o dopo le 18:00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6F3EA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PRESENTE. Peso iniziale attuale: 1.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Confronta l’ora di creazione con inizio e fine configurati. Gli estremi sono inclusi: 08:00 e 18:00 non scattano; 07:59 e 18:01 scattano.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Ora tecnica di creazione, fuso orario, orario ordinario della società e indicazione di account batch/turnisti.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“Fuori orario” con ora rilevata e fascia applicata.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Non esiste oggi un default obbligatorio 08:00–18:00; è inserito dall’utente. Mancano fuso orario, turni, periodi di closing e orari diversi per sede.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Proporre 08:00–18:00 come default modificabile, mai come regola normativa. Escludere o classificare separatamente batch; conservare sempre la fascia utilizzata nel risultato.</w:t>
      </w:r>
    </w:p>
    <w:p>
      <w:pPr>
        <w:pStyle w:val="Heading2"/>
      </w:pPr>
      <w:r>
        <w:t>7. Retrodatazione e ultimi 5 giorni lavorativi di chiusura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PARZIALE; CONTROLLO DI FINE PERIODO ASSENTE. Peso iniziale attuale: 1. Nel modello NORDSON il backdating valeva 4.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Retrodatazione: data creazione − data effettiva ≥ soglia configurata. Non esiste un controllo sugli ultimi cinque giorni lavorativi prima della chiusura.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Data effettiva, data/ora creazione, data di chiusura (default 31/12 modificabile), calendario lavorativo della società, data eventuale riapertura e tipo di scrittura.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Due esiti distinti: A) “retrodatata oltre N giorni”; B) “scrittura nella finestra di closing”, calcolata sugli ultimi 5 giorni lavorativi rispetto alla data di chiusura configurata. Opportuno includere anche scritture create dopo la chiusura con competenza precedente.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La richiesta combina due rischi diversi. La finestra di chiusura è un sottoinsieme da esaminare per disposizione ISA e non dovrebbe dipendere solo da un punteggio aggregato.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Separare i controlli. Retrodatazione: peso forte da approvare (coerente con NORDSON: 4). Finestra closing: inclusione obbligatoria nel perimetro o lista dedicata, senza affidarsi al solo punteggio. Data default 31/12, sempre modificabile e documentata.</w:t>
      </w:r>
    </w:p>
    <w:p>
      <w:pPr>
        <w:pStyle w:val="Heading2"/>
      </w:pPr>
      <w:r>
        <w:t>8. Utenti non autorizzati con possibilità di disattivazione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PARZIALE. Peso iniziale attuale: 1; nel modello NORDSON valeva 4.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Se esiste una whitelist, segnala l’utente non presente. Gli utenti di sistema sono esclusi dal giudizio. Se lista o utente mancano, il flag è non calcolabile.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User ID dell’export, matrice ruoli/autorizzazioni, elenco account tecnici, periodo di validità degli accessi.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Modalità attiva/disattiva/non calcolabile, con motivazione. Se attivo, elenco degli utenti non autorizzati e delle relative scritture.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Non esiste un interruttore esplicito; lasciare la lista vuota non equivale metodologicamente a disattivare il test. Una whitelist generale non identifica utenti autorizzati ma inusuali per quel processo.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Aggiungere stato del controllo: Attivo / Non applicabile / Dato non disponibile, con motivazione obbligatoria. Se attivo, peso forte 4 da sottoporre ad approvazione. Non trasformare l’assenza dei dati in esito negativo.</w:t>
      </w:r>
    </w:p>
    <w:p>
      <w:pPr>
        <w:pStyle w:val="Heading2"/>
      </w:pPr>
      <w:r>
        <w:t>9. Righe vuote o senza descrizione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6F3EA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 PER LA DESCRIZIONE VUOTA. Peso iniziale attuale: 1; nel modello NORDSON valeva 4.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La descrizione assente o composta solo da spazi attiva il flag. Il sistema non valuta righe completamente vuote, che normalmente vengono eliminate o causano problemi di importazione.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Descrizione/causale di riga; idealmente anche testo di testata.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“Descrizione vuota”; lista delle scritture prive di spiegazione.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Non intercetta descrizioni scarse ma presenti, quali “giroconto”, “rettifica”, “varie” o “adj”. Va chiarito se “riga vuota” significhi riga fisica dell’export oppure causale vuota.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Mantenere descrizione vuota come rischio forte (peso 4 coerente con NORDSON, da approvare). Aggiungere separatamente “descrizione scarsa/generica”, con dizionario configurabile e revisione dei falsi positivi.</w:t>
      </w:r>
    </w:p>
    <w:p>
      <w:pPr>
        <w:pStyle w:val="Heading2"/>
      </w:pPr>
      <w:r>
        <w:t>10. Conto insolito o raro usato 2–4 volte all’anno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PRESENTE, MA LA SOGLIA VA DEFINITA. Peso opzionale attuale: non impostato; quindi il flag può esistere senza punti.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Conta le righe per conto nella popolazione caricata e segnala frequenza &lt; soglia. Con soglia 5 intercetta 1–4 utilizzi; non 0, perché un conto mai usato non compare nel giornale.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Codice conto, popolazione dell’intero anno, piano dei conti e preferibilmente storico precedente.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Frequenza osservata, soglia applicata e flag conto raro.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“Da 2 a 4” escluderebbe i conti usati una sola volta, che sono potenzialmente ancora più rari. Il calcolo attuale conta righe, non scritture, e un caricamento trimestrale non rappresenta l’anno.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Definire “da 1 a 4 utilizzi nell’intero esercizio” oppure motivare l’esclusione della frequenza 1. Contare scritture/documenti distinti oltre alle righe. Peso proposto da approvare: 4 per un segnale direttamente collegato all’ISA, con analisi storica quando disponibile.</w:t>
      </w:r>
    </w:p>
    <w:p>
      <w:pPr>
        <w:pStyle w:val="Heading2"/>
      </w:pPr>
      <w:r>
        <w:t>11. Test di sequenza numerica e controllo per pagina/serie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6F3EA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PRESENTE PER NUMERI PURAMENTE NUMERICI. Nessun punteggio: controllo separato.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Ordina i numeri documento numerici, elimina duplicati e identifica i valori mancanti. Intervalli oltre 10.000 mancanti vengono riepilogati senza enumerazione.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Numero protocollo reale, regole di numerazione, società, esercizio, sezionale/tipo documento. Per PDF bollato: numero pagina estratto e totale pagine.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Elenco gap per serie, più eventuali pagine mancanti/duplicate nel documento.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Le serie alfanumeriche sono escluse; serie diverse mescolate creano falsi gap. Il controllo pagina PDF non esiste. Un numero mancante può essere annullato legittimamente.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Mantenere fuori dal punteggio. Configurare serie e reset; richiedere evidenza per numeri annullati. Aggiungere controllo pagine solo per documenti con numerazione attendibile e distinguere completezza del file da completezza contabile.</w:t>
      </w:r>
    </w:p>
    <w:p>
      <w:pPr>
        <w:pStyle w:val="Heading2"/>
      </w:pPr>
      <w:r>
        <w:t>12. Cifre finali ripetute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BE8E7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ASSENTE. Nessun peso attuale; da approvare.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Non esiste un controllo dedicato. La divisibilità per 10 non intercetta correttamente finali come 77 o 99.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Importo nella valuta originale e numero di decimali. Occorre definire se analizzare parte intera, centesimi o stringa normalizzata.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e pattern rilevato, ad esempio ultime due cifre intere uguali (…77) o centesimi ripetuti (…,99). L’esempio 86.514,99 sarebbe rilevato per i centesimi 99.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La definizione “e così via” è troppo ampia: 77 può essere un importo intero o una terminazione; molti prezzi legittimi finiscono in ,99. Senza soglia minima si generano numerosi falsi positivi.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Approvare pattern separati: ultime 2/3 cifre intere ripetute; centesimi 00/11/22…99; sequenze ripetute. Applicare una soglia minima e un peso basso 1, salvo combinazione con altri segnali.</w:t>
      </w:r>
    </w:p>
    <w:p>
      <w:pPr>
        <w:pStyle w:val="Heading2"/>
      </w:pPr>
      <w:r>
        <w:t>13. Seconda analisi limitata ai dati sospetti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ASSENTE COME FASE AUTONOMA. Nessun punteggio aggiuntivo.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Il sistema consente di filtrare ed esportare le righe “da investigare”, ma non esegue un secondo motore analitico su tale sottoinsieme.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Risultati della prima fase, scrittura completa, documenti di supporto, esito delle verifiche e motivazioni.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Coda di casi: raggruppamento per scrittura, ranking del rischio, confronto con scritture simili, richiesta evidenze, conclusione preparer/reviewer e tracciamento degli override.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Rieseguire le stesse regole sul sottoinsieme non aggiunge informazione e altera le distribuzioni (media/frequenze). Il sottoinsieme non deve diventare la nuova popolazione statistica.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Realizzare un workflow di secondo livello, non un semplice rerun: mantenere le metriche della popolazione originale, arricchire le scritture selezionate e registrare esito finale (giustificata, errore, rettifica, escalation).</w:t>
      </w:r>
    </w:p>
    <w:p>
      <w:pPr>
        <w:pStyle w:val="Heading2"/>
      </w:pPr>
      <w:r>
        <w:t>14. Numero di conto superiore a 10 caratteri/cifre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BE8E7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ASSENTE. Nessun peso attuale; da approvare.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Il conto è conservato come testo ma la lunghezza non viene validata.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Codice conto grezzo e specifica del piano dei conti/ERP. Va deciso se contare solo cifre o tutti i caratteri, escludendo spazi, separatori e prefissi legittimi.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Flag “formato conto anomalo”, lunghezza osservata e regola prevista per quella società.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Più di 10 caratteri non è universalmente anomalo: alcuni ERP usano segmenti, centri di costo concatenati o codici alfanumerici. Una regola globale produrrebbe falsi positivi.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Trasformarlo in validazione configurabile del formato conto (regex/lunghezza/lookup nel piano dei conti), non in regola universale. Preferire “conto inesistente nel piano dei conti”. Peso basso 1 o controllo di qualità dati separato, da approvare.</w:t>
      </w:r>
    </w:p>
    <w:p>
      <w:pPr>
        <w:pStyle w:val="Heading2"/>
      </w:pPr>
      <w:r>
        <w:t>15. Keyword variabili, visura e soggetti con poteri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FFF4D6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Stato</w:t>
            </w:r>
          </w:p>
          <w:p>
            <w:pPr>
              <w:spacing w:after="0" w:line="252" w:lineRule="auto"/>
            </w:pPr>
            <w:r>
              <w:t>KEYWORD PRESENTI; LIBRERIA STANDARD E OCR VISURA ASSENTI. Keyword: peso iniziale attuale 1; nel modello NORDSON valevano 4. OCR: nessun peso.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b/>
          <w:color w:val="235A78"/>
        </w:rPr>
        <w:t xml:space="preserve">Comportamento attuale: </w:t>
      </w:r>
      <w:r>
        <w:t>Il sistema cerca nella descrizione parole configurate manualmente, senza distinzione maiuscole/minuscole. Esiste anche una lista di conti infragruppo. Non carica né analizza la visura.</w:t>
      </w:r>
    </w:p>
    <w:p>
      <w:pPr>
        <w:spacing w:after="60"/>
      </w:pPr>
      <w:r>
        <w:rPr>
          <w:b/>
          <w:color w:val="235A78"/>
        </w:rPr>
        <w:t xml:space="preserve">Dati e fonte: </w:t>
      </w:r>
      <w:r>
        <w:t>Dizionario standard versionato, termini cliente, elenco parti correlate; visura aggiornata; nomi, codici fiscali, cariche e poteri; matrice degli accessi al gestionale e user ID.</w:t>
      </w:r>
    </w:p>
    <w:p>
      <w:pPr>
        <w:spacing w:after="60"/>
      </w:pPr>
      <w:r>
        <w:rPr>
          <w:b/>
          <w:color w:val="235A78"/>
        </w:rPr>
        <w:t xml:space="preserve">Risultato atteso: </w:t>
      </w:r>
      <w:r>
        <w:t>Tre livelli separati: A) keyword di rischio nella causale; B) nominativi/cariche estratti dalla visura con conferma umana; C) incrocio tra persone, user ID, autorizzazioni e scritture. Ogni match deve mostrare origine e grado di affidabilità.</w:t>
      </w:r>
    </w:p>
    <w:p>
      <w:pPr>
        <w:spacing w:after="60"/>
      </w:pPr>
      <w:r>
        <w:rPr>
          <w:b/>
          <w:color w:val="235A78"/>
        </w:rPr>
        <w:t xml:space="preserve">Gap e rischi: </w:t>
      </w:r>
      <w:r>
        <w:t>La visura dimostra cariche e poteri legali, non chi abbia accesso tecnico o chi possa materialmente manomettere il giornale. L’OCR può sbagliare nomi e ruoli. Parole generiche sulla frode producono molti falsi positivi; non serve necessariamente una libreria esterna.</w:t>
      </w:r>
    </w:p>
    <w:p>
      <w:pPr>
        <w:spacing w:after="60"/>
      </w:pPr>
      <w:r>
        <w:rPr>
          <w:b/>
          <w:color w:val="235A78"/>
        </w:rPr>
        <w:t xml:space="preserve">Comportamento TO-BE proposto: </w:t>
      </w:r>
      <w:r>
        <w:t>Creare un dizionario interno approvato e modificabile, con categorie (rettifica, override, urgenza, parti correlate, closing). OCR locale della visura con revisione obbligatoria campo per campo. Incrociare poi con accessi IT; mai etichettare automaticamente una persona come sospetta. Pesi distinti: keyword contestuale da approvare; match persona+utente non deve essere conclusivo senza evidenze.</w:t>
      </w:r>
    </w:p>
    <w:p>
      <w:r>
        <w:br w:type="page"/>
      </w:r>
    </w:p>
    <w:p>
      <w:pPr>
        <w:pStyle w:val="Heading1"/>
      </w:pPr>
      <w:r>
        <w:t>3. Architettura funzionale proposta</w:t>
      </w:r>
    </w:p>
    <w:p>
      <w:r>
        <w:t>Per trasformare l’MVP in prodotto finito è utile separare le verifiche in livelli. In questo modo i risultati restano interpretabili e i controlli di completezza non vengono confusi con gli indicatori di frode.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7160"/>
      </w:tblGrid>
      <w:tr>
        <w:trPr>
          <w:tblHeader w:val="true"/>
          <w:cantSplit/>
        </w:trPr>
        <w:tc>
          <w:tcPr>
            <w:tcW w:type="dxa" w:w="26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1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1. Qualità e completezza input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Mappatura, formati, conti validi, quadratura Dare/Avere, sequenza, pagine e riconciliazione al bilancio di verifica.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2. Profilazione della popolazione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Frequenze per conto/utente/tipo, valori medi, periodo coperto, valute, serie numeriche e completezza dei metadati.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3. Screening di rischio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Applicazione dei controlli approvati a righe e scritture complete, mantenendo esiti vero/falso/non calcolabile.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4. Finestra di closing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Selezione dedicata degli ultimi cinque giorni lavorativi e delle scritture create dopo la data di chiusura con competenza precedente.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5. Second-level review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Raggruppamento dei sospetti, richiesta documenti, spiegazioni, autorizzazioni e conclusioni con doppia revisione.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6. Reporting e audit trail</w:t>
            </w:r>
          </w:p>
        </w:tc>
        <w:tc>
          <w:tcPr>
            <w:tcW w:type="dxa" w:w="71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Parametri, fonti, versione delle regole, eccezioni, override, preparer/reviewer, timestamp ed export riproducibile.</w:t>
            </w:r>
          </w:p>
        </w:tc>
      </w:tr>
    </w:tbl>
    <w:p>
      <w:pPr>
        <w:spacing w:after="20"/>
      </w:pPr>
    </w:p>
    <w:p>
      <w:pPr>
        <w:pStyle w:val="Heading2"/>
      </w:pPr>
      <w:r>
        <w:t>Regola di scoring raccomandata</w:t>
      </w:r>
    </w:p>
    <w:p>
      <w:r>
        <w:t>La seguente impostazione è una proposta per discussione, non una prescrizione normativa né una decisione già approvata:</w:t>
      </w:r>
    </w:p>
    <w:p>
      <w:pPr>
        <w:pStyle w:val="ListBullet"/>
      </w:pPr>
      <w:r>
        <w:t>Indicatori deboli/contestuali: peso 1 (dimensione relativa, cifra tonda, weekend, fuori orario, cifre ripetute).</w:t>
      </w:r>
    </w:p>
    <w:p>
      <w:pPr>
        <w:pStyle w:val="ListBullet"/>
      </w:pPr>
      <w:r>
        <w:t>Indicatori forti: peso 4 solo se sorretti da dati affidabili (retrodatazione significativa, utente non autorizzato, descrizione vuota, parte correlata/conto raro secondo metodologia).</w:t>
      </w:r>
    </w:p>
    <w:p>
      <w:pPr>
        <w:pStyle w:val="ListBullet"/>
      </w:pPr>
      <w:r>
        <w:t>Controlli di completezza e qualità: nessun punteggio; esito separato bloccante o di eccezione.</w:t>
      </w:r>
    </w:p>
    <w:p>
      <w:pPr>
        <w:pStyle w:val="ListBullet"/>
      </w:pPr>
      <w:r>
        <w:t>Scritture di closing: popolazione dedicata obbligatoria, indipendente dalla soglia aggregata.</w:t>
      </w:r>
    </w:p>
    <w:p>
      <w:pPr>
        <w:pStyle w:val="ListBullet"/>
      </w:pPr>
      <w:r>
        <w:t>Non calcolabile: non assegna punti, ma deve generare un’avvertenza di copertura e comparire nel report.</w:t>
      </w:r>
    </w:p>
    <w:p>
      <w:pPr>
        <w:pStyle w:val="Heading2"/>
      </w:pPr>
      <w:r>
        <w:t>Dati minimi richiesti al cliente</w:t>
      </w:r>
    </w:p>
    <w:p>
      <w:pPr>
        <w:pStyle w:val="ListBullet"/>
      </w:pPr>
      <w:r>
        <w:t>Libro giornale completo con ID scrittura, numero documento, data effettiva, data/ora creazione, utente, conto, Dare/Avere, valuta e descrizione.</w:t>
      </w:r>
    </w:p>
    <w:p>
      <w:pPr>
        <w:pStyle w:val="ListBullet"/>
      </w:pPr>
      <w:r>
        <w:t>Piano dei conti e bilanci di verifica iniziale/finale.</w:t>
      </w:r>
    </w:p>
    <w:p>
      <w:pPr>
        <w:pStyle w:val="ListBullet"/>
      </w:pPr>
      <w:r>
        <w:t>Materialità e performance materiality approvate, con valuta e periodo.</w:t>
      </w:r>
    </w:p>
    <w:p>
      <w:pPr>
        <w:pStyle w:val="ListBullet"/>
      </w:pPr>
      <w:r>
        <w:t>Calendario lavorativo, Paese/sede, data di chiusura e policy di closing.</w:t>
      </w:r>
    </w:p>
    <w:p>
      <w:pPr>
        <w:pStyle w:val="ListBullet"/>
      </w:pPr>
      <w:r>
        <w:t>Matrice utenti/ruoli, account tecnici e storico delle autorizzazioni.</w:t>
      </w:r>
    </w:p>
    <w:p>
      <w:pPr>
        <w:pStyle w:val="ListBullet"/>
      </w:pPr>
      <w:r>
        <w:t>Elenco parti correlate, conti infragruppo, visura aggiornata e struttura del gruppo.</w:t>
      </w:r>
    </w:p>
    <w:p>
      <w:pPr>
        <w:pStyle w:val="Heading2"/>
      </w:pPr>
      <w:r>
        <w:t>Requisiti di governo</w:t>
      </w:r>
    </w:p>
    <w:p>
      <w:pPr>
        <w:pStyle w:val="ListBullet"/>
      </w:pPr>
      <w:r>
        <w:t>Versionare parametri, dizionari, calendari e regole; nessuna soglia nascosta.</w:t>
      </w:r>
    </w:p>
    <w:p>
      <w:pPr>
        <w:pStyle w:val="ListBullet"/>
      </w:pPr>
      <w:r>
        <w:t>Richiedere motivazione per disattivare un controllo o accettare un dato mancante.</w:t>
      </w:r>
    </w:p>
    <w:p>
      <w:pPr>
        <w:pStyle w:val="ListBullet"/>
      </w:pPr>
      <w:r>
        <w:t>Conservare l’origine di ogni riga e non alterare i documenti del cliente.</w:t>
      </w:r>
    </w:p>
    <w:p>
      <w:pPr>
        <w:pStyle w:val="ListBullet"/>
      </w:pPr>
      <w:r>
        <w:t>Prevedere revisione umana dell’OCR e delle corrispondenze nominative.</w:t>
      </w:r>
    </w:p>
    <w:p>
      <w:pPr>
        <w:pStyle w:val="ListBullet"/>
      </w:pPr>
      <w:r>
        <w:t>Proteggere visure, nomi, user ID e dati contabili con accessi, retention e log coerenti con la policy dello studio.</w:t>
      </w:r>
    </w:p>
    <w:p>
      <w:pPr>
        <w:pStyle w:val="Heading1"/>
      </w:pPr>
      <w:r>
        <w:t>4. Priorità di sviluppo proposta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7460"/>
      </w:tblGrid>
      <w:tr>
        <w:trPr>
          <w:tblHeader w:val="true"/>
          <w:cantSplit/>
        </w:trPr>
        <w:tc>
          <w:tcPr>
            <w:tcW w:type="dxa" w:w="23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Priorità</w:t>
            </w:r>
          </w:p>
        </w:tc>
        <w:tc>
          <w:tcPr>
            <w:tcW w:type="dxa" w:w="74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P0 — metodologia</w:t>
            </w:r>
          </w:p>
        </w:tc>
        <w:tc>
          <w:tcPr>
            <w:tcW w:type="dxa" w:w="7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Unità riga/scrittura; pesi; soglia; closing obbligatorio; definizioni di data, media e conto raro.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P1 — affidabilità</w:t>
            </w:r>
          </w:p>
        </w:tc>
        <w:tc>
          <w:tcPr>
            <w:tcW w:type="dxa" w:w="7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Media automatica; calendario per Paese; data chiusura; toggle utenti; cifra tonda 10k/100k; esiti non calcolabili.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P2 — integrità</w:t>
            </w:r>
          </w:p>
        </w:tc>
        <w:tc>
          <w:tcPr>
            <w:tcW w:type="dxa" w:w="7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Quadratura Dare/Avere, piano dei conti, serie numeriche/pagine, riconciliazione al bilancio di verifica.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P3 — approfondimento</w:t>
            </w:r>
          </w:p>
        </w:tc>
        <w:tc>
          <w:tcPr>
            <w:tcW w:type="dxa" w:w="7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Cifre ripetute, dizionario keyword, workflow sospetti, dossier e audit trail.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P4 — document intelligence</w:t>
            </w:r>
          </w:p>
        </w:tc>
        <w:tc>
          <w:tcPr>
            <w:tcW w:type="dxa" w:w="7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OCR visura, conferma umana, mapping persone–user ID–accessi e controlli privacy.</w:t>
            </w:r>
          </w:p>
        </w:tc>
      </w:tr>
    </w:tbl>
    <w:p>
      <w:pPr>
        <w:spacing w:after="20"/>
      </w:pPr>
    </w:p>
    <w:p>
      <w:pPr>
        <w:pStyle w:val="Heading2"/>
      </w:pPr>
      <w:r>
        <w:t>Criteri di accettazione del prodotto</w:t>
      </w:r>
    </w:p>
    <w:p>
      <w:pPr>
        <w:pStyle w:val="ListBullet"/>
      </w:pPr>
      <w:r>
        <w:t>Ogni risultato mostra valore osservato, soglia, formula, peso, fonte e motivazione.</w:t>
      </w:r>
    </w:p>
    <w:p>
      <w:pPr>
        <w:pStyle w:val="ListBullet"/>
      </w:pPr>
      <w:r>
        <w:t>La stessa popolazione e configurazione producono lo stesso risultato ripetibile.</w:t>
      </w:r>
    </w:p>
    <w:p>
      <w:pPr>
        <w:pStyle w:val="ListBullet"/>
      </w:pPr>
      <w:r>
        <w:t>I controlli non eseguiti sono conteggiati e visibili.</w:t>
      </w:r>
    </w:p>
    <w:p>
      <w:pPr>
        <w:pStyle w:val="ListBullet"/>
      </w:pPr>
      <w:r>
        <w:t>I risultati sono disponibili sia per riga sia per scrittura completa.</w:t>
      </w:r>
    </w:p>
    <w:p>
      <w:pPr>
        <w:pStyle w:val="ListBullet"/>
      </w:pPr>
      <w:r>
        <w:t>La finestra di closing è sempre analizzata e documentata.</w:t>
      </w:r>
    </w:p>
    <w:p>
      <w:pPr>
        <w:pStyle w:val="ListBullet"/>
      </w:pPr>
      <w:r>
        <w:t>Il revisore può concludere e il reviewer può approvare o riaprire il caso.</w:t>
      </w:r>
    </w:p>
    <w:p>
      <w:r>
        <w:br w:type="page"/>
      </w:r>
    </w:p>
    <w:p>
      <w:pPr>
        <w:pStyle w:val="Heading1"/>
      </w:pPr>
      <w:r>
        <w:t>5. Conclusioni per l’approvazione</w:t>
      </w:r>
    </w:p>
    <w:p>
      <w:r>
        <w:t>Il nucleo dell’MVP è valido come strumento di screening, ma non è ancora sufficiente per qualificare il JET come prodotto completo e metodologicamente autosufficiente. Sette requisiti sono presenti in forma sostanziale, cinque sono parziali o diversi dalla richiesta e tre sono assenti come funzionalità autonome; inoltre alcune voci combinate richiedono una separazione concettuale.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60"/>
      </w:tblGrid>
      <w:tr>
        <w:trPr>
          <w:tblHeader w:val="true"/>
          <w:cantSplit/>
        </w:trPr>
        <w:tc>
          <w:tcPr>
            <w:tcW w:type="dxa" w:w="9760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  <w:shd w:fill="E6F3EA"/>
          </w:tcPr>
          <w:p>
            <w:pPr>
              <w:spacing w:after="40"/>
            </w:pPr>
            <w:r/>
            <w:r>
              <w:rPr>
                <w:b/>
                <w:color w:val="183245"/>
              </w:rPr>
              <w:t>Raccomandazione</w:t>
            </w:r>
          </w:p>
          <w:p>
            <w:pPr>
              <w:spacing w:after="0" w:line="252" w:lineRule="auto"/>
            </w:pPr>
            <w:r>
              <w:t>Approvare prima la metodologia e il dizionario dei controlli; solo dopo avviare lo sviluppo. La priorità non è aggiungere il maggior numero possibile di flag, ma garantire che ciascun risultato sia riproducibile, motivato e collegato a dati verificabili.</w:t>
            </w:r>
          </w:p>
        </w:tc>
      </w:tr>
    </w:tbl>
    <w:p>
      <w:pPr>
        <w:spacing w:after="20"/>
      </w:pPr>
    </w:p>
    <w:p>
      <w:pPr>
        <w:pStyle w:val="Heading2"/>
      </w:pPr>
      <w:r>
        <w:t>Delibere suggerite</w:t>
      </w:r>
    </w:p>
    <w:p>
      <w:pPr>
        <w:pStyle w:val="ListBullet"/>
      </w:pPr>
      <w:r>
        <w:t>Approvazione del perimetro dei 15 controlli, con separazione tra rischio, qualità dati e completezza.</w:t>
      </w:r>
    </w:p>
    <w:p>
      <w:pPr>
        <w:pStyle w:val="ListBullet"/>
      </w:pPr>
      <w:r>
        <w:t>Approvazione dei pesi e dei controlli obbligatori indipendenti dal punteggio.</w:t>
      </w:r>
    </w:p>
    <w:p>
      <w:pPr>
        <w:pStyle w:val="ListBullet"/>
      </w:pPr>
      <w:r>
        <w:t>Approvazione dei valori di default, lasciandoli modificabili e documentati per cliente.</w:t>
      </w:r>
    </w:p>
    <w:p>
      <w:pPr>
        <w:pStyle w:val="ListBullet"/>
      </w:pPr>
      <w:r>
        <w:t>Nomina del responsabile metodologico e del responsabile della validazione tecnica.</w:t>
      </w:r>
    </w:p>
    <w:p>
      <w:pPr>
        <w:pStyle w:val="ListBullet"/>
      </w:pPr>
      <w:r>
        <w:t>Avvio dello sviluppo secondo priorità P0–P4 e test su dati sintetici seguiti da validazione controllata su un caso reale.</w:t>
      </w:r>
    </w:p>
    <w:p>
      <w:pPr>
        <w:pStyle w:val="Heading1"/>
      </w:pPr>
      <w:r>
        <w:t>6. Fonti e tracciabilità</w:t>
      </w:r>
    </w:p>
    <w:tbl>
      <w:tblPr>
        <w:tblStyle w:val="TableGrid"/>
        <w:tblW w:type="dxa" w:w="97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300"/>
        <w:gridCol w:w="6460"/>
      </w:tblGrid>
      <w:tr>
        <w:trPr>
          <w:tblHeader w:val="true"/>
          <w:cantSplit/>
        </w:trPr>
        <w:tc>
          <w:tcPr>
            <w:tcW w:type="dxa" w:w="330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646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235A7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Utilizzo nella relazione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ISA Italia 240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§33(a), §A38, §A43, §A44 e §A45, come riportati nel documento di studio fornito.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JET_libro_giornale_fondamento_normativo.pdf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Documento di studio preliminare, 9 settembre 2026, 5 pagine.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00_riferimento_tecnico.md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Sintesi della pipeline NORDSON/BTI, criteri, pesi e gap sul conto contabile.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 — backend/jet/models.py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Contratti dati e parametri attualmente disponibili.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 — backend/jet/criteri.py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Formule e calcolo effettivo dei flag/punteggi.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 — backend/jet/sequenza.py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attuale dei protocolli numerici mancanti.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 — ui/src/jet/JetDashboard.tsx</w:t>
            </w:r>
          </w:p>
        </w:tc>
        <w:tc>
          <w:tcPr>
            <w:tcW w:type="dxa" w:w="6460"/>
            <w:shd w:fill="FBE8E7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Caselle, pesi iniziali e soglia esposti oggi nell’interfaccia.</w:t>
            </w:r>
          </w:p>
        </w:tc>
      </w:tr>
    </w:tbl>
    <w:p>
      <w:pPr>
        <w:spacing w:after="20"/>
      </w:pPr>
    </w:p>
    <w:p>
      <w:r>
        <w:t>Nota: la relazione descrive lo stato osservato del progetto alla data indicata. I punteggi proposti sono raccomandazioni da sottoporre ad approvazione professionale; l’ISA Italia 240 non prescrive valori numerici specifici.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973"/>
        <w:sz w:val="16"/>
      </w:rPr>
      <w:t>Documento per approvazione progettuale  •  10 settembre 2026</w:t>
    </w:r>
  </w:p>
  <w:p>
    <w:pPr>
      <w:jc w:val="right"/>
    </w:pPr>
    <w: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973"/>
        <w:sz w:val="16"/>
      </w:rPr>
      <w:t>QUADRA  |  JET — RELAZIONE AS-IS / TO-BE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B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3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32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2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4E657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03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403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label">
    <w:name w:val="Control label"/>
    <w:pPr>
      <w:spacing w:before="60" w:after="20"/>
    </w:pPr>
    <w:rPr>
      <w:rFonts w:ascii="Calibri" w:hAnsi="Calibri"/>
      <w:b/>
      <w:color w:val="235A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Entry Testing — Relazione AS-IS e TO-BE</dc:title>
  <dc:subject>Valutazione dei controlli JET per evoluzione da MVP a prodotto</dc:subject>
  <dc:creator>Quadra — relazione tecnica</dc:creator>
  <cp:keywords>JET, ISA 240, journal entry testing, audit, controlli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