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400"/>
        <w:jc w:val="center"/>
      </w:pPr>
      <w:r>
        <w:rPr>
          <w:rFonts w:ascii="Arial" w:cs="Arial" w:eastAsia="Arial" w:hAnsi="Arial"/>
          <w:b/>
          <w:bCs/>
          <w:color w:val="0F172A"/>
          <w:sz w:val="52"/>
          <w:szCs w:val="52"/>
          <w:rtl/>
        </w:rPr>
        <w:t xml:space="preserve">نظام التشغيل xv6 على معمارية RISC-V</w:t>
      </w:r>
    </w:p>
    <w:p>
      <w:pPr>
        <w:spacing w:after="200" w:before="140"/>
        <w:jc w:val="center"/>
      </w:pPr>
      <w:r>
        <w:rPr>
          <w:rFonts w:ascii="Arial" w:cs="Arial" w:eastAsia="Arial" w:hAnsi="Arial"/>
          <w:b w:val="false"/>
          <w:bCs w:val="false"/>
          <w:color w:val="64748B"/>
          <w:sz w:val="28"/>
          <w:szCs w:val="28"/>
          <w:rtl/>
        </w:rPr>
        <w:t xml:space="preserve">دراسة نظرية شاملة لمكوّنات النواة والبنية الداخلية</w:t>
      </w:r>
    </w:p>
    <w:p>
      <w:pPr>
        <w:spacing w:after="200" w:before="200"/>
        <w:jc w:val="center"/>
      </w:pPr>
      <w:r>
        <w:rPr>
          <w:rFonts w:ascii="Consolas" w:cs="Consolas" w:eastAsia="Consolas" w:hAnsi="Consolas"/>
          <w:b w:val="false"/>
          <w:bCs w:val="false"/>
          <w:color w:val="0891B2"/>
          <w:sz w:val="24"/>
          <w:szCs w:val="24"/>
        </w:rPr>
        <w:t xml:space="preserve">────────────────────────────</w:t>
      </w:r>
    </w:p>
    <w:p>
      <w:pPr>
        <w:spacing w:after="80" w:before="100"/>
        <w:jc w:val="center"/>
      </w:pPr>
      <w:r>
        <w:rPr>
          <w:rFonts w:ascii="Arial" w:cs="Arial" w:eastAsia="Arial" w:hAnsi="Arial"/>
          <w:b/>
          <w:bCs/>
          <w:color w:val="1E293B"/>
          <w:sz w:val="26"/>
          <w:szCs w:val="26"/>
          <w:rtl/>
        </w:rPr>
        <w:t xml:space="preserve">وثيقة مرفقة بأطروحة التخرج</w:t>
      </w:r>
    </w:p>
    <w:p>
      <w:pPr>
        <w:spacing w:after="80" w:before="80"/>
        <w:jc w:val="center"/>
      </w:pPr>
      <w:r>
        <w:rPr>
          <w:rFonts w:ascii="Consolas" w:cs="Consolas" w:eastAsia="Consolas" w:hAnsi="Consolas"/>
          <w:b w:val="false"/>
          <w:bCs w:val="false"/>
          <w:color w:val="64748B"/>
          <w:sz w:val="24"/>
          <w:szCs w:val="24"/>
        </w:rPr>
        <w:t xml:space="preserve">2025 – 2026</w:t>
      </w:r>
    </w:p>
    <w:p>
      <w:pPr>
        <w:pageBreakBefore/>
      </w:pPr>
      <w:r>
        <w:t xml:space="preserve"/>
      </w:r>
    </w:p>
    <w:p>
      <w:pPr>
        <w:bidi/>
        <w:spacing w:after="300" w:before="200"/>
        <w:jc w:val="center"/>
      </w:pPr>
      <w:r>
        <w:rPr>
          <w:rFonts w:ascii="Arial" w:cs="Arial" w:eastAsia="Arial" w:hAnsi="Arial"/>
          <w:b/>
          <w:bCs/>
          <w:color w:val="0F172A"/>
          <w:sz w:val="34"/>
          <w:szCs w:val="34"/>
          <w:rtl/>
        </w:rPr>
        <w:t xml:space="preserve">فهرس المحتويات</w:t>
      </w:r>
    </w:p>
    <w:sdt>
      <w:sdtPr>
        <w:alias w:val="فهرس المحتويات"/>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1. مقدمة عامة — نظام التشغيل xv6</w:t>
      </w:r>
    </w:p>
    <w:p>
      <w:pPr>
        <w:bidi/>
        <w:spacing w:after="140" w:before="60" w:line="360"/>
        <w:jc w:val="both"/>
      </w:pPr>
      <w:r>
        <w:rPr>
          <w:rFonts w:ascii="Arial" w:cs="Arial" w:eastAsia="Arial" w:hAnsi="Arial"/>
          <w:b w:val="false"/>
          <w:bCs w:val="false"/>
          <w:color w:val="111111"/>
          <w:sz w:val="22"/>
          <w:szCs w:val="22"/>
          <w:rtl/>
        </w:rPr>
        <w:t xml:space="preserve">xv6 هو نظام تشغيل تعليمي مفتوح المصدر طوّره معهد MIT، مبنيٌّ على معمارية RISC-V ذات 64 بتاً، وهو إعادة كتابة حديثة لنظام Unix الإصدار السادس. يُستخدم xv6 على نطاق واسع في المساقات الأكاديمية لدراسة مفاهيم أنظمة التشغيل، إذ يجمع بين البساطة والدقة التقنية في آنٍ واحد.</w:t>
      </w:r>
    </w:p>
    <w:p>
      <w:pPr>
        <w:bidi/>
        <w:spacing w:after="140" w:before="60" w:line="360"/>
        <w:jc w:val="both"/>
      </w:pPr>
      <w:r>
        <w:rPr>
          <w:rFonts w:ascii="Arial" w:cs="Arial" w:eastAsia="Arial" w:hAnsi="Arial"/>
          <w:b w:val="false"/>
          <w:bCs w:val="false"/>
          <w:color w:val="111111"/>
          <w:sz w:val="22"/>
          <w:szCs w:val="22"/>
          <w:rtl/>
        </w:rPr>
        <w:t xml:space="preserve">يتألف النظام من نواة متراصّة (Monolithic Kernel) تُدير المعالج والذاكرة ونظام الملفات والعمليات وآليات التزامن، مع واجهة برمجية مستوحاة من POSIX تشمل استدعاءات النظام الأساسية. يعمل xv6 على المحاكي QEMU ويُقدّم بيئةً مثاليةً لفهم الطبقات الداخلية لأي نظام تشغيل حديث.</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المعمارية</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RISC-V 64-bit — RV64G ISA</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حجم النواة</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~10,000 سطر من C و Assembly</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نمط النواة</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Monolithic Kernel</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المحاكي</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QEMU — virt machine</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حجم الصفحة</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4096 بايت (4 KB)</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عدد الأنوية المدعومة</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حتى 8 أنوية (SMP)</w:t>
            </w:r>
          </w:p>
        </w:tc>
      </w:tr>
    </w:tbl>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2. معمارية نظام التشغيل</w:t>
      </w:r>
    </w:p>
    <w:p>
      <w:pPr>
        <w:bidi/>
        <w:spacing w:after="140" w:before="60" w:line="360"/>
        <w:jc w:val="both"/>
      </w:pPr>
      <w:r>
        <w:rPr>
          <w:rFonts w:ascii="Arial" w:cs="Arial" w:eastAsia="Arial" w:hAnsi="Arial"/>
          <w:b w:val="false"/>
          <w:bCs w:val="false"/>
          <w:color w:val="111111"/>
          <w:sz w:val="22"/>
          <w:szCs w:val="22"/>
          <w:rtl/>
        </w:rPr>
        <w:t xml:space="preserve">تُبنى أنظمة التشغيل وفق نموذج طبقي يفصل بين مستوى المستخدم (User Space) ومستوى النواة (Kernel Space). يعتمد xv6 نموذج النواة المتراصّة حيث تعمل جميع خدمات النظام في مستوى امتياز موحّد داخل النواة.</w:t>
      </w:r>
    </w:p>
    <w:p>
      <w:pPr>
        <w:pStyle w:val="Heading2"/>
        <w:spacing w:after="120" w:before="260"/>
      </w:pPr>
      <w:r>
        <w:rPr>
          <w:rFonts w:ascii="Arial" w:cs="Arial" w:eastAsia="Arial" w:hAnsi="Arial"/>
          <w:b/>
          <w:bCs/>
          <w:color w:val="1E293B"/>
          <w:sz w:val="25"/>
          <w:szCs w:val="25"/>
          <w:rtl/>
        </w:rPr>
        <w:t xml:space="preserve">2.1 الطبقات الرئيسية</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طبقة الأجهزة (Hardware): المعالج، الذاكرة، القرص، وأجهزة MMIO.</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طبقة النواة (Kernel): جدولة العمليات، إدارة الذاكرة، نظام الملفات، التزامن.</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واجهة استدعاءات النظام (Syscall Interface): الجسر الآمن بين مساحة المستخدم والنواة.</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طبقة التطبيقات (User Space): البرامج التي تعمل تحت إشراف النواة.</w:t>
      </w:r>
    </w:p>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3. أنماط الامتياز في RISC-V</w:t>
      </w:r>
    </w:p>
    <w:p>
      <w:pPr>
        <w:bidi/>
        <w:spacing w:after="140" w:before="60" w:line="360"/>
        <w:jc w:val="both"/>
      </w:pPr>
      <w:r>
        <w:rPr>
          <w:rFonts w:ascii="Arial" w:cs="Arial" w:eastAsia="Arial" w:hAnsi="Arial"/>
          <w:b w:val="false"/>
          <w:bCs w:val="false"/>
          <w:color w:val="111111"/>
          <w:sz w:val="22"/>
          <w:szCs w:val="22"/>
          <w:rtl/>
        </w:rPr>
        <w:t xml:space="preserve">تُعرّف معمارية RISC-V ثلاثة أنماط تشغيل متدرّجة الصلاحيات تُحدّد ما يمكن للكود المُنفَّذ الوصول إليه من موارد النظام. هذا الفصل هو الركيزة الجوهرية لحماية النظام.</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Machine Mode (M)</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أعلى امتياز — firmware وbootloader، وصول كامل للأجهزة.</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Supervisor Mode (S)</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نمط النواة — kernel و OS services، يستخدم سجلات CSR.</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User Mode (U)</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أدنى امتياز — تطبيقات المستخدم، لا وصول مباشر للأجهزة.</w:t>
            </w:r>
          </w:p>
        </w:tc>
      </w:tr>
    </w:tbl>
    <w:p>
      <w:r>
        <w:t xml:space="preserve"/>
      </w:r>
    </w:p>
    <w:p>
      <w:pPr>
        <w:bidi/>
        <w:spacing w:after="140" w:before="60" w:line="360"/>
        <w:jc w:val="both"/>
      </w:pPr>
      <w:r>
        <w:rPr>
          <w:rFonts w:ascii="Arial" w:cs="Arial" w:eastAsia="Arial" w:hAnsi="Arial"/>
          <w:b w:val="false"/>
          <w:bCs w:val="false"/>
          <w:color w:val="111111"/>
          <w:sz w:val="22"/>
          <w:szCs w:val="22"/>
          <w:rtl/>
        </w:rPr>
        <w:t xml:space="preserve">يتحكم RISC-V في التنقل بين الأنماط عبر آلية الفخاخ (Traps). أي محاولة من User Mode للوصول لموارد محمية تُولّد استثناءً ينقل التحكم فوراً إلى Supervisor Mode.</w:t>
      </w:r>
    </w:p>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4. معالجة الفخاخ واستدعاءات النظام</w:t>
      </w:r>
    </w:p>
    <w:p>
      <w:pPr>
        <w:bidi/>
        <w:spacing w:after="140" w:before="60" w:line="360"/>
        <w:jc w:val="both"/>
      </w:pPr>
      <w:r>
        <w:rPr>
          <w:rFonts w:ascii="Arial" w:cs="Arial" w:eastAsia="Arial" w:hAnsi="Arial"/>
          <w:b w:val="false"/>
          <w:bCs w:val="false"/>
          <w:color w:val="111111"/>
          <w:sz w:val="22"/>
          <w:szCs w:val="22"/>
          <w:rtl/>
        </w:rPr>
        <w:t xml:space="preserve">الفخّ (Trap) هو آلية نقل التحكم من الكود المُنفَّذ إلى النواة، وتشمل: الاستثناءات (Exceptions) كتجاوز الصلاحيات، والمقاطعات (Interrupts) من الأجهزة، وفخاخ البيئة (ecall) لطلب خدمات النواة.</w:t>
      </w:r>
    </w:p>
    <w:p>
      <w:pPr>
        <w:pStyle w:val="Heading2"/>
        <w:spacing w:after="120" w:before="260"/>
      </w:pPr>
      <w:r>
        <w:rPr>
          <w:rFonts w:ascii="Arial" w:cs="Arial" w:eastAsia="Arial" w:hAnsi="Arial"/>
          <w:b/>
          <w:bCs/>
          <w:color w:val="1E293B"/>
          <w:sz w:val="25"/>
          <w:szCs w:val="25"/>
          <w:rtl/>
        </w:rPr>
        <w:t xml:space="preserve">4.1 مسار معالجة الفخ</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تنفيذ ecall: تُحفظ PC في sepc، ينتقل النمط لـ Supervisor، يقفز للعنوان في stvec.</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uservec: يحفظ سجلات المستخدم في trapframe ويُحمّل سجلات النواة.</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usertrap: يُحدّد نوع الفخّ ويُحيل للمعالج المناسب (syscall / devintr / exception).</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syscall: يقرأ رقم الاستدعاء من a7، يستدعي المعالج، يضع النتيجة في a0.</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usertrapret + userret: يُعيد ضبط CSR ويعود لمساحة المستخدم.</w:t>
      </w:r>
    </w:p>
    <w:p>
      <w:pPr>
        <w:pStyle w:val="Heading2"/>
        <w:spacing w:after="120" w:before="260"/>
      </w:pPr>
      <w:r>
        <w:rPr>
          <w:rFonts w:ascii="Arial" w:cs="Arial" w:eastAsia="Arial" w:hAnsi="Arial"/>
          <w:b/>
          <w:bCs/>
          <w:color w:val="1E293B"/>
          <w:sz w:val="25"/>
          <w:szCs w:val="25"/>
          <w:rtl/>
        </w:rPr>
        <w:t xml:space="preserve">4.2 استدعاءات النظام الأساسية</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fork()</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ينشئ عملية ابن نسخةً طبق الأصل من الأم.</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exec(path, argv)</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يُحمّل برنامجاً جديداً يحلّ محلّ صورة العملية.</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exit(status)</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ينهي العملية ويُبلّغ الأم.</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wait()</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يُعلّق الأم حتى ينتهي أحد الأبناء.</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open / read / write / close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عمليات الملفات عبر واصفات الملفات.</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pipe(fd[])</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ينشئ أنبوباً يربط عمليتين بمجرى بيانات.</w:t>
            </w:r>
          </w:p>
        </w:tc>
      </w:tr>
    </w:tbl>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5. العمليات والتفرع</w:t>
      </w:r>
    </w:p>
    <w:p>
      <w:pPr>
        <w:bidi/>
        <w:spacing w:after="140" w:before="60" w:line="360"/>
        <w:jc w:val="both"/>
      </w:pPr>
      <w:r>
        <w:rPr>
          <w:rFonts w:ascii="Arial" w:cs="Arial" w:eastAsia="Arial" w:hAnsi="Arial"/>
          <w:b w:val="false"/>
          <w:bCs w:val="false"/>
          <w:color w:val="111111"/>
          <w:sz w:val="22"/>
          <w:szCs w:val="22"/>
          <w:rtl/>
        </w:rPr>
        <w:t xml:space="preserve">العملية (Process) في xv6 هي وحدة العزل الأساسية، تُمثّل برنامجاً قيد التنفيذ بفضاء عناوين خاص وحالة معالج مستقلة. تُدار العمليات عبر المصفوفة proc[NPROC] التي تستوعب حتى 64 عملية متزامنة.</w:t>
      </w:r>
    </w:p>
    <w:p>
      <w:pPr>
        <w:pStyle w:val="Heading2"/>
        <w:spacing w:after="120" w:before="260"/>
      </w:pPr>
      <w:r>
        <w:rPr>
          <w:rFonts w:ascii="Arial" w:cs="Arial" w:eastAsia="Arial" w:hAnsi="Arial"/>
          <w:b/>
          <w:bCs/>
          <w:color w:val="1E293B"/>
          <w:sz w:val="25"/>
          <w:szCs w:val="25"/>
          <w:rtl/>
        </w:rPr>
        <w:t xml:space="preserve">5.1 هيكل العملية</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p-&gt;state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حالة العملية: UNUSED / RUNNABLE / RUNNING / SLEEPING / ZOMBIE.</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p-&gt;pagetable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جدول صفحات خاص بفضاء العناوين الافتراضية.</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p-&gt;trapframe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يحفظ سجلات المستخدم عند دخول النواة.</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p-&gt;context</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سجلات النواة المحفوظة لاستئناف التنفيذ.</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p-&gt;ofile[NOFILE]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مصفوفة واصفات الملفات المفتوحة (حتى 16).</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p-&gt;cwd</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الدليل الحالي (current working directory).</w:t>
            </w:r>
          </w:p>
        </w:tc>
      </w:tr>
    </w:tbl>
    <w:p>
      <w:r>
        <w:t xml:space="preserve"/>
      </w:r>
    </w:p>
    <w:p>
      <w:pPr>
        <w:pStyle w:val="Heading2"/>
        <w:spacing w:after="120" w:before="260"/>
      </w:pPr>
      <w:r>
        <w:rPr>
          <w:rFonts w:ascii="Arial" w:cs="Arial" w:eastAsia="Arial" w:hAnsi="Arial"/>
          <w:b/>
          <w:bCs/>
          <w:color w:val="1E293B"/>
          <w:sz w:val="25"/>
          <w:szCs w:val="25"/>
          <w:rtl/>
        </w:rPr>
        <w:t xml:space="preserve">5.2 آلية fork()</w:t>
      </w:r>
    </w:p>
    <w:p>
      <w:pPr>
        <w:bidi/>
        <w:spacing w:after="140" w:before="60" w:line="360"/>
        <w:jc w:val="both"/>
      </w:pPr>
      <w:r>
        <w:rPr>
          <w:rFonts w:ascii="Arial" w:cs="Arial" w:eastAsia="Arial" w:hAnsi="Arial"/>
          <w:b w:val="false"/>
          <w:bCs w:val="false"/>
          <w:color w:val="111111"/>
          <w:sz w:val="22"/>
          <w:szCs w:val="22"/>
          <w:rtl/>
        </w:rPr>
        <w:t xml:space="preserve">fork() يُخصّص struct proc جديداً، ينسخ جدول الصفحات (uvmcopy)، ينسخ trapframe، ويرث واصفات الملفات المفتوحة عبر filedup. القيمة المُعادة: 0 للابن، pid الابن للأم. كلا العمليتين تستأنفان تنفيذهما من النقطة ذاتها بعد fork.</w:t>
      </w:r>
    </w:p>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6. جدولة المعالج</w:t>
      </w:r>
    </w:p>
    <w:p>
      <w:pPr>
        <w:bidi/>
        <w:spacing w:after="140" w:before="60" w:line="360"/>
        <w:jc w:val="both"/>
      </w:pPr>
      <w:r>
        <w:rPr>
          <w:rFonts w:ascii="Arial" w:cs="Arial" w:eastAsia="Arial" w:hAnsi="Arial"/>
          <w:b w:val="false"/>
          <w:bCs w:val="false"/>
          <w:color w:val="111111"/>
          <w:sz w:val="22"/>
          <w:szCs w:val="22"/>
          <w:rtl/>
        </w:rPr>
        <w:t xml:space="preserve">تعتمد النواة جدولةً دائريةً (Round-Robin) متساوية الأولويات. كل معالج يُشغّل حلقة جدولة مستقلة تبحث عن عملية RUNNABLE وتُشغّلها. تنتقل العمليات بين الحالات وفق الأحداث.</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UNUSED → RUNNABLE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عند إنشاء العملية بـ fork.</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RUNNABLE → RUNNING</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عندما يختارها الجدول على معالج.</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RUNNING → SLEEPING</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عند انتظار حدث (I/O، قفل، انتهاء ابن).</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RUNNING → RUNNABLE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عند انتهاء حصة الوقت (timer interrupt).</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RUNNING → ZOMBIE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عند استدعاء exit()، تنتظر الأم.</w:t>
            </w:r>
          </w:p>
        </w:tc>
      </w:tr>
    </w:tbl>
    <w:p>
      <w:r>
        <w:t xml:space="preserve"/>
      </w:r>
    </w:p>
    <w:p>
      <w:pPr>
        <w:bidi/>
        <w:spacing w:after="140" w:before="60" w:line="360"/>
        <w:jc w:val="both"/>
      </w:pPr>
      <w:r>
        <w:rPr>
          <w:rFonts w:ascii="Arial" w:cs="Arial" w:eastAsia="Arial" w:hAnsi="Arial"/>
          <w:b w:val="false"/>
          <w:bCs w:val="false"/>
          <w:color w:val="111111"/>
          <w:sz w:val="22"/>
          <w:szCs w:val="22"/>
          <w:rtl/>
        </w:rPr>
        <w:t xml:space="preserve">كل معالج يُشغّل scheduler() في حلقة لا نهائية. المزامنة بين الأنوية تتم عبر الأقفال الدورانية. تبديل السياق يتم عبر swtch() الذي يتبادل السجلات بين context الجدول وcontext العملية.</w:t>
      </w:r>
    </w:p>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7. الذاكرة الافتراضية وترجمة العناوين</w:t>
      </w:r>
    </w:p>
    <w:p>
      <w:pPr>
        <w:bidi/>
        <w:spacing w:after="140" w:before="60" w:line="360"/>
        <w:jc w:val="both"/>
      </w:pPr>
      <w:r>
        <w:rPr>
          <w:rFonts w:ascii="Arial" w:cs="Arial" w:eastAsia="Arial" w:hAnsi="Arial"/>
          <w:b w:val="false"/>
          <w:bCs w:val="false"/>
          <w:color w:val="111111"/>
          <w:sz w:val="22"/>
          <w:szCs w:val="22"/>
          <w:rtl/>
        </w:rPr>
        <w:t xml:space="preserve">تعتمد RISC-V-64 نظام ترجمة Sv39 القائم على جداول صفحات ثلاثية المستويات. تتكوّن العناوين الافتراضية من 39 بتاً مقسّمةً إلى ثلاثة فهارس (VPN) وإزاحة داخل الصفحة.</w:t>
      </w:r>
    </w:p>
    <w:p>
      <w:pPr>
        <w:pStyle w:val="Heading2"/>
        <w:spacing w:after="120" w:before="260"/>
      </w:pPr>
      <w:r>
        <w:rPr>
          <w:rFonts w:ascii="Arial" w:cs="Arial" w:eastAsia="Arial" w:hAnsi="Arial"/>
          <w:b/>
          <w:bCs/>
          <w:color w:val="1E293B"/>
          <w:sz w:val="25"/>
          <w:szCs w:val="25"/>
          <w:rtl/>
        </w:rPr>
        <w:t xml:space="preserve">7.1 تنسيق العنوان الافتراضي Sv39</w:t>
      </w:r>
    </w:p>
    <w:p>
      <w:pPr>
        <w:spacing w:after="60" w:before="60"/>
      </w:pPr>
      <w:r>
        <w:rPr>
          <w:rFonts w:ascii="Consolas" w:cs="Consolas" w:eastAsia="Consolas" w:hAnsi="Consolas"/>
          <w:b w:val="false"/>
          <w:bCs w:val="false"/>
          <w:color w:val="0F4C81"/>
          <w:sz w:val="19"/>
          <w:szCs w:val="19"/>
        </w:rPr>
        <w:t xml:space="preserve">[ 38:30 ] VPN[2]  9 bits  |  [ 29:21 ] VPN[1]  9 bits  |  [ 20:12 ] VPN[0]  9 bits  |  [ 11:0 ] Offset  12 bits</w:t>
      </w:r>
    </w:p>
    <w:p>
      <w:pPr>
        <w:bidi/>
        <w:spacing w:after="140" w:before="60" w:line="360"/>
        <w:jc w:val="both"/>
      </w:pPr>
      <w:r>
        <w:rPr>
          <w:rFonts w:ascii="Arial" w:cs="Arial" w:eastAsia="Arial" w:hAnsi="Arial"/>
          <w:b w:val="false"/>
          <w:bCs w:val="false"/>
          <w:color w:val="111111"/>
          <w:sz w:val="22"/>
          <w:szCs w:val="22"/>
          <w:rtl/>
        </w:rPr>
        <w:t xml:space="preserve">يُنجز المعالج الترجمة تلقائياً عبر MMU بمساعدة مخبأ TLB. سجل satp يحمل عنوان الصفحة الجذرية. النواة تُنشئ جدول صفحات مستقلاً لكل عملية عبر walk() و mappages().</w:t>
      </w:r>
    </w:p>
    <w:p>
      <w:pPr>
        <w:pStyle w:val="Heading2"/>
        <w:spacing w:after="120" w:before="260"/>
      </w:pPr>
      <w:r>
        <w:rPr>
          <w:rFonts w:ascii="Arial" w:cs="Arial" w:eastAsia="Arial" w:hAnsi="Arial"/>
          <w:b/>
          <w:bCs/>
          <w:color w:val="1E293B"/>
          <w:sz w:val="25"/>
          <w:szCs w:val="25"/>
          <w:rtl/>
        </w:rPr>
        <w:t xml:space="preserve">7.2 إدخال جدول الصفحات (PTE)</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V (Valid)</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الإدخال صالح — يجب أن يكون 1 لإتمام الترجمة.</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R / W / X</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صلاحيات القراءة والكتابة والتنفيذ.</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U (User)</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إذا كان 1: مساحة المستخدم قادرة على الوصول.</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PPN (44 bits)</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رقم الصفحة الفيزيائية — العنوان الفعلي في الذاكرة.</w:t>
            </w:r>
          </w:p>
        </w:tc>
      </w:tr>
    </w:tbl>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8. فضاءات العناوين</w:t>
      </w:r>
    </w:p>
    <w:p>
      <w:pPr>
        <w:pStyle w:val="Heading2"/>
        <w:spacing w:after="120" w:before="260"/>
      </w:pPr>
      <w:r>
        <w:rPr>
          <w:rFonts w:ascii="Arial" w:cs="Arial" w:eastAsia="Arial" w:hAnsi="Arial"/>
          <w:b/>
          <w:bCs/>
          <w:color w:val="1E293B"/>
          <w:sz w:val="25"/>
          <w:szCs w:val="25"/>
          <w:rtl/>
        </w:rPr>
        <w:t xml:space="preserve">8.1 فضاء عناوين النواة</w:t>
      </w:r>
    </w:p>
    <w:p>
      <w:pPr>
        <w:bidi/>
        <w:spacing w:after="140" w:before="60" w:line="360"/>
        <w:jc w:val="both"/>
      </w:pPr>
      <w:r>
        <w:rPr>
          <w:rFonts w:ascii="Arial" w:cs="Arial" w:eastAsia="Arial" w:hAnsi="Arial"/>
          <w:b w:val="false"/>
          <w:bCs w:val="false"/>
          <w:color w:val="111111"/>
          <w:sz w:val="22"/>
          <w:szCs w:val="22"/>
          <w:rtl/>
        </w:rPr>
        <w:t xml:space="preserve">النواة تستخدم تعييناً مباشراً (Direct Mapping): العنوان الافتراضي = العنوان الفيزيائي. استثناءان: صفحة Trampoline مُعيَّنة في أعلى الفضاء الافتراضي، ومكدسات النواة مُعيَّنة فوق بعضها مع صفحات حارسة (Guard Pages) للكشف عن الفيض.</w:t>
      </w:r>
    </w:p>
    <w:p>
      <w:pPr>
        <w:pStyle w:val="Heading2"/>
        <w:spacing w:after="120" w:before="260"/>
      </w:pPr>
      <w:r>
        <w:rPr>
          <w:rFonts w:ascii="Arial" w:cs="Arial" w:eastAsia="Arial" w:hAnsi="Arial"/>
          <w:b/>
          <w:bCs/>
          <w:color w:val="1E293B"/>
          <w:sz w:val="25"/>
          <w:szCs w:val="25"/>
          <w:rtl/>
        </w:rPr>
        <w:t xml:space="preserve">8.2 فضاء عناوين المستخدم</w:t>
      </w:r>
    </w:p>
    <w:p>
      <w:pPr>
        <w:bidi/>
        <w:spacing w:after="140" w:before="60" w:line="360"/>
        <w:jc w:val="both"/>
      </w:pPr>
      <w:r>
        <w:rPr>
          <w:rFonts w:ascii="Arial" w:cs="Arial" w:eastAsia="Arial" w:hAnsi="Arial"/>
          <w:b w:val="false"/>
          <w:bCs w:val="false"/>
          <w:color w:val="111111"/>
          <w:sz w:val="22"/>
          <w:szCs w:val="22"/>
          <w:rtl/>
        </w:rPr>
        <w:t xml:space="preserve">يبدأ فضاء كل عملية من العنوان 0. التخطيط من الأسفل للأعلى: Text (الكود) → Data (البيانات) → Heap (يتوسّع بـ sbrk) → Stack (صفحة واحدة مع حارسة) → Trapframe + Trampoline في الأعلى.</w:t>
      </w:r>
    </w:p>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9. تبديل السياق</w:t>
      </w:r>
    </w:p>
    <w:p>
      <w:pPr>
        <w:bidi/>
        <w:spacing w:after="140" w:before="60" w:line="360"/>
        <w:jc w:val="both"/>
      </w:pPr>
      <w:r>
        <w:rPr>
          <w:rFonts w:ascii="Arial" w:cs="Arial" w:eastAsia="Arial" w:hAnsi="Arial"/>
          <w:b w:val="false"/>
          <w:bCs w:val="false"/>
          <w:color w:val="111111"/>
          <w:sz w:val="22"/>
          <w:szCs w:val="22"/>
          <w:rtl/>
        </w:rPr>
        <w:t xml:space="preserve">تبديل السياق (Context Switch) هو آلية الانتقال بين العمليات مع الحفاظ على حالة كل منها. يتضمّن مستويين من التبديل: trapframe للتبديل بين مساحة المستخدم والنواة، وcontext للتبديل بين عمليتين على مستوى النواة.</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حدوث مقاطعة الموقّت ← دخول usertrap ← استدعاء yield().</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yield() يضبط الحالة RUNNABLE ويستدعي sched().</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swtch(&amp;p-&gt;context, &amp;cpu-&gt;context) تبدّل السجلات الكاملة.</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scheduler() يختار عملية RUNNABLE أخرى وينقل إليها التحكم.</w:t>
      </w:r>
    </w:p>
    <w:p>
      <w:pPr>
        <w:spacing w:after="60" w:before="60"/>
      </w:pPr>
      <w:r>
        <w:rPr>
          <w:rFonts w:ascii="Consolas" w:cs="Consolas" w:eastAsia="Consolas" w:hAnsi="Consolas"/>
          <w:b w:val="false"/>
          <w:bCs w:val="false"/>
          <w:color w:val="0F4C81"/>
          <w:sz w:val="19"/>
          <w:szCs w:val="19"/>
        </w:rPr>
        <w:t xml:space="preserve">// سجلات context: ra, sp, s0–s11 (callee-saved per RISC-V ABI)</w:t>
      </w:r>
    </w:p>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10. التزامن والأقفال</w:t>
      </w:r>
    </w:p>
    <w:p>
      <w:pPr>
        <w:bidi/>
        <w:spacing w:after="140" w:before="60" w:line="360"/>
        <w:jc w:val="both"/>
      </w:pPr>
      <w:r>
        <w:rPr>
          <w:rFonts w:ascii="Arial" w:cs="Arial" w:eastAsia="Arial" w:hAnsi="Arial"/>
          <w:b w:val="false"/>
          <w:bCs w:val="false"/>
          <w:color w:val="111111"/>
          <w:sz w:val="22"/>
          <w:szCs w:val="22"/>
          <w:rtl/>
        </w:rPr>
        <w:t xml:space="preserve">في بيئة متعددة الأنوية، يتطلّب الوصول المتزامن لهياكل البيانات المشتركة آليات تزامن صارمة. يُوفّر xv6 نوعين من الأقفال يُستخدم كلٌّ منهما في سياق مختلف.</w:t>
      </w:r>
    </w:p>
    <w:p>
      <w:pPr>
        <w:pStyle w:val="Heading2"/>
        <w:spacing w:after="120" w:before="260"/>
      </w:pPr>
      <w:r>
        <w:rPr>
          <w:rFonts w:ascii="Arial" w:cs="Arial" w:eastAsia="Arial" w:hAnsi="Arial"/>
          <w:b/>
          <w:bCs/>
          <w:color w:val="1E293B"/>
          <w:sz w:val="25"/>
          <w:szCs w:val="25"/>
          <w:rtl/>
        </w:rPr>
        <w:t xml:space="preserve">10.1 القفل الدوراني — Spinlock</w:t>
      </w:r>
    </w:p>
    <w:p>
      <w:pPr>
        <w:bidi/>
        <w:spacing w:after="140" w:before="60" w:line="360"/>
        <w:jc w:val="both"/>
      </w:pPr>
      <w:r>
        <w:rPr>
          <w:rFonts w:ascii="Arial" w:cs="Arial" w:eastAsia="Arial" w:hAnsi="Arial"/>
          <w:b w:val="false"/>
          <w:bCs w:val="false"/>
          <w:color w:val="111111"/>
          <w:sz w:val="22"/>
          <w:szCs w:val="22"/>
          <w:rtl/>
        </w:rPr>
        <w:t xml:space="preserve">انتظار نشط: تظل العملية في حلقة دوران حتى تحصل على القفل. يُستخدم في السياقات التي لا يمكن فيها النوم (معالجات المقاطعات، الجدول). يُنفَّذ بتعليمة ذرية: __sync_lock_test_and_set، مع إدارة المقاطعات عبر push_off/pop_off.</w:t>
      </w:r>
    </w:p>
    <w:p>
      <w:pPr>
        <w:pStyle w:val="Heading2"/>
        <w:spacing w:after="120" w:before="260"/>
      </w:pPr>
      <w:r>
        <w:rPr>
          <w:rFonts w:ascii="Arial" w:cs="Arial" w:eastAsia="Arial" w:hAnsi="Arial"/>
          <w:b/>
          <w:bCs/>
          <w:color w:val="1E293B"/>
          <w:sz w:val="25"/>
          <w:szCs w:val="25"/>
          <w:rtl/>
        </w:rPr>
        <w:t xml:space="preserve">10.2 القفل بالنوم — Sleeplock</w:t>
      </w:r>
    </w:p>
    <w:p>
      <w:pPr>
        <w:bidi/>
        <w:spacing w:after="140" w:before="60" w:line="360"/>
        <w:jc w:val="both"/>
      </w:pPr>
      <w:r>
        <w:rPr>
          <w:rFonts w:ascii="Arial" w:cs="Arial" w:eastAsia="Arial" w:hAnsi="Arial"/>
          <w:b w:val="false"/>
          <w:bCs w:val="false"/>
          <w:color w:val="111111"/>
          <w:sz w:val="22"/>
          <w:szCs w:val="22"/>
          <w:rtl/>
        </w:rPr>
        <w:t xml:space="preserve">مخصّص للعمليات الطويلة (قراءة القرص): يتنازل الطالب عن المعالج ويدخل SLEEPING. لا يمكن حمله في interrupt context، لكن يمكن حمله عبر عمليات I/O. يُنفَّذ فوق spinlock داخلي مع sleep/wakeup.</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المعيار</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Spinlock — Sleeplock</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آلية الانتظار</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دوران نشط — نوم (sleep/wakeup)</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في interrupt context</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نعم — لا</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يمكن حمله أثناء النوم</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لا — نعم</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الاستخدام الشائع</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scheduler, bcache.lock — inode, disk I/O</w:t>
            </w:r>
          </w:p>
        </w:tc>
      </w:tr>
    </w:tbl>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11. الأنابيب وواصفات الملفات</w:t>
      </w:r>
    </w:p>
    <w:p>
      <w:pPr>
        <w:pStyle w:val="Heading2"/>
        <w:spacing w:after="120" w:before="260"/>
      </w:pPr>
      <w:r>
        <w:rPr>
          <w:rFonts w:ascii="Arial" w:cs="Arial" w:eastAsia="Arial" w:hAnsi="Arial"/>
          <w:b/>
          <w:bCs/>
          <w:color w:val="1E293B"/>
          <w:sz w:val="25"/>
          <w:szCs w:val="25"/>
          <w:rtl/>
        </w:rPr>
        <w:t xml:space="preserve">11.1 واصف الملف</w:t>
      </w:r>
    </w:p>
    <w:p>
      <w:pPr>
        <w:bidi/>
        <w:spacing w:after="140" w:before="60" w:line="360"/>
        <w:jc w:val="both"/>
      </w:pPr>
      <w:r>
        <w:rPr>
          <w:rFonts w:ascii="Arial" w:cs="Arial" w:eastAsia="Arial" w:hAnsi="Arial"/>
          <w:b w:val="false"/>
          <w:bCs w:val="false"/>
          <w:color w:val="111111"/>
          <w:sz w:val="22"/>
          <w:szCs w:val="22"/>
          <w:rtl/>
        </w:rPr>
        <w:t xml:space="preserve">واصف الملف هو عدد صحيح يُمثّل ملفاً مفتوحاً أو أنبوباً أو جهازاً. كل عملية تحتفظ بمصفوفة ofile[16]، كل خانة تُشير إلى struct file في الجدول العام ftable[NFILE]. struct file يتتبّع النوع (pipe/inode/device)، عداد المراجع، وإزاحة القراءة/الكتابة.</w:t>
      </w:r>
    </w:p>
    <w:p>
      <w:pPr>
        <w:pStyle w:val="Heading2"/>
        <w:spacing w:after="120" w:before="260"/>
      </w:pPr>
      <w:r>
        <w:rPr>
          <w:rFonts w:ascii="Arial" w:cs="Arial" w:eastAsia="Arial" w:hAnsi="Arial"/>
          <w:b/>
          <w:bCs/>
          <w:color w:val="1E293B"/>
          <w:sz w:val="25"/>
          <w:szCs w:val="25"/>
          <w:rtl/>
        </w:rPr>
        <w:t xml:space="preserve">11.2 الأنبوب</w:t>
      </w:r>
    </w:p>
    <w:p>
      <w:pPr>
        <w:bidi/>
        <w:spacing w:after="140" w:before="60" w:line="360"/>
        <w:jc w:val="both"/>
      </w:pPr>
      <w:r>
        <w:rPr>
          <w:rFonts w:ascii="Arial" w:cs="Arial" w:eastAsia="Arial" w:hAnsi="Arial"/>
          <w:b w:val="false"/>
          <w:bCs w:val="false"/>
          <w:color w:val="111111"/>
          <w:sz w:val="22"/>
          <w:szCs w:val="22"/>
          <w:rtl/>
        </w:rPr>
        <w:t xml:space="preserve">الأنبوب مجرى بيانات أحادي الاتجاه مُنفَّذ عبر مخزن دائري (circular buffer) بحجم PIPESIZE=512 بايت. يدعم التزامن الكامل: الكاتب ينام إذا امتلأ المخزن، والقارئ ينام إذا كان فارغاً.</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nwrite - nread == PIPESIZE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الأنبوب ممتلئ — الكاتب ينام.</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nread == nwrite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الأنبوب فارغ — القارئ ينام.</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data[nwrite % PIPESIZE]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موضع الإدراج في المخزن الدائري.</w:t>
            </w:r>
          </w:p>
        </w:tc>
      </w:tr>
    </w:tbl>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12. نظام الملفات — البنية الطبقية</w:t>
      </w:r>
    </w:p>
    <w:p>
      <w:pPr>
        <w:bidi/>
        <w:spacing w:after="140" w:before="60" w:line="360"/>
        <w:jc w:val="both"/>
      </w:pPr>
      <w:r>
        <w:rPr>
          <w:rFonts w:ascii="Arial" w:cs="Arial" w:eastAsia="Arial" w:hAnsi="Arial"/>
          <w:b w:val="false"/>
          <w:bCs w:val="false"/>
          <w:color w:val="111111"/>
          <w:sz w:val="22"/>
          <w:szCs w:val="22"/>
          <w:rtl/>
        </w:rPr>
        <w:t xml:space="preserve">يتبنّى xv6 بنيةً طبقيةً مؤلّفةً من سبع طبقات متراكمة، كلٌّ منها تُخفي تعقيدات الطبقة التي تحتها وتُقدّم واجهةً أبسط للطبقة التي فوقها.</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7. واصف الملف</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يُعرّض الملفات كأعداد صحيحة — sysfile.c, file.c</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6. مسار الاسم</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يُحلّ المسارات عبر namei() — fs.c</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5. الدليل</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يُدير struct dirent — fs.c</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4. العقدة الفهرسية</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بيانات وصفية الملفات — fs.c</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3. التسجيل</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يضمن الاتساق بعد الأعطال — log.c</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2. Buffer Cache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يُخبّئ كتل القرص في الذاكرة — bio.c</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1. القرص</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التخزين الدائم — virtio_disk.c</w:t>
            </w:r>
          </w:p>
        </w:tc>
      </w:tr>
    </w:tbl>
    <w:p>
      <w:r>
        <w:t xml:space="preserve"/>
      </w:r>
    </w:p>
    <w:p>
      <w:pPr>
        <w:pStyle w:val="Heading2"/>
        <w:spacing w:after="120" w:before="260"/>
      </w:pPr>
      <w:r>
        <w:rPr>
          <w:rFonts w:ascii="Arial" w:cs="Arial" w:eastAsia="Arial" w:hAnsi="Arial"/>
          <w:b/>
          <w:bCs/>
          <w:color w:val="1E293B"/>
          <w:sz w:val="25"/>
          <w:szCs w:val="25"/>
          <w:rtl/>
        </w:rPr>
        <w:t xml:space="preserve">12.1 التخطيط على القرص</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blk 0: Boot</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كتلة الإقلاع — محجوزة.</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blk 1: Superblock</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يصف تخطيط القرص: nlog, ninodes, nblocks, logstart...</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blk 2..: Log Area</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منطقة سجل الكتابة المسبقة.</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logstart+nlog..: Inodes</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كتل العقد الفهرسية.</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بعد Inodes: Bitmap</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بتات تتبّع الكتل الحرة والمشغولة.</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بعد Bitmap: Data</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كتل البيانات الفعلية.</w:t>
            </w:r>
          </w:p>
        </w:tc>
      </w:tr>
    </w:tbl>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13. ذاكرة التخزين المؤقت — Buffer Cache</w:t>
      </w:r>
    </w:p>
    <w:p>
      <w:pPr>
        <w:bidi/>
        <w:spacing w:after="140" w:before="60" w:line="360"/>
        <w:jc w:val="both"/>
      </w:pPr>
      <w:r>
        <w:rPr>
          <w:rFonts w:ascii="Arial" w:cs="Arial" w:eastAsia="Arial" w:hAnsi="Arial"/>
          <w:b w:val="false"/>
          <w:bCs w:val="false"/>
          <w:color w:val="111111"/>
          <w:sz w:val="22"/>
          <w:szCs w:val="22"/>
          <w:rtl/>
        </w:rPr>
        <w:t xml:space="preserve">طبقة Buffer Cache (bio.c) تحتفظ بمجموعة من NBUF=30 مخزناً في الذاكرة، كلٌّ منها يحمل كتلةً قرصيةً واحدة (4 KB). تُحقّق هدفين: تسريع الوصول بالتخزين المؤقت، وضمان نسخة واحدة فقط من كل كتلة في الذاكرة في آنٍ واحد.</w:t>
      </w:r>
    </w:p>
    <w:p>
      <w:pPr>
        <w:bidi/>
        <w:spacing w:after="140" w:before="60" w:line="360"/>
        <w:jc w:val="both"/>
      </w:pPr>
      <w:r>
        <w:rPr>
          <w:rFonts w:ascii="Arial" w:cs="Arial" w:eastAsia="Arial" w:hAnsi="Arial"/>
          <w:b w:val="false"/>
          <w:bCs w:val="false"/>
          <w:color w:val="111111"/>
          <w:sz w:val="22"/>
          <w:szCs w:val="22"/>
          <w:rtl/>
        </w:rPr>
        <w:t xml:space="preserve">تُنظَّم المخازن في قائمة مضاعفة الربط وفق سياسة LRU: عند إطلاق مخزن يُنقل للمقدّمة (MRU). عند الحاجة لمخزن جديد يُعاد استخدام المخزن في المؤخّرة (LRU) — الأقدم ذا refcnt==0.</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bread(dev, blockno)</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يُعيد مخزناً مقفولاً — من المخبأ أو يُحمّله من القرص.</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bwrite(buf)</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يكتب المخزن على القرص عبر virtio_disk_rw.</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brelse(buf)</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يُحرّر المخزن (refcnt--)، ينقله لمقدمة القائمة.</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bpin / bunpin</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يمنع/يُتيح استرداد المخزن (يستخدمه سجل الكتابة).</w:t>
            </w:r>
          </w:p>
        </w:tc>
      </w:tr>
    </w:tbl>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14. التسجيل والتعافي من الأعطال</w:t>
      </w:r>
    </w:p>
    <w:p>
      <w:pPr>
        <w:bidi/>
        <w:spacing w:after="140" w:before="60" w:line="360"/>
        <w:jc w:val="both"/>
      </w:pPr>
      <w:r>
        <w:rPr>
          <w:rFonts w:ascii="Arial" w:cs="Arial" w:eastAsia="Arial" w:hAnsi="Arial"/>
          <w:b w:val="false"/>
          <w:bCs w:val="false"/>
          <w:color w:val="111111"/>
          <w:sz w:val="22"/>
          <w:szCs w:val="22"/>
          <w:rtl/>
        </w:rPr>
        <w:t xml:space="preserve">يُحقّق xv6 اتّساق نظام الملفات بعد الأعطال عبر بروتوكول الكتابة المسبقة للسجل (Write-Ahead Logging — WAL). الفكرة: تُكتب جميع التعديلات في منطقة السجل أولاً، ثم تُنصَّب في مواقعها الحقيقية بعد التزام ذري.</w:t>
      </w:r>
    </w:p>
    <w:p>
      <w:pPr>
        <w:pStyle w:val="Heading2"/>
        <w:spacing w:after="120" w:before="260"/>
      </w:pPr>
      <w:r>
        <w:rPr>
          <w:rFonts w:ascii="Arial" w:cs="Arial" w:eastAsia="Arial" w:hAnsi="Arial"/>
          <w:b/>
          <w:bCs/>
          <w:color w:val="1E293B"/>
          <w:sz w:val="25"/>
          <w:szCs w:val="25"/>
          <w:rtl/>
        </w:rPr>
        <w:t xml:space="preserve">14.1 دورة حياة المعاملة</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begin_op(): يبدأ معاملةً، يُعلّق إذا كان السجل ممتلئاً أو يُنجز commit.</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log_write(buf): يُسجّل رقم الكتلة — لا كتابة مباشرة للقرص. يدعم الاستيعاب (Absorption) لتجنّب التكرار.</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end_op(): يُنقص المعاملات النشطة. إذا وصل العدد لصفر: يُنفّذ commit().</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commit(): write_log → write_head → install_trans → clear header.</w:t>
      </w:r>
    </w:p>
    <w:p>
      <w:pPr>
        <w:pStyle w:val="Heading2"/>
        <w:spacing w:after="120" w:before="260"/>
      </w:pPr>
      <w:r>
        <w:rPr>
          <w:rFonts w:ascii="Arial" w:cs="Arial" w:eastAsia="Arial" w:hAnsi="Arial"/>
          <w:b/>
          <w:bCs/>
          <w:color w:val="1E293B"/>
          <w:sz w:val="25"/>
          <w:szCs w:val="25"/>
          <w:rtl/>
        </w:rPr>
        <w:t xml:space="preserve">14.2 نقطة الالتزام الذري</w:t>
      </w:r>
    </w:p>
    <w:p>
      <w:pPr>
        <w:bidi/>
        <w:spacing w:after="140" w:before="60" w:line="360"/>
        <w:jc w:val="both"/>
      </w:pPr>
      <w:r>
        <w:rPr>
          <w:rFonts w:ascii="Arial" w:cs="Arial" w:eastAsia="Arial" w:hAnsi="Arial"/>
          <w:b w:val="false"/>
          <w:bCs w:val="false"/>
          <w:color w:val="111111"/>
          <w:sz w:val="22"/>
          <w:szCs w:val="22"/>
          <w:rtl/>
        </w:rPr>
        <w:t xml:space="preserve">نقطة الالتزام (Commit Point) هي كتابة رأس السجل (write_head) — كتابة قطاع واحد ذرية. العطل قبلها: تُعاد المعاملة للحالة السابقة (Rollback). العطل بعدها: تُعاد المعاملة عند الإقلاع (Replay). يُضمن هذا عبر recover_from_log() في initlog() عند كل إقلاع.</w:t>
      </w:r>
    </w:p>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15. العقد الفهرسية والأدلة وتحليل المسارات</w:t>
      </w:r>
    </w:p>
    <w:p>
      <w:pPr>
        <w:pStyle w:val="Heading2"/>
        <w:spacing w:after="120" w:before="260"/>
      </w:pPr>
      <w:r>
        <w:rPr>
          <w:rFonts w:ascii="Arial" w:cs="Arial" w:eastAsia="Arial" w:hAnsi="Arial"/>
          <w:b/>
          <w:bCs/>
          <w:color w:val="1E293B"/>
          <w:sz w:val="25"/>
          <w:szCs w:val="25"/>
          <w:rtl/>
        </w:rPr>
        <w:t xml:space="preserve">15.1 العقدة الفهرسية — Inode</w:t>
      </w:r>
    </w:p>
    <w:p>
      <w:pPr>
        <w:bidi/>
        <w:spacing w:after="140" w:before="60" w:line="360"/>
        <w:jc w:val="both"/>
      </w:pPr>
      <w:r>
        <w:rPr>
          <w:rFonts w:ascii="Arial" w:cs="Arial" w:eastAsia="Arial" w:hAnsi="Arial"/>
          <w:b w:val="false"/>
          <w:bCs w:val="false"/>
          <w:color w:val="111111"/>
          <w:sz w:val="22"/>
          <w:szCs w:val="22"/>
          <w:rtl/>
        </w:rPr>
        <w:t xml:space="preserve">العقدة الفهرسية (Inode) هي وحدة التعريف الجوهرية لكل ملف ودليل. تُخزَّن على القرص بـ struct dinode (64 بايت) وتُحمَّل في الذاكرة كـ struct inode مع إضافة معلومات إدارية.</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type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نوع المورد: T_FILE=1, T_DIR=2, T_DEVICE=3.</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nlink</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عدد إدخالات الأدلة المُشيرة لهذه العقدة.</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size</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حجم الملف بالبايت.</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addrs[0..11]</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12 عنوان كتلة مباشر (Direct) — يُغطّي 48 KB.</w:t>
            </w:r>
          </w:p>
        </w:tc>
      </w:tr>
      <w:tr>
        <w:tc>
          <w:tcPr>
            <w:tcW w:type="dxa" w:w="2600"/>
            <w:tcBorders>
              <w:top w:val="single" w:color="CBD5E1" w:sz="1"/>
              <w:left w:val="single" w:color="CBD5E1" w:sz="1"/>
              <w:bottom w:val="single" w:color="CBD5E1" w:sz="1"/>
              <w:right w:val="single" w:color="CBD5E1" w:sz="1"/>
            </w:tcBorders>
            <w:shd w:fill="E0F2FE" w:val="clear"/>
            <w:tcMar>
              <w:top w:type="dxa" w:w="80"/>
              <w:left w:type="dxa" w:w="120"/>
              <w:bottom w:type="dxa" w:w="80"/>
              <w:right w:type="dxa" w:w="120"/>
            </w:tcMar>
          </w:tcPr>
          <w:p>
            <w:pPr>
              <w:bidi/>
            </w:pPr>
            <w:r>
              <w:rPr>
                <w:rFonts w:ascii="Arial" w:cs="Arial" w:eastAsia="Arial" w:hAnsi="Arial"/>
                <w:b/>
                <w:bCs/>
                <w:color w:val="1E293B"/>
                <w:sz w:val="20"/>
                <w:szCs w:val="20"/>
                <w:rtl/>
              </w:rPr>
              <w:t xml:space="preserve">addrs[12]</w:t>
            </w:r>
          </w:p>
        </w:tc>
        <w:tc>
          <w:tcPr>
            <w:tcW w:type="dxa" w:w="6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bidi/>
            </w:pPr>
            <w:r>
              <w:rPr>
                <w:rFonts w:ascii="Arial" w:cs="Arial" w:eastAsia="Arial" w:hAnsi="Arial"/>
                <w:b w:val="false"/>
                <w:bCs w:val="false"/>
                <w:color w:val="111111"/>
                <w:sz w:val="20"/>
                <w:szCs w:val="20"/>
                <w:rtl/>
              </w:rPr>
              <w:t xml:space="preserve">مؤشر كتلة غير مباشرة تحوي 256 عنواناً — الإجمالي 268 كتلة.</w:t>
            </w:r>
          </w:p>
        </w:tc>
      </w:tr>
    </w:tbl>
    <w:p>
      <w:r>
        <w:t xml:space="preserve"/>
      </w:r>
    </w:p>
    <w:p>
      <w:pPr>
        <w:pStyle w:val="Heading2"/>
        <w:spacing w:after="120" w:before="260"/>
      </w:pPr>
      <w:r>
        <w:rPr>
          <w:rFonts w:ascii="Arial" w:cs="Arial" w:eastAsia="Arial" w:hAnsi="Arial"/>
          <w:b/>
          <w:bCs/>
          <w:color w:val="1E293B"/>
          <w:sz w:val="25"/>
          <w:szCs w:val="25"/>
          <w:rtl/>
        </w:rPr>
        <w:t xml:space="preserve">15.2 دورة حياة الـ Inode</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iget(dev, inum): يُعيد العقدة من المخبأ أو يُخصّص خانةً جديدة. refcnt++ ولا يقرأ القرص.</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ilock(ip): يُحكم sleeplock. إذا valid==0 يقرأ dinode من القرص ويُعبّئ الحقول.</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iunlock(ip): يُحرّر sleeplock. البيانات تبقى في المخبأ.</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iput(ip): يُنقص refcnt. إذا ref==0 و nlink==0: يُحرّر الكتل ويُحرّر العقدة.</w:t>
      </w:r>
    </w:p>
    <w:p>
      <w:pPr>
        <w:pStyle w:val="Heading2"/>
        <w:spacing w:after="120" w:before="260"/>
      </w:pPr>
      <w:r>
        <w:rPr>
          <w:rFonts w:ascii="Arial" w:cs="Arial" w:eastAsia="Arial" w:hAnsi="Arial"/>
          <w:b/>
          <w:bCs/>
          <w:color w:val="1E293B"/>
          <w:sz w:val="25"/>
          <w:szCs w:val="25"/>
          <w:rtl/>
        </w:rPr>
        <w:t xml:space="preserve">15.3 الأدلة وتحليل المسارات</w:t>
      </w:r>
    </w:p>
    <w:p>
      <w:pPr>
        <w:bidi/>
        <w:spacing w:after="140" w:before="60" w:line="360"/>
        <w:jc w:val="both"/>
      </w:pPr>
      <w:r>
        <w:rPr>
          <w:rFonts w:ascii="Arial" w:cs="Arial" w:eastAsia="Arial" w:hAnsi="Arial"/>
          <w:b w:val="false"/>
          <w:bCs w:val="false"/>
          <w:color w:val="111111"/>
          <w:sz w:val="22"/>
          <w:szCs w:val="22"/>
          <w:rtl/>
        </w:rPr>
        <w:t xml:space="preserve">الدليل ملفٌ عادي تتكوّن كتله من مصفوفة struct dirent { ushort inum; char name[14] }. تحليل المسار عبر namei()/namex(): تسير في مكوّنات المسار يساراً لليمين، تقرأ كل دليل، تبحث بـ dirlookup()، وتُعيد العقدة النهائية.</w:t>
      </w:r>
    </w:p>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16. خلاصة</w:t>
      </w:r>
    </w:p>
    <w:p>
      <w:pPr>
        <w:bidi/>
        <w:spacing w:after="140" w:before="60" w:line="360"/>
        <w:jc w:val="both"/>
      </w:pPr>
      <w:r>
        <w:rPr>
          <w:rFonts w:ascii="Arial" w:cs="Arial" w:eastAsia="Arial" w:hAnsi="Arial"/>
          <w:b w:val="false"/>
          <w:bCs w:val="false"/>
          <w:color w:val="111111"/>
          <w:sz w:val="22"/>
          <w:szCs w:val="22"/>
          <w:rtl/>
        </w:rPr>
        <w:t xml:space="preserve">يُقدّم نظام التشغيل xv6 نموذجاً مكثّفاً ومتكاملاً يجمع المفاهيم الجوهرية لأنظمة التشغيل في منظومة متماسكة قابلة للدراسة والفهم الكامل. من إدارة العمليات والذاكرة الافتراضية، مروراً بآليات الفخاخ والتزامن، وصولاً إلى البنية الطبقية لنظام الملفات — يُجسّد xv6 التوازن المثالي بين البساطة والصحة المعمارية.</w:t>
      </w:r>
    </w:p>
    <w:p>
      <w:pPr>
        <w:bidi/>
        <w:spacing w:after="140" w:before="60" w:line="360"/>
        <w:jc w:val="both"/>
      </w:pPr>
      <w:r>
        <w:rPr>
          <w:rFonts w:ascii="Arial" w:cs="Arial" w:eastAsia="Arial" w:hAnsi="Arial"/>
          <w:b w:val="false"/>
          <w:bCs w:val="false"/>
          <w:color w:val="111111"/>
          <w:sz w:val="22"/>
          <w:szCs w:val="22"/>
          <w:rtl/>
        </w:rPr>
        <w:t xml:space="preserve">التطبيق التفاعلي المُرفق بهذه الدراسة يُجسّد هذه المفاهيم بصرياً بتقنية Qt Quick على منصة RISC-V، ويجعل استيعابها أكثر سهولةً وعمقاً. المعرفة النظرية الواردة هنا تُشكّل الركيزة المفاهيمية للمشروع كاملاً وتُهيّئ القارئ لاستيعاب التصاميم الموجودة في أنظمة التشغيل الإنتاجية الحديثة.</w:t>
      </w:r>
    </w:p>
    <w:p>
      <w:r>
        <w:t xml:space="preserve"/>
      </w:r>
    </w:p>
    <w:p>
      <w:pPr>
        <w:pStyle w:val="Heading1"/>
        <w:pageBreakBefore/>
        <w:pBdr>
          <w:bottom w:val="single" w:color="0891B2" w:sz="6" w:space="4"/>
        </w:pBdr>
        <w:spacing w:after="200" w:before="400"/>
      </w:pPr>
      <w:r>
        <w:rPr>
          <w:rFonts w:ascii="Arial" w:cs="Arial" w:eastAsia="Arial" w:hAnsi="Arial"/>
          <w:b/>
          <w:bCs/>
          <w:color w:val="0F172A"/>
          <w:sz w:val="32"/>
          <w:szCs w:val="32"/>
          <w:rtl/>
        </w:rPr>
        <w:t xml:space="preserve">المصادر والمراجع</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Cox, R., Kaashoek, F., Morris, R. (2023). xv6: A Simple, Unix-Like Teaching Operating System. MIT CSAIL.</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Patterson, D., Waterman, A. (2017). The RISC-V Reader: An Open Architecture Atlas. Strawberry Canyon LLC.</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Silberschatz, A., Galvin, P., Gagne, G. (2018). Operating System Concepts, 10th Edition. Wiley.</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MIT 6.1810 (6.S081) Operating System Engineering — Course Notes &amp; Lectures. MIT OpenCourseWare, 2023.</w:t>
      </w:r>
    </w:p>
    <w:p>
      <w:pPr>
        <w:pStyle w:val="ListParagraph"/>
        <w:numPr>
          <w:ilvl w:val="0"/>
          <w:numId w:val="2"/>
        </w:numPr>
        <w:bidi/>
        <w:spacing w:after="40" w:before="40" w:line="320"/>
      </w:pPr>
      <w:r>
        <w:rPr>
          <w:rFonts w:ascii="Arial" w:cs="Arial" w:eastAsia="Arial" w:hAnsi="Arial"/>
          <w:b w:val="false"/>
          <w:bCs w:val="false"/>
          <w:color w:val="111111"/>
          <w:sz w:val="22"/>
          <w:szCs w:val="22"/>
          <w:rtl/>
        </w:rPr>
        <w:t xml:space="preserve">RISC-V Foundation. The RISC-V Instruction Set Manual, Volume II: Privileged Architecture. Version 20211203.</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spacing w:before="100"/>
      <w:jc w:val="center"/>
    </w:pPr>
    <w:r>
      <w:rPr>
        <w:rFonts w:ascii="Arial" w:cs="Arial" w:eastAsia="Arial" w:hAnsi="Arial"/>
        <w:b w:val="false"/>
        <w:bCs w:val="false"/>
        <w:color w:val="64748B"/>
        <w:sz w:val="18"/>
        <w:szCs w:val="18"/>
        <w:rtl/>
      </w:rPr>
      <w:t xml:space="preserve">صفحة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3" w:space="4"/>
      </w:pBdr>
      <w:spacing w:after="100"/>
      <w:jc w:val="right"/>
    </w:pPr>
    <w:r>
      <w:rPr>
        <w:rFonts w:ascii="Arial" w:cs="Arial" w:eastAsia="Arial" w:hAnsi="Arial"/>
        <w:b w:val="false"/>
        <w:bCs w:val="false"/>
        <w:color w:val="64748B"/>
        <w:sz w:val="18"/>
        <w:szCs w:val="18"/>
        <w:rtl/>
      </w:rPr>
      <w:t xml:space="preserve">xv6 RISC-V — دراسة نظرية شاملة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E293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2026-07-02T21:37:47.439Z</dcterms:created>
  <dcterms:modified xsi:type="dcterms:W3CDTF">2026-07-02T21:37:47.439Z</dcterms:modified>
</cp:coreProperties>
</file>

<file path=docProps/custom.xml><?xml version="1.0" encoding="utf-8"?>
<Properties xmlns="http://schemas.openxmlformats.org/officeDocument/2006/custom-properties" xmlns:vt="http://schemas.openxmlformats.org/officeDocument/2006/docPropsVTypes"/>
</file>