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0658" w:rsidRDefault="00907C73">
      <w:pPr>
        <w:spacing w:after="60"/>
        <w:jc w:val="center"/>
      </w:pPr>
      <w:r>
        <w:rPr>
          <w:b/>
          <w:bCs/>
          <w:color w:val="5B3A29"/>
          <w:sz w:val="40"/>
          <w:szCs w:val="40"/>
        </w:rPr>
        <w:t>Restaurant Sales Performance Analysis</w:t>
      </w:r>
    </w:p>
    <w:p w:rsidR="00680658" w:rsidRDefault="00907C73">
      <w:pPr>
        <w:spacing w:after="400"/>
        <w:jc w:val="center"/>
      </w:pPr>
      <w:r>
        <w:rPr>
          <w:i/>
          <w:iCs/>
          <w:color w:val="C0622D"/>
          <w:sz w:val="24"/>
          <w:szCs w:val="24"/>
        </w:rPr>
        <w:t>Graduate Data Analyst Assessment — Findings Summary</w:t>
      </w:r>
    </w:p>
    <w:p w:rsidR="00680658" w:rsidRDefault="00907C73">
      <w:pPr>
        <w:pStyle w:val="Heading1"/>
        <w:pBdr>
          <w:bottom w:val="single" w:sz="6" w:space="4" w:color="C0622D"/>
        </w:pBdr>
        <w:spacing w:before="320" w:after="160"/>
      </w:pPr>
      <w:r>
        <w:rPr>
          <w:b/>
          <w:bCs/>
          <w:color w:val="5B3A29"/>
          <w:sz w:val="28"/>
          <w:szCs w:val="28"/>
        </w:rPr>
        <w:t>1. Analysis Approach</w:t>
      </w:r>
    </w:p>
    <w:p w:rsidR="00680658" w:rsidRDefault="00907C73">
      <w:pPr>
        <w:spacing w:after="140"/>
      </w:pPr>
      <w:r>
        <w:rPr>
          <w:color w:val="444444"/>
          <w:sz w:val="22"/>
          <w:szCs w:val="22"/>
        </w:rPr>
        <w:t>The 2024 and 2025 transactional sales data were appended into a single Sales fact table in Power BI. A star-schema data model was built by connecting Sales to three dimension tables: site (restaurant lookup), menu (item lookup), and a custom financial cale</w:t>
      </w:r>
      <w:r>
        <w:rPr>
          <w:color w:val="444444"/>
          <w:sz w:val="22"/>
          <w:szCs w:val="22"/>
        </w:rPr>
        <w:t>ndar (periods, quarters, weeks) supplied specifically for this dataset.</w:t>
      </w:r>
    </w:p>
    <w:p w:rsidR="00680658" w:rsidRDefault="00907C73">
      <w:pPr>
        <w:spacing w:after="140"/>
      </w:pPr>
      <w:r>
        <w:rPr>
          <w:color w:val="444444"/>
          <w:sz w:val="22"/>
          <w:szCs w:val="22"/>
        </w:rPr>
        <w:t>Key modelling steps:</w:t>
      </w:r>
    </w:p>
    <w:p w:rsidR="00680658" w:rsidRDefault="00907C73">
      <w:pPr>
        <w:pStyle w:val="ListParagraph"/>
        <w:numPr>
          <w:ilvl w:val="0"/>
          <w:numId w:val="2"/>
        </w:numPr>
        <w:spacing w:after="80"/>
      </w:pPr>
      <w:r>
        <w:rPr>
          <w:color w:val="444444"/>
          <w:sz w:val="22"/>
          <w:szCs w:val="22"/>
        </w:rPr>
        <w:t>Appended the 2024 and 2025 sales tables via Power Query, confirming row counts and column alignment matched the source sheets.</w:t>
      </w:r>
    </w:p>
    <w:p w:rsidR="00680658" w:rsidRDefault="00907C73">
      <w:pPr>
        <w:pStyle w:val="ListParagraph"/>
        <w:numPr>
          <w:ilvl w:val="0"/>
          <w:numId w:val="2"/>
        </w:numPr>
        <w:spacing w:after="80"/>
      </w:pPr>
      <w:proofErr w:type="spellStart"/>
      <w:r>
        <w:rPr>
          <w:color w:val="444444"/>
          <w:sz w:val="22"/>
          <w:szCs w:val="22"/>
        </w:rPr>
        <w:t>Standardised</w:t>
      </w:r>
      <w:proofErr w:type="spellEnd"/>
      <w:r>
        <w:rPr>
          <w:color w:val="444444"/>
          <w:sz w:val="22"/>
          <w:szCs w:val="22"/>
        </w:rPr>
        <w:t xml:space="preserve"> data types across join </w:t>
      </w:r>
      <w:r>
        <w:rPr>
          <w:color w:val="444444"/>
          <w:sz w:val="22"/>
          <w:szCs w:val="22"/>
        </w:rPr>
        <w:t>keys (</w:t>
      </w:r>
      <w:proofErr w:type="spellStart"/>
      <w:r>
        <w:rPr>
          <w:color w:val="444444"/>
          <w:sz w:val="22"/>
          <w:szCs w:val="22"/>
        </w:rPr>
        <w:t>item_id</w:t>
      </w:r>
      <w:proofErr w:type="spellEnd"/>
      <w:r>
        <w:rPr>
          <w:color w:val="444444"/>
          <w:sz w:val="22"/>
          <w:szCs w:val="22"/>
        </w:rPr>
        <w:t>/</w:t>
      </w:r>
      <w:proofErr w:type="spellStart"/>
      <w:r>
        <w:rPr>
          <w:color w:val="444444"/>
          <w:sz w:val="22"/>
          <w:szCs w:val="22"/>
        </w:rPr>
        <w:t>num</w:t>
      </w:r>
      <w:proofErr w:type="spellEnd"/>
      <w:r>
        <w:rPr>
          <w:color w:val="444444"/>
          <w:sz w:val="22"/>
          <w:szCs w:val="22"/>
        </w:rPr>
        <w:t xml:space="preserve"> converted to a matching type) before building relationships, since a text-vs-number mismatch would otherwise silently break the Sales–menu relationship.</w:t>
      </w:r>
    </w:p>
    <w:p w:rsidR="00680658" w:rsidRDefault="00907C73">
      <w:pPr>
        <w:pStyle w:val="ListParagraph"/>
        <w:numPr>
          <w:ilvl w:val="0"/>
          <w:numId w:val="2"/>
        </w:numPr>
        <w:spacing w:after="80"/>
      </w:pPr>
      <w:r>
        <w:rPr>
          <w:color w:val="444444"/>
          <w:sz w:val="22"/>
          <w:szCs w:val="22"/>
        </w:rPr>
        <w:t xml:space="preserve">Built a single active relationship between </w:t>
      </w:r>
      <w:proofErr w:type="gramStart"/>
      <w:r>
        <w:rPr>
          <w:color w:val="444444"/>
          <w:sz w:val="22"/>
          <w:szCs w:val="22"/>
        </w:rPr>
        <w:t>Sales[</w:t>
      </w:r>
      <w:proofErr w:type="gramEnd"/>
      <w:r>
        <w:rPr>
          <w:color w:val="444444"/>
          <w:sz w:val="22"/>
          <w:szCs w:val="22"/>
        </w:rPr>
        <w:t>date] and calendar[date], and marked</w:t>
      </w:r>
      <w:r>
        <w:rPr>
          <w:color w:val="444444"/>
          <w:sz w:val="22"/>
          <w:szCs w:val="22"/>
        </w:rPr>
        <w:t xml:space="preserve"> calendar as the official date table, so </w:t>
      </w:r>
      <w:proofErr w:type="spellStart"/>
      <w:r>
        <w:rPr>
          <w:color w:val="444444"/>
          <w:sz w:val="22"/>
          <w:szCs w:val="22"/>
        </w:rPr>
        <w:t>all time</w:t>
      </w:r>
      <w:proofErr w:type="spellEnd"/>
      <w:r>
        <w:rPr>
          <w:color w:val="444444"/>
          <w:sz w:val="22"/>
          <w:szCs w:val="22"/>
        </w:rPr>
        <w:t xml:space="preserve"> intelligence uses the financial calendar rather than the standard calendar.</w:t>
      </w:r>
    </w:p>
    <w:p w:rsidR="00680658" w:rsidRDefault="00907C73">
      <w:pPr>
        <w:pStyle w:val="ListParagraph"/>
        <w:numPr>
          <w:ilvl w:val="0"/>
          <w:numId w:val="2"/>
        </w:numPr>
        <w:spacing w:after="80"/>
      </w:pPr>
      <w:r>
        <w:rPr>
          <w:color w:val="444444"/>
          <w:sz w:val="22"/>
          <w:szCs w:val="22"/>
        </w:rPr>
        <w:t xml:space="preserve">Connected </w:t>
      </w:r>
      <w:proofErr w:type="gramStart"/>
      <w:r>
        <w:rPr>
          <w:color w:val="444444"/>
          <w:sz w:val="22"/>
          <w:szCs w:val="22"/>
        </w:rPr>
        <w:t>Sales[</w:t>
      </w:r>
      <w:proofErr w:type="gramEnd"/>
      <w:r>
        <w:rPr>
          <w:color w:val="444444"/>
          <w:sz w:val="22"/>
          <w:szCs w:val="22"/>
        </w:rPr>
        <w:t>restaurant] to site[id] and Sales[</w:t>
      </w:r>
      <w:proofErr w:type="spellStart"/>
      <w:r>
        <w:rPr>
          <w:color w:val="444444"/>
          <w:sz w:val="22"/>
          <w:szCs w:val="22"/>
        </w:rPr>
        <w:t>item_id</w:t>
      </w:r>
      <w:proofErr w:type="spellEnd"/>
      <w:r>
        <w:rPr>
          <w:color w:val="444444"/>
          <w:sz w:val="22"/>
          <w:szCs w:val="22"/>
        </w:rPr>
        <w:t>] to menu[</w:t>
      </w:r>
      <w:proofErr w:type="spellStart"/>
      <w:r>
        <w:rPr>
          <w:color w:val="444444"/>
          <w:sz w:val="22"/>
          <w:szCs w:val="22"/>
        </w:rPr>
        <w:t>num</w:t>
      </w:r>
      <w:proofErr w:type="spellEnd"/>
      <w:r>
        <w:rPr>
          <w:color w:val="444444"/>
          <w:sz w:val="22"/>
          <w:szCs w:val="22"/>
        </w:rPr>
        <w:t>] as many-to-one relationships, producing a clean star schem</w:t>
      </w:r>
      <w:r>
        <w:rPr>
          <w:color w:val="444444"/>
          <w:sz w:val="22"/>
          <w:szCs w:val="22"/>
        </w:rPr>
        <w:t>a (all dimension tables radiating from the single Sales fact table).</w:t>
      </w:r>
    </w:p>
    <w:p w:rsidR="00680658" w:rsidRDefault="00907C73">
      <w:pPr>
        <w:pStyle w:val="ListParagraph"/>
        <w:numPr>
          <w:ilvl w:val="0"/>
          <w:numId w:val="2"/>
        </w:numPr>
        <w:spacing w:after="80"/>
      </w:pPr>
      <w:r>
        <w:rPr>
          <w:color w:val="444444"/>
          <w:sz w:val="22"/>
          <w:szCs w:val="22"/>
        </w:rPr>
        <w:t>Validated the model by cross-checking an unfiltered Total Net Sales card against the raw column sum in the source data.</w:t>
      </w:r>
    </w:p>
    <w:p w:rsidR="00680658" w:rsidRDefault="00907C73">
      <w:pPr>
        <w:spacing w:after="140"/>
        <w:rPr>
          <w:color w:val="444444"/>
          <w:sz w:val="22"/>
          <w:szCs w:val="22"/>
        </w:rPr>
      </w:pPr>
      <w:r>
        <w:rPr>
          <w:color w:val="444444"/>
          <w:sz w:val="22"/>
          <w:szCs w:val="22"/>
        </w:rPr>
        <w:t>Note on data coverage: the transactional data provided spans Financ</w:t>
      </w:r>
      <w:r>
        <w:rPr>
          <w:color w:val="444444"/>
          <w:sz w:val="22"/>
          <w:szCs w:val="22"/>
        </w:rPr>
        <w:t>ial Periods 5–7 only (early May to 1 July, in both 2024 and 2025), with Period 7 only partially populated in both years since the extract ends mid-period. All year-on-year and period comparisons below are therefore like-for-like across this same P5–P7 wind</w:t>
      </w:r>
      <w:r>
        <w:rPr>
          <w:color w:val="444444"/>
          <w:sz w:val="22"/>
          <w:szCs w:val="22"/>
        </w:rPr>
        <w:t>ow in both years, not a full-year comparison.</w:t>
      </w:r>
    </w:p>
    <w:p w:rsidR="00907C73" w:rsidRPr="00907C73" w:rsidRDefault="00907C73" w:rsidP="00907C73">
      <w:pPr>
        <w:pStyle w:val="pdq2pgselectionanchorcontainer"/>
        <w:rPr>
          <w:sz w:val="22"/>
        </w:rPr>
      </w:pPr>
      <w:r w:rsidRPr="00907C73">
        <w:rPr>
          <w:sz w:val="22"/>
        </w:rPr>
        <w:t>The Power BI solution c</w:t>
      </w:r>
      <w:bookmarkStart w:id="0" w:name="_GoBack"/>
      <w:bookmarkEnd w:id="0"/>
      <w:r w:rsidRPr="00907C73">
        <w:rPr>
          <w:sz w:val="22"/>
        </w:rPr>
        <w:t>onsists of three dashboard pages:</w:t>
      </w:r>
    </w:p>
    <w:p w:rsidR="00907C73" w:rsidRPr="00907C73" w:rsidRDefault="00907C73" w:rsidP="00907C73">
      <w:pPr>
        <w:pStyle w:val="NormalWeb"/>
        <w:rPr>
          <w:sz w:val="22"/>
        </w:rPr>
      </w:pPr>
      <w:r w:rsidRPr="00907C73">
        <w:rPr>
          <w:sz w:val="22"/>
        </w:rPr>
        <w:t>• Executive Sales Dashboard</w:t>
      </w:r>
    </w:p>
    <w:p w:rsidR="00907C73" w:rsidRPr="00907C73" w:rsidRDefault="00907C73" w:rsidP="00907C73">
      <w:pPr>
        <w:pStyle w:val="NormalWeb"/>
        <w:rPr>
          <w:sz w:val="22"/>
        </w:rPr>
      </w:pPr>
      <w:r w:rsidRPr="00907C73">
        <w:rPr>
          <w:sz w:val="22"/>
        </w:rPr>
        <w:t>• Restaurant &amp; Menu Performance Analysis</w:t>
      </w:r>
    </w:p>
    <w:p w:rsidR="00907C73" w:rsidRPr="00907C73" w:rsidRDefault="00907C73" w:rsidP="00907C73">
      <w:pPr>
        <w:pStyle w:val="NormalWeb"/>
        <w:rPr>
          <w:sz w:val="22"/>
        </w:rPr>
      </w:pPr>
      <w:r w:rsidRPr="00907C73">
        <w:rPr>
          <w:sz w:val="22"/>
        </w:rPr>
        <w:t>• Financial Calendar Performance Analysis</w:t>
      </w:r>
    </w:p>
    <w:p w:rsidR="00907C73" w:rsidRDefault="00907C73">
      <w:pPr>
        <w:spacing w:after="140"/>
      </w:pPr>
    </w:p>
    <w:p w:rsidR="00680658" w:rsidRDefault="00907C73">
      <w:pPr>
        <w:pStyle w:val="Heading1"/>
        <w:pBdr>
          <w:bottom w:val="single" w:sz="6" w:space="4" w:color="C0622D"/>
        </w:pBdr>
        <w:spacing w:before="320" w:after="160"/>
      </w:pPr>
      <w:r>
        <w:rPr>
          <w:b/>
          <w:bCs/>
          <w:color w:val="5B3A29"/>
          <w:sz w:val="28"/>
          <w:szCs w:val="28"/>
        </w:rPr>
        <w:t>2. Key Insights</w:t>
      </w:r>
    </w:p>
    <w:p w:rsidR="00680658" w:rsidRDefault="00907C73">
      <w:pPr>
        <w:spacing w:after="140"/>
      </w:pPr>
      <w:r>
        <w:rPr>
          <w:color w:val="444444"/>
          <w:sz w:val="22"/>
          <w:szCs w:val="22"/>
        </w:rPr>
        <w:t xml:space="preserve">This section is </w:t>
      </w:r>
      <w:proofErr w:type="spellStart"/>
      <w:r>
        <w:rPr>
          <w:color w:val="444444"/>
          <w:sz w:val="22"/>
          <w:szCs w:val="22"/>
        </w:rPr>
        <w:t>organised</w:t>
      </w:r>
      <w:proofErr w:type="spellEnd"/>
      <w:r>
        <w:rPr>
          <w:color w:val="444444"/>
          <w:sz w:val="22"/>
          <w:szCs w:val="22"/>
        </w:rPr>
        <w:t xml:space="preserve"> to directly address each area the assessment brief suggests exploring: year-on-year sales performance (2.1), week-on-week trends using the financial calendar (2.2), sit</w:t>
      </w:r>
      <w:r>
        <w:rPr>
          <w:color w:val="444444"/>
          <w:sz w:val="22"/>
          <w:szCs w:val="22"/>
        </w:rPr>
        <w:t>e-level performance (2.3), menu-level performance (2.4-2.5), and changes in sales patterns over time (2.6-2.7).</w:t>
      </w:r>
    </w:p>
    <w:p w:rsidR="00680658" w:rsidRDefault="00907C73">
      <w:pPr>
        <w:pStyle w:val="Heading2"/>
        <w:spacing w:before="240" w:after="120"/>
      </w:pPr>
      <w:r>
        <w:rPr>
          <w:b/>
          <w:bCs/>
          <w:color w:val="C0622D"/>
          <w:sz w:val="24"/>
          <w:szCs w:val="24"/>
        </w:rPr>
        <w:t>2.1 Year-on-year sales performance: net sales declined at every site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680658">
        <w:tblPrEx>
          <w:tblCellMar>
            <w:top w:w="0" w:type="dxa"/>
            <w:bottom w:w="0" w:type="dxa"/>
          </w:tblCellMar>
        </w:tblPrEx>
        <w:trPr>
          <w:tblHeader/>
        </w:trPr>
        <w:tc>
          <w:tcPr>
            <w:tcW w:w="2600" w:type="dxa"/>
            <w:shd w:val="clear" w:color="auto" w:fill="C0622D"/>
            <w:tcMar>
              <w:top w:w="80" w:type="dxa"/>
              <w:left w:w="120" w:type="dxa"/>
              <w:bottom w:w="80" w:type="dxa"/>
              <w:right w:w="120" w:type="dxa"/>
            </w:tcMar>
          </w:tcPr>
          <w:p w:rsidR="00680658" w:rsidRDefault="00907C73">
            <w:r>
              <w:rPr>
                <w:b/>
                <w:bCs/>
                <w:color w:val="FFFFFF"/>
              </w:rPr>
              <w:t>Site</w:t>
            </w:r>
          </w:p>
        </w:tc>
        <w:tc>
          <w:tcPr>
            <w:tcW w:w="2200" w:type="dxa"/>
            <w:shd w:val="clear" w:color="auto" w:fill="C0622D"/>
            <w:tcMar>
              <w:top w:w="80" w:type="dxa"/>
              <w:left w:w="120" w:type="dxa"/>
              <w:bottom w:w="80" w:type="dxa"/>
              <w:right w:w="120" w:type="dxa"/>
            </w:tcMar>
          </w:tcPr>
          <w:p w:rsidR="00680658" w:rsidRDefault="00907C73">
            <w:r>
              <w:rPr>
                <w:b/>
                <w:bCs/>
                <w:color w:val="FFFFFF"/>
              </w:rPr>
              <w:t>2024 Net Sales</w:t>
            </w:r>
          </w:p>
        </w:tc>
        <w:tc>
          <w:tcPr>
            <w:tcW w:w="2200" w:type="dxa"/>
            <w:shd w:val="clear" w:color="auto" w:fill="C0622D"/>
            <w:tcMar>
              <w:top w:w="80" w:type="dxa"/>
              <w:left w:w="120" w:type="dxa"/>
              <w:bottom w:w="80" w:type="dxa"/>
              <w:right w:w="120" w:type="dxa"/>
            </w:tcMar>
          </w:tcPr>
          <w:p w:rsidR="00680658" w:rsidRDefault="00907C73">
            <w:r>
              <w:rPr>
                <w:b/>
                <w:bCs/>
                <w:color w:val="FFFFFF"/>
              </w:rPr>
              <w:t>2025 Net Sales</w:t>
            </w:r>
          </w:p>
        </w:tc>
        <w:tc>
          <w:tcPr>
            <w:tcW w:w="2200" w:type="dxa"/>
            <w:shd w:val="clear" w:color="auto" w:fill="C0622D"/>
            <w:tcMar>
              <w:top w:w="80" w:type="dxa"/>
              <w:left w:w="120" w:type="dxa"/>
              <w:bottom w:w="80" w:type="dxa"/>
              <w:right w:w="120" w:type="dxa"/>
            </w:tcMar>
          </w:tcPr>
          <w:p w:rsidR="00680658" w:rsidRDefault="00907C73">
            <w:r>
              <w:rPr>
                <w:b/>
                <w:bCs/>
                <w:color w:val="FFFFFF"/>
              </w:rPr>
              <w:t>YoY Change</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London</w:t>
            </w:r>
          </w:p>
        </w:tc>
        <w:tc>
          <w:tcPr>
            <w:tcW w:w="2200" w:type="dxa"/>
            <w:shd w:val="clear" w:color="auto" w:fill="FFFFFF"/>
            <w:tcMar>
              <w:top w:w="80" w:type="dxa"/>
              <w:left w:w="120" w:type="dxa"/>
              <w:bottom w:w="80" w:type="dxa"/>
              <w:right w:w="120" w:type="dxa"/>
            </w:tcMar>
          </w:tcPr>
          <w:p w:rsidR="00680658" w:rsidRDefault="00907C73">
            <w:r>
              <w:rPr>
                <w:color w:val="444444"/>
              </w:rPr>
              <w:t>£2.15M</w:t>
            </w:r>
          </w:p>
        </w:tc>
        <w:tc>
          <w:tcPr>
            <w:tcW w:w="2200" w:type="dxa"/>
            <w:shd w:val="clear" w:color="auto" w:fill="FFFFFF"/>
            <w:tcMar>
              <w:top w:w="80" w:type="dxa"/>
              <w:left w:w="120" w:type="dxa"/>
              <w:bottom w:w="80" w:type="dxa"/>
              <w:right w:w="120" w:type="dxa"/>
            </w:tcMar>
          </w:tcPr>
          <w:p w:rsidR="00680658" w:rsidRDefault="00907C73">
            <w:r>
              <w:rPr>
                <w:color w:val="444444"/>
              </w:rPr>
              <w:t>£2.07M</w:t>
            </w:r>
          </w:p>
        </w:tc>
        <w:tc>
          <w:tcPr>
            <w:tcW w:w="2200" w:type="dxa"/>
            <w:shd w:val="clear" w:color="auto" w:fill="FFFFFF"/>
            <w:tcMar>
              <w:top w:w="80" w:type="dxa"/>
              <w:left w:w="120" w:type="dxa"/>
              <w:bottom w:w="80" w:type="dxa"/>
              <w:right w:w="120" w:type="dxa"/>
            </w:tcMar>
          </w:tcPr>
          <w:p w:rsidR="00680658" w:rsidRDefault="00907C73">
            <w:r>
              <w:rPr>
                <w:color w:val="444444"/>
              </w:rPr>
              <w:t>-3.7%</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Manchester</w:t>
            </w:r>
          </w:p>
        </w:tc>
        <w:tc>
          <w:tcPr>
            <w:tcW w:w="2200" w:type="dxa"/>
            <w:shd w:val="clear" w:color="auto" w:fill="FFFFFF"/>
            <w:tcMar>
              <w:top w:w="80" w:type="dxa"/>
              <w:left w:w="120" w:type="dxa"/>
              <w:bottom w:w="80" w:type="dxa"/>
              <w:right w:w="120" w:type="dxa"/>
            </w:tcMar>
          </w:tcPr>
          <w:p w:rsidR="00680658" w:rsidRDefault="00907C73">
            <w:r>
              <w:rPr>
                <w:color w:val="444444"/>
              </w:rPr>
              <w:t>£1.62M</w:t>
            </w:r>
          </w:p>
        </w:tc>
        <w:tc>
          <w:tcPr>
            <w:tcW w:w="2200" w:type="dxa"/>
            <w:shd w:val="clear" w:color="auto" w:fill="FFFFFF"/>
            <w:tcMar>
              <w:top w:w="80" w:type="dxa"/>
              <w:left w:w="120" w:type="dxa"/>
              <w:bottom w:w="80" w:type="dxa"/>
              <w:right w:w="120" w:type="dxa"/>
            </w:tcMar>
          </w:tcPr>
          <w:p w:rsidR="00680658" w:rsidRDefault="00907C73">
            <w:r>
              <w:rPr>
                <w:color w:val="444444"/>
              </w:rPr>
              <w:t>£1.56M</w:t>
            </w:r>
          </w:p>
        </w:tc>
        <w:tc>
          <w:tcPr>
            <w:tcW w:w="2200" w:type="dxa"/>
            <w:shd w:val="clear" w:color="auto" w:fill="FFFFFF"/>
            <w:tcMar>
              <w:top w:w="80" w:type="dxa"/>
              <w:left w:w="120" w:type="dxa"/>
              <w:bottom w:w="80" w:type="dxa"/>
              <w:right w:w="120" w:type="dxa"/>
            </w:tcMar>
          </w:tcPr>
          <w:p w:rsidR="00680658" w:rsidRDefault="00907C73">
            <w:r>
              <w:rPr>
                <w:color w:val="444444"/>
              </w:rPr>
              <w:t>-3.7%</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Liverpool</w:t>
            </w:r>
          </w:p>
        </w:tc>
        <w:tc>
          <w:tcPr>
            <w:tcW w:w="2200" w:type="dxa"/>
            <w:shd w:val="clear" w:color="auto" w:fill="FFFFFF"/>
            <w:tcMar>
              <w:top w:w="80" w:type="dxa"/>
              <w:left w:w="120" w:type="dxa"/>
              <w:bottom w:w="80" w:type="dxa"/>
              <w:right w:w="120" w:type="dxa"/>
            </w:tcMar>
          </w:tcPr>
          <w:p w:rsidR="00680658" w:rsidRDefault="00907C73">
            <w:r>
              <w:rPr>
                <w:color w:val="444444"/>
              </w:rPr>
              <w:t>£1.49M</w:t>
            </w:r>
          </w:p>
        </w:tc>
        <w:tc>
          <w:tcPr>
            <w:tcW w:w="2200" w:type="dxa"/>
            <w:shd w:val="clear" w:color="auto" w:fill="FFFFFF"/>
            <w:tcMar>
              <w:top w:w="80" w:type="dxa"/>
              <w:left w:w="120" w:type="dxa"/>
              <w:bottom w:w="80" w:type="dxa"/>
              <w:right w:w="120" w:type="dxa"/>
            </w:tcMar>
          </w:tcPr>
          <w:p w:rsidR="00680658" w:rsidRDefault="00907C73">
            <w:r>
              <w:rPr>
                <w:color w:val="444444"/>
              </w:rPr>
              <w:t>£1.43M</w:t>
            </w:r>
          </w:p>
        </w:tc>
        <w:tc>
          <w:tcPr>
            <w:tcW w:w="2200" w:type="dxa"/>
            <w:shd w:val="clear" w:color="auto" w:fill="FFFFFF"/>
            <w:tcMar>
              <w:top w:w="80" w:type="dxa"/>
              <w:left w:w="120" w:type="dxa"/>
              <w:bottom w:w="80" w:type="dxa"/>
              <w:right w:w="120" w:type="dxa"/>
            </w:tcMar>
          </w:tcPr>
          <w:p w:rsidR="00680658" w:rsidRDefault="00907C73">
            <w:r>
              <w:rPr>
                <w:color w:val="444444"/>
              </w:rPr>
              <w:t>-4.0%</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lastRenderedPageBreak/>
              <w:t>Birmingham</w:t>
            </w:r>
          </w:p>
        </w:tc>
        <w:tc>
          <w:tcPr>
            <w:tcW w:w="2200" w:type="dxa"/>
            <w:shd w:val="clear" w:color="auto" w:fill="FFFFFF"/>
            <w:tcMar>
              <w:top w:w="80" w:type="dxa"/>
              <w:left w:w="120" w:type="dxa"/>
              <w:bottom w:w="80" w:type="dxa"/>
              <w:right w:w="120" w:type="dxa"/>
            </w:tcMar>
          </w:tcPr>
          <w:p w:rsidR="00680658" w:rsidRDefault="00907C73">
            <w:r>
              <w:rPr>
                <w:color w:val="444444"/>
              </w:rPr>
              <w:t>£1.27M</w:t>
            </w:r>
          </w:p>
        </w:tc>
        <w:tc>
          <w:tcPr>
            <w:tcW w:w="2200" w:type="dxa"/>
            <w:shd w:val="clear" w:color="auto" w:fill="FFFFFF"/>
            <w:tcMar>
              <w:top w:w="80" w:type="dxa"/>
              <w:left w:w="120" w:type="dxa"/>
              <w:bottom w:w="80" w:type="dxa"/>
              <w:right w:w="120" w:type="dxa"/>
            </w:tcMar>
          </w:tcPr>
          <w:p w:rsidR="00680658" w:rsidRDefault="00907C73">
            <w:r>
              <w:rPr>
                <w:color w:val="444444"/>
              </w:rPr>
              <w:t>£1.19M</w:t>
            </w:r>
          </w:p>
        </w:tc>
        <w:tc>
          <w:tcPr>
            <w:tcW w:w="2200" w:type="dxa"/>
            <w:shd w:val="clear" w:color="auto" w:fill="FFFFFF"/>
            <w:tcMar>
              <w:top w:w="80" w:type="dxa"/>
              <w:left w:w="120" w:type="dxa"/>
              <w:bottom w:w="80" w:type="dxa"/>
              <w:right w:w="120" w:type="dxa"/>
            </w:tcMar>
          </w:tcPr>
          <w:p w:rsidR="00680658" w:rsidRDefault="00907C73">
            <w:r>
              <w:rPr>
                <w:color w:val="444444"/>
              </w:rPr>
              <w:t>-6.3%</w:t>
            </w:r>
          </w:p>
        </w:tc>
      </w:tr>
    </w:tbl>
    <w:p w:rsidR="00680658" w:rsidRDefault="00680658">
      <w:pPr>
        <w:spacing w:after="160"/>
      </w:pPr>
    </w:p>
    <w:p w:rsidR="00680658" w:rsidRDefault="00907C73">
      <w:pPr>
        <w:spacing w:after="140"/>
      </w:pPr>
      <w:r>
        <w:rPr>
          <w:color w:val="444444"/>
          <w:sz w:val="22"/>
          <w:szCs w:val="22"/>
        </w:rPr>
        <w:t>Every one of the four sites sold less in the P5–P7 window of 2025 than in the same window in 2024. Birmingham fell furthest in percentage terms (-6.3%); London and Manchester both fell by a very similar -3.7%. The consistency of the decline across all site</w:t>
      </w:r>
      <w:r>
        <w:rPr>
          <w:color w:val="444444"/>
          <w:sz w:val="22"/>
          <w:szCs w:val="22"/>
        </w:rPr>
        <w:t>s — rather than one underperforming outlier — suggests a shared, business-wide driver rather than a site-specific problem.</w:t>
      </w:r>
    </w:p>
    <w:p w:rsidR="00680658" w:rsidRDefault="00907C73">
      <w:pPr>
        <w:pStyle w:val="Heading2"/>
        <w:spacing w:before="240" w:after="120"/>
      </w:pPr>
      <w:r>
        <w:rPr>
          <w:b/>
          <w:bCs/>
          <w:color w:val="C0622D"/>
          <w:sz w:val="24"/>
          <w:szCs w:val="24"/>
        </w:rPr>
        <w:t>2.2 Year-on-year sales performance: discount rates rose at every site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680658">
        <w:tblPrEx>
          <w:tblCellMar>
            <w:top w:w="0" w:type="dxa"/>
            <w:bottom w:w="0" w:type="dxa"/>
          </w:tblCellMar>
        </w:tblPrEx>
        <w:trPr>
          <w:tblHeader/>
        </w:trPr>
        <w:tc>
          <w:tcPr>
            <w:tcW w:w="2600" w:type="dxa"/>
            <w:shd w:val="clear" w:color="auto" w:fill="C0622D"/>
            <w:tcMar>
              <w:top w:w="80" w:type="dxa"/>
              <w:left w:w="120" w:type="dxa"/>
              <w:bottom w:w="80" w:type="dxa"/>
              <w:right w:w="120" w:type="dxa"/>
            </w:tcMar>
          </w:tcPr>
          <w:p w:rsidR="00680658" w:rsidRDefault="00907C73">
            <w:r>
              <w:rPr>
                <w:b/>
                <w:bCs/>
                <w:color w:val="FFFFFF"/>
              </w:rPr>
              <w:t>Site</w:t>
            </w:r>
          </w:p>
        </w:tc>
        <w:tc>
          <w:tcPr>
            <w:tcW w:w="2200" w:type="dxa"/>
            <w:shd w:val="clear" w:color="auto" w:fill="C0622D"/>
            <w:tcMar>
              <w:top w:w="80" w:type="dxa"/>
              <w:left w:w="120" w:type="dxa"/>
              <w:bottom w:w="80" w:type="dxa"/>
              <w:right w:w="120" w:type="dxa"/>
            </w:tcMar>
          </w:tcPr>
          <w:p w:rsidR="00680658" w:rsidRDefault="00907C73">
            <w:r>
              <w:rPr>
                <w:b/>
                <w:bCs/>
                <w:color w:val="FFFFFF"/>
              </w:rPr>
              <w:t>2024 Discount %</w:t>
            </w:r>
          </w:p>
        </w:tc>
        <w:tc>
          <w:tcPr>
            <w:tcW w:w="2200" w:type="dxa"/>
            <w:shd w:val="clear" w:color="auto" w:fill="C0622D"/>
            <w:tcMar>
              <w:top w:w="80" w:type="dxa"/>
              <w:left w:w="120" w:type="dxa"/>
              <w:bottom w:w="80" w:type="dxa"/>
              <w:right w:w="120" w:type="dxa"/>
            </w:tcMar>
          </w:tcPr>
          <w:p w:rsidR="00680658" w:rsidRDefault="00907C73">
            <w:r>
              <w:rPr>
                <w:b/>
                <w:bCs/>
                <w:color w:val="FFFFFF"/>
              </w:rPr>
              <w:t>2025 Discount %</w:t>
            </w:r>
          </w:p>
        </w:tc>
        <w:tc>
          <w:tcPr>
            <w:tcW w:w="2200" w:type="dxa"/>
            <w:shd w:val="clear" w:color="auto" w:fill="C0622D"/>
            <w:tcMar>
              <w:top w:w="80" w:type="dxa"/>
              <w:left w:w="120" w:type="dxa"/>
              <w:bottom w:w="80" w:type="dxa"/>
              <w:right w:w="120" w:type="dxa"/>
            </w:tcMar>
          </w:tcPr>
          <w:p w:rsidR="00680658" w:rsidRDefault="00907C73">
            <w:r>
              <w:rPr>
                <w:b/>
                <w:bCs/>
                <w:color w:val="FFFFFF"/>
              </w:rPr>
              <w:t>Change</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London</w:t>
            </w:r>
          </w:p>
        </w:tc>
        <w:tc>
          <w:tcPr>
            <w:tcW w:w="2200" w:type="dxa"/>
            <w:shd w:val="clear" w:color="auto" w:fill="FFFFFF"/>
            <w:tcMar>
              <w:top w:w="80" w:type="dxa"/>
              <w:left w:w="120" w:type="dxa"/>
              <w:bottom w:w="80" w:type="dxa"/>
              <w:right w:w="120" w:type="dxa"/>
            </w:tcMar>
          </w:tcPr>
          <w:p w:rsidR="00680658" w:rsidRDefault="00907C73">
            <w:r>
              <w:rPr>
                <w:color w:val="444444"/>
              </w:rPr>
              <w:t>4.97%</w:t>
            </w:r>
          </w:p>
        </w:tc>
        <w:tc>
          <w:tcPr>
            <w:tcW w:w="2200" w:type="dxa"/>
            <w:shd w:val="clear" w:color="auto" w:fill="FFFFFF"/>
            <w:tcMar>
              <w:top w:w="80" w:type="dxa"/>
              <w:left w:w="120" w:type="dxa"/>
              <w:bottom w:w="80" w:type="dxa"/>
              <w:right w:w="120" w:type="dxa"/>
            </w:tcMar>
          </w:tcPr>
          <w:p w:rsidR="00680658" w:rsidRDefault="00907C73">
            <w:r>
              <w:rPr>
                <w:color w:val="444444"/>
              </w:rPr>
              <w:t>6.11%</w:t>
            </w:r>
          </w:p>
        </w:tc>
        <w:tc>
          <w:tcPr>
            <w:tcW w:w="2200" w:type="dxa"/>
            <w:shd w:val="clear" w:color="auto" w:fill="FFFFFF"/>
            <w:tcMar>
              <w:top w:w="80" w:type="dxa"/>
              <w:left w:w="120" w:type="dxa"/>
              <w:bottom w:w="80" w:type="dxa"/>
              <w:right w:w="120" w:type="dxa"/>
            </w:tcMar>
          </w:tcPr>
          <w:p w:rsidR="00680658" w:rsidRDefault="00907C73">
            <w:r>
              <w:rPr>
                <w:color w:val="444444"/>
              </w:rPr>
              <w:t>+1.14pp</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Manchester</w:t>
            </w:r>
          </w:p>
        </w:tc>
        <w:tc>
          <w:tcPr>
            <w:tcW w:w="2200" w:type="dxa"/>
            <w:shd w:val="clear" w:color="auto" w:fill="FFFFFF"/>
            <w:tcMar>
              <w:top w:w="80" w:type="dxa"/>
              <w:left w:w="120" w:type="dxa"/>
              <w:bottom w:w="80" w:type="dxa"/>
              <w:right w:w="120" w:type="dxa"/>
            </w:tcMar>
          </w:tcPr>
          <w:p w:rsidR="00680658" w:rsidRDefault="00907C73">
            <w:r>
              <w:rPr>
                <w:color w:val="444444"/>
              </w:rPr>
              <w:t>6.35%</w:t>
            </w:r>
          </w:p>
        </w:tc>
        <w:tc>
          <w:tcPr>
            <w:tcW w:w="2200" w:type="dxa"/>
            <w:shd w:val="clear" w:color="auto" w:fill="FFFFFF"/>
            <w:tcMar>
              <w:top w:w="80" w:type="dxa"/>
              <w:left w:w="120" w:type="dxa"/>
              <w:bottom w:w="80" w:type="dxa"/>
              <w:right w:w="120" w:type="dxa"/>
            </w:tcMar>
          </w:tcPr>
          <w:p w:rsidR="00680658" w:rsidRDefault="00907C73">
            <w:r>
              <w:rPr>
                <w:color w:val="444444"/>
              </w:rPr>
              <w:t>7.60%</w:t>
            </w:r>
          </w:p>
        </w:tc>
        <w:tc>
          <w:tcPr>
            <w:tcW w:w="2200" w:type="dxa"/>
            <w:shd w:val="clear" w:color="auto" w:fill="FFFFFF"/>
            <w:tcMar>
              <w:top w:w="80" w:type="dxa"/>
              <w:left w:w="120" w:type="dxa"/>
              <w:bottom w:w="80" w:type="dxa"/>
              <w:right w:w="120" w:type="dxa"/>
            </w:tcMar>
          </w:tcPr>
          <w:p w:rsidR="00680658" w:rsidRDefault="00907C73">
            <w:r>
              <w:rPr>
                <w:color w:val="444444"/>
              </w:rPr>
              <w:t>+1.25pp</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Liverpool</w:t>
            </w:r>
          </w:p>
        </w:tc>
        <w:tc>
          <w:tcPr>
            <w:tcW w:w="2200" w:type="dxa"/>
            <w:shd w:val="clear" w:color="auto" w:fill="FFFFFF"/>
            <w:tcMar>
              <w:top w:w="80" w:type="dxa"/>
              <w:left w:w="120" w:type="dxa"/>
              <w:bottom w:w="80" w:type="dxa"/>
              <w:right w:w="120" w:type="dxa"/>
            </w:tcMar>
          </w:tcPr>
          <w:p w:rsidR="00680658" w:rsidRDefault="00907C73">
            <w:r>
              <w:rPr>
                <w:color w:val="444444"/>
              </w:rPr>
              <w:t>6.43%</w:t>
            </w:r>
          </w:p>
        </w:tc>
        <w:tc>
          <w:tcPr>
            <w:tcW w:w="2200" w:type="dxa"/>
            <w:shd w:val="clear" w:color="auto" w:fill="FFFFFF"/>
            <w:tcMar>
              <w:top w:w="80" w:type="dxa"/>
              <w:left w:w="120" w:type="dxa"/>
              <w:bottom w:w="80" w:type="dxa"/>
              <w:right w:w="120" w:type="dxa"/>
            </w:tcMar>
          </w:tcPr>
          <w:p w:rsidR="00680658" w:rsidRDefault="00907C73">
            <w:r>
              <w:rPr>
                <w:color w:val="444444"/>
              </w:rPr>
              <w:t>7.34%</w:t>
            </w:r>
          </w:p>
        </w:tc>
        <w:tc>
          <w:tcPr>
            <w:tcW w:w="2200" w:type="dxa"/>
            <w:shd w:val="clear" w:color="auto" w:fill="FFFFFF"/>
            <w:tcMar>
              <w:top w:w="80" w:type="dxa"/>
              <w:left w:w="120" w:type="dxa"/>
              <w:bottom w:w="80" w:type="dxa"/>
              <w:right w:w="120" w:type="dxa"/>
            </w:tcMar>
          </w:tcPr>
          <w:p w:rsidR="00680658" w:rsidRDefault="00907C73">
            <w:r>
              <w:rPr>
                <w:color w:val="444444"/>
              </w:rPr>
              <w:t>+0.91pp</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Birmingham</w:t>
            </w:r>
          </w:p>
        </w:tc>
        <w:tc>
          <w:tcPr>
            <w:tcW w:w="2200" w:type="dxa"/>
            <w:shd w:val="clear" w:color="auto" w:fill="FFFFFF"/>
            <w:tcMar>
              <w:top w:w="80" w:type="dxa"/>
              <w:left w:w="120" w:type="dxa"/>
              <w:bottom w:w="80" w:type="dxa"/>
              <w:right w:w="120" w:type="dxa"/>
            </w:tcMar>
          </w:tcPr>
          <w:p w:rsidR="00680658" w:rsidRDefault="00907C73">
            <w:r>
              <w:rPr>
                <w:color w:val="444444"/>
              </w:rPr>
              <w:t>5.00%</w:t>
            </w:r>
          </w:p>
        </w:tc>
        <w:tc>
          <w:tcPr>
            <w:tcW w:w="2200" w:type="dxa"/>
            <w:shd w:val="clear" w:color="auto" w:fill="FFFFFF"/>
            <w:tcMar>
              <w:top w:w="80" w:type="dxa"/>
              <w:left w:w="120" w:type="dxa"/>
              <w:bottom w:w="80" w:type="dxa"/>
              <w:right w:w="120" w:type="dxa"/>
            </w:tcMar>
          </w:tcPr>
          <w:p w:rsidR="00680658" w:rsidRDefault="00907C73">
            <w:r>
              <w:rPr>
                <w:color w:val="444444"/>
              </w:rPr>
              <w:t>6.20%</w:t>
            </w:r>
          </w:p>
        </w:tc>
        <w:tc>
          <w:tcPr>
            <w:tcW w:w="2200" w:type="dxa"/>
            <w:shd w:val="clear" w:color="auto" w:fill="FFFFFF"/>
            <w:tcMar>
              <w:top w:w="80" w:type="dxa"/>
              <w:left w:w="120" w:type="dxa"/>
              <w:bottom w:w="80" w:type="dxa"/>
              <w:right w:w="120" w:type="dxa"/>
            </w:tcMar>
          </w:tcPr>
          <w:p w:rsidR="00680658" w:rsidRDefault="00907C73">
            <w:r>
              <w:rPr>
                <w:color w:val="444444"/>
              </w:rPr>
              <w:t>+1.20pp</w:t>
            </w:r>
          </w:p>
        </w:tc>
      </w:tr>
    </w:tbl>
    <w:p w:rsidR="00680658" w:rsidRDefault="00680658">
      <w:pPr>
        <w:spacing w:after="160"/>
      </w:pPr>
    </w:p>
    <w:p w:rsidR="00680658" w:rsidRDefault="00907C73">
      <w:pPr>
        <w:spacing w:after="140"/>
      </w:pPr>
      <w:r>
        <w:rPr>
          <w:color w:val="444444"/>
          <w:sz w:val="22"/>
          <w:szCs w:val="22"/>
        </w:rPr>
        <w:t xml:space="preserve">Discounting increased by roughly 1 percentage point at every single site. This uniform rise, occurring alongside a uniform sales decline, points to increased promotional activity in 2025 that has not translated into higher net sales — more was given away, </w:t>
      </w:r>
      <w:r>
        <w:rPr>
          <w:color w:val="444444"/>
          <w:sz w:val="22"/>
          <w:szCs w:val="22"/>
        </w:rPr>
        <w:t>but overall revenue still fell.</w:t>
      </w:r>
    </w:p>
    <w:p w:rsidR="00680658" w:rsidRDefault="00907C73">
      <w:pPr>
        <w:pStyle w:val="Heading2"/>
        <w:spacing w:before="240" w:after="120"/>
      </w:pPr>
      <w:r>
        <w:rPr>
          <w:b/>
          <w:bCs/>
          <w:color w:val="C0622D"/>
          <w:sz w:val="24"/>
          <w:szCs w:val="24"/>
        </w:rPr>
        <w:t>2.3 Site-level performance: London leads on volume, Liverpool leads on average order value</w:t>
      </w:r>
    </w:p>
    <w:p w:rsidR="00680658" w:rsidRDefault="00907C73">
      <w:pPr>
        <w:spacing w:after="140"/>
      </w:pPr>
      <w:r>
        <w:rPr>
          <w:color w:val="444444"/>
          <w:sz w:val="22"/>
          <w:szCs w:val="22"/>
        </w:rPr>
        <w:t>London is the clear volume leader, generating the most net sales and the highest order count of the four sites in both years. Liverpo</w:t>
      </w:r>
      <w:r>
        <w:rPr>
          <w:color w:val="444444"/>
          <w:sz w:val="22"/>
          <w:szCs w:val="22"/>
        </w:rPr>
        <w:t>ol, despite having the lowest order count, consistently posts the highest average order value (£109.99 in 2024, £114.53 in 2025) — customers there are spending more per visit even though fewer of them are coming in. Birmingham has the highest average items</w:t>
      </w:r>
      <w:r>
        <w:rPr>
          <w:color w:val="444444"/>
          <w:sz w:val="22"/>
          <w:szCs w:val="22"/>
        </w:rPr>
        <w:t xml:space="preserve"> per order (around 9.5–10) but a comparatively low average order value, suggesting a lower-priced item mix.</w:t>
      </w:r>
    </w:p>
    <w:p w:rsidR="00680658" w:rsidRDefault="00907C73">
      <w:pPr>
        <w:pStyle w:val="Heading2"/>
        <w:spacing w:before="240" w:after="120"/>
      </w:pPr>
      <w:r>
        <w:rPr>
          <w:b/>
          <w:bCs/>
          <w:color w:val="C0622D"/>
          <w:sz w:val="24"/>
          <w:szCs w:val="24"/>
        </w:rPr>
        <w:t>2.4 Week-on-week performance trends (using the financial calendar)</w:t>
      </w:r>
    </w:p>
    <w:p w:rsidR="00680658" w:rsidRDefault="00907C73">
      <w:pPr>
        <w:spacing w:after="140"/>
      </w:pPr>
      <w:r>
        <w:rPr>
          <w:color w:val="444444"/>
          <w:sz w:val="22"/>
          <w:szCs w:val="22"/>
        </w:rPr>
        <w:t xml:space="preserve">Breaking net sales down by financial period (rather than just by year) shows the </w:t>
      </w:r>
      <w:r>
        <w:rPr>
          <w:color w:val="444444"/>
          <w:sz w:val="22"/>
          <w:szCs w:val="22"/>
        </w:rPr>
        <w:t>shape of the trading window clearly:</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2200"/>
        <w:gridCol w:w="2000"/>
        <w:gridCol w:w="2000"/>
      </w:tblGrid>
      <w:tr w:rsidR="00680658">
        <w:tblPrEx>
          <w:tblCellMar>
            <w:top w:w="0" w:type="dxa"/>
            <w:bottom w:w="0" w:type="dxa"/>
          </w:tblCellMar>
        </w:tblPrEx>
        <w:trPr>
          <w:tblHeader/>
        </w:trPr>
        <w:tc>
          <w:tcPr>
            <w:tcW w:w="2100" w:type="dxa"/>
            <w:shd w:val="clear" w:color="auto" w:fill="C0622D"/>
            <w:tcMar>
              <w:top w:w="80" w:type="dxa"/>
              <w:left w:w="120" w:type="dxa"/>
              <w:bottom w:w="80" w:type="dxa"/>
              <w:right w:w="120" w:type="dxa"/>
            </w:tcMar>
          </w:tcPr>
          <w:p w:rsidR="00680658" w:rsidRDefault="00907C73">
            <w:r>
              <w:rPr>
                <w:b/>
                <w:bCs/>
                <w:color w:val="FFFFFF"/>
              </w:rPr>
              <w:t>Period</w:t>
            </w:r>
          </w:p>
        </w:tc>
        <w:tc>
          <w:tcPr>
            <w:tcW w:w="2200" w:type="dxa"/>
            <w:shd w:val="clear" w:color="auto" w:fill="C0622D"/>
            <w:tcMar>
              <w:top w:w="80" w:type="dxa"/>
              <w:left w:w="120" w:type="dxa"/>
              <w:bottom w:w="80" w:type="dxa"/>
              <w:right w:w="120" w:type="dxa"/>
            </w:tcMar>
          </w:tcPr>
          <w:p w:rsidR="00680658" w:rsidRDefault="00907C73">
            <w:r>
              <w:rPr>
                <w:b/>
                <w:bCs/>
                <w:color w:val="FFFFFF"/>
              </w:rPr>
              <w:t>2024 Net Sales</w:t>
            </w:r>
          </w:p>
        </w:tc>
        <w:tc>
          <w:tcPr>
            <w:tcW w:w="2200" w:type="dxa"/>
            <w:shd w:val="clear" w:color="auto" w:fill="C0622D"/>
            <w:tcMar>
              <w:top w:w="80" w:type="dxa"/>
              <w:left w:w="120" w:type="dxa"/>
              <w:bottom w:w="80" w:type="dxa"/>
              <w:right w:w="120" w:type="dxa"/>
            </w:tcMar>
          </w:tcPr>
          <w:p w:rsidR="00680658" w:rsidRDefault="00907C73">
            <w:r>
              <w:rPr>
                <w:b/>
                <w:bCs/>
                <w:color w:val="FFFFFF"/>
              </w:rPr>
              <w:t>2025 Net Sales</w:t>
            </w:r>
          </w:p>
        </w:tc>
        <w:tc>
          <w:tcPr>
            <w:tcW w:w="2000" w:type="dxa"/>
            <w:shd w:val="clear" w:color="auto" w:fill="C0622D"/>
            <w:tcMar>
              <w:top w:w="80" w:type="dxa"/>
              <w:left w:w="120" w:type="dxa"/>
              <w:bottom w:w="80" w:type="dxa"/>
              <w:right w:w="120" w:type="dxa"/>
            </w:tcMar>
          </w:tcPr>
          <w:p w:rsidR="00680658" w:rsidRDefault="00907C73">
            <w:r>
              <w:rPr>
                <w:b/>
                <w:bCs/>
                <w:color w:val="FFFFFF"/>
              </w:rPr>
              <w:t>2024 Orders</w:t>
            </w:r>
          </w:p>
        </w:tc>
        <w:tc>
          <w:tcPr>
            <w:tcW w:w="2000" w:type="dxa"/>
            <w:shd w:val="clear" w:color="auto" w:fill="C0622D"/>
            <w:tcMar>
              <w:top w:w="80" w:type="dxa"/>
              <w:left w:w="120" w:type="dxa"/>
              <w:bottom w:w="80" w:type="dxa"/>
              <w:right w:w="120" w:type="dxa"/>
            </w:tcMar>
          </w:tcPr>
          <w:p w:rsidR="00680658" w:rsidRDefault="00907C73">
            <w:r>
              <w:rPr>
                <w:b/>
                <w:bCs/>
                <w:color w:val="FFFFFF"/>
              </w:rPr>
              <w:t>2025 Orders</w:t>
            </w:r>
          </w:p>
        </w:tc>
      </w:tr>
      <w:tr w:rsidR="00680658">
        <w:tblPrEx>
          <w:tblCellMar>
            <w:top w:w="0" w:type="dxa"/>
            <w:bottom w:w="0" w:type="dxa"/>
          </w:tblCellMar>
        </w:tblPrEx>
        <w:tc>
          <w:tcPr>
            <w:tcW w:w="2100" w:type="dxa"/>
            <w:shd w:val="clear" w:color="auto" w:fill="FFFFFF"/>
            <w:tcMar>
              <w:top w:w="80" w:type="dxa"/>
              <w:left w:w="120" w:type="dxa"/>
              <w:bottom w:w="80" w:type="dxa"/>
              <w:right w:w="120" w:type="dxa"/>
            </w:tcMar>
          </w:tcPr>
          <w:p w:rsidR="00680658" w:rsidRDefault="00907C73">
            <w:r>
              <w:rPr>
                <w:color w:val="444444"/>
              </w:rPr>
              <w:t>P5</w:t>
            </w:r>
          </w:p>
        </w:tc>
        <w:tc>
          <w:tcPr>
            <w:tcW w:w="2200" w:type="dxa"/>
            <w:shd w:val="clear" w:color="auto" w:fill="FFFFFF"/>
            <w:tcMar>
              <w:top w:w="80" w:type="dxa"/>
              <w:left w:w="120" w:type="dxa"/>
              <w:bottom w:w="80" w:type="dxa"/>
              <w:right w:w="120" w:type="dxa"/>
            </w:tcMar>
          </w:tcPr>
          <w:p w:rsidR="00680658" w:rsidRDefault="00907C73">
            <w:r>
              <w:rPr>
                <w:color w:val="444444"/>
              </w:rPr>
              <w:t>£2.6M</w:t>
            </w:r>
          </w:p>
        </w:tc>
        <w:tc>
          <w:tcPr>
            <w:tcW w:w="2200" w:type="dxa"/>
            <w:shd w:val="clear" w:color="auto" w:fill="FFFFFF"/>
            <w:tcMar>
              <w:top w:w="80" w:type="dxa"/>
              <w:left w:w="120" w:type="dxa"/>
              <w:bottom w:w="80" w:type="dxa"/>
              <w:right w:w="120" w:type="dxa"/>
            </w:tcMar>
          </w:tcPr>
          <w:p w:rsidR="00680658" w:rsidRDefault="00907C73">
            <w:r>
              <w:rPr>
                <w:color w:val="444444"/>
              </w:rPr>
              <w:t>£2.5M</w:t>
            </w:r>
          </w:p>
        </w:tc>
        <w:tc>
          <w:tcPr>
            <w:tcW w:w="2000" w:type="dxa"/>
            <w:shd w:val="clear" w:color="auto" w:fill="FFFFFF"/>
            <w:tcMar>
              <w:top w:w="80" w:type="dxa"/>
              <w:left w:w="120" w:type="dxa"/>
              <w:bottom w:w="80" w:type="dxa"/>
              <w:right w:w="120" w:type="dxa"/>
            </w:tcMar>
          </w:tcPr>
          <w:p w:rsidR="00680658" w:rsidRDefault="00907C73">
            <w:r>
              <w:rPr>
                <w:color w:val="444444"/>
              </w:rPr>
              <w:t>25K</w:t>
            </w:r>
          </w:p>
        </w:tc>
        <w:tc>
          <w:tcPr>
            <w:tcW w:w="2000" w:type="dxa"/>
            <w:shd w:val="clear" w:color="auto" w:fill="FFFFFF"/>
            <w:tcMar>
              <w:top w:w="80" w:type="dxa"/>
              <w:left w:w="120" w:type="dxa"/>
              <w:bottom w:w="80" w:type="dxa"/>
              <w:right w:w="120" w:type="dxa"/>
            </w:tcMar>
          </w:tcPr>
          <w:p w:rsidR="00680658" w:rsidRDefault="00907C73">
            <w:r>
              <w:rPr>
                <w:color w:val="444444"/>
              </w:rPr>
              <w:t>23K</w:t>
            </w:r>
          </w:p>
        </w:tc>
      </w:tr>
      <w:tr w:rsidR="00680658">
        <w:tblPrEx>
          <w:tblCellMar>
            <w:top w:w="0" w:type="dxa"/>
            <w:bottom w:w="0" w:type="dxa"/>
          </w:tblCellMar>
        </w:tblPrEx>
        <w:tc>
          <w:tcPr>
            <w:tcW w:w="2100" w:type="dxa"/>
            <w:shd w:val="clear" w:color="auto" w:fill="FFFFFF"/>
            <w:tcMar>
              <w:top w:w="80" w:type="dxa"/>
              <w:left w:w="120" w:type="dxa"/>
              <w:bottom w:w="80" w:type="dxa"/>
              <w:right w:w="120" w:type="dxa"/>
            </w:tcMar>
          </w:tcPr>
          <w:p w:rsidR="00680658" w:rsidRDefault="00907C73">
            <w:r>
              <w:rPr>
                <w:color w:val="444444"/>
              </w:rPr>
              <w:t>P6</w:t>
            </w:r>
          </w:p>
        </w:tc>
        <w:tc>
          <w:tcPr>
            <w:tcW w:w="2200" w:type="dxa"/>
            <w:shd w:val="clear" w:color="auto" w:fill="FFFFFF"/>
            <w:tcMar>
              <w:top w:w="80" w:type="dxa"/>
              <w:left w:w="120" w:type="dxa"/>
              <w:bottom w:w="80" w:type="dxa"/>
              <w:right w:w="120" w:type="dxa"/>
            </w:tcMar>
          </w:tcPr>
          <w:p w:rsidR="00680658" w:rsidRDefault="00907C73">
            <w:r>
              <w:rPr>
                <w:color w:val="444444"/>
              </w:rPr>
              <w:t>£3.9M</w:t>
            </w:r>
          </w:p>
        </w:tc>
        <w:tc>
          <w:tcPr>
            <w:tcW w:w="2200" w:type="dxa"/>
            <w:shd w:val="clear" w:color="auto" w:fill="FFFFFF"/>
            <w:tcMar>
              <w:top w:w="80" w:type="dxa"/>
              <w:left w:w="120" w:type="dxa"/>
              <w:bottom w:w="80" w:type="dxa"/>
              <w:right w:w="120" w:type="dxa"/>
            </w:tcMar>
          </w:tcPr>
          <w:p w:rsidR="00680658" w:rsidRDefault="00907C73">
            <w:r>
              <w:rPr>
                <w:color w:val="444444"/>
              </w:rPr>
              <w:t>£3.5M</w:t>
            </w:r>
          </w:p>
        </w:tc>
        <w:tc>
          <w:tcPr>
            <w:tcW w:w="2000" w:type="dxa"/>
            <w:shd w:val="clear" w:color="auto" w:fill="FFFFFF"/>
            <w:tcMar>
              <w:top w:w="80" w:type="dxa"/>
              <w:left w:w="120" w:type="dxa"/>
              <w:bottom w:w="80" w:type="dxa"/>
              <w:right w:w="120" w:type="dxa"/>
            </w:tcMar>
          </w:tcPr>
          <w:p w:rsidR="00680658" w:rsidRDefault="00907C73">
            <w:r>
              <w:rPr>
                <w:color w:val="444444"/>
              </w:rPr>
              <w:t>38K</w:t>
            </w:r>
          </w:p>
        </w:tc>
        <w:tc>
          <w:tcPr>
            <w:tcW w:w="2000" w:type="dxa"/>
            <w:shd w:val="clear" w:color="auto" w:fill="FFFFFF"/>
            <w:tcMar>
              <w:top w:w="80" w:type="dxa"/>
              <w:left w:w="120" w:type="dxa"/>
              <w:bottom w:w="80" w:type="dxa"/>
              <w:right w:w="120" w:type="dxa"/>
            </w:tcMar>
          </w:tcPr>
          <w:p w:rsidR="00680658" w:rsidRDefault="00907C73">
            <w:r>
              <w:rPr>
                <w:color w:val="444444"/>
              </w:rPr>
              <w:t>34K</w:t>
            </w:r>
          </w:p>
        </w:tc>
      </w:tr>
      <w:tr w:rsidR="00680658">
        <w:tblPrEx>
          <w:tblCellMar>
            <w:top w:w="0" w:type="dxa"/>
            <w:bottom w:w="0" w:type="dxa"/>
          </w:tblCellMar>
        </w:tblPrEx>
        <w:tc>
          <w:tcPr>
            <w:tcW w:w="2100" w:type="dxa"/>
            <w:shd w:val="clear" w:color="auto" w:fill="FFFFFF"/>
            <w:tcMar>
              <w:top w:w="80" w:type="dxa"/>
              <w:left w:w="120" w:type="dxa"/>
              <w:bottom w:w="80" w:type="dxa"/>
              <w:right w:w="120" w:type="dxa"/>
            </w:tcMar>
          </w:tcPr>
          <w:p w:rsidR="00680658" w:rsidRDefault="00907C73">
            <w:r>
              <w:rPr>
                <w:color w:val="444444"/>
              </w:rPr>
              <w:t>P7 (partial)</w:t>
            </w:r>
          </w:p>
        </w:tc>
        <w:tc>
          <w:tcPr>
            <w:tcW w:w="2200" w:type="dxa"/>
            <w:shd w:val="clear" w:color="auto" w:fill="FFFFFF"/>
            <w:tcMar>
              <w:top w:w="80" w:type="dxa"/>
              <w:left w:w="120" w:type="dxa"/>
              <w:bottom w:w="80" w:type="dxa"/>
              <w:right w:w="120" w:type="dxa"/>
            </w:tcMar>
          </w:tcPr>
          <w:p w:rsidR="00680658" w:rsidRDefault="00907C73">
            <w:r>
              <w:rPr>
                <w:color w:val="444444"/>
              </w:rPr>
              <w:t>£49K</w:t>
            </w:r>
          </w:p>
        </w:tc>
        <w:tc>
          <w:tcPr>
            <w:tcW w:w="2200" w:type="dxa"/>
            <w:shd w:val="clear" w:color="auto" w:fill="FFFFFF"/>
            <w:tcMar>
              <w:top w:w="80" w:type="dxa"/>
              <w:left w:w="120" w:type="dxa"/>
              <w:bottom w:w="80" w:type="dxa"/>
              <w:right w:w="120" w:type="dxa"/>
            </w:tcMar>
          </w:tcPr>
          <w:p w:rsidR="00680658" w:rsidRDefault="00907C73">
            <w:r>
              <w:rPr>
                <w:color w:val="444444"/>
              </w:rPr>
              <w:t>£220K</w:t>
            </w:r>
          </w:p>
        </w:tc>
        <w:tc>
          <w:tcPr>
            <w:tcW w:w="2000" w:type="dxa"/>
            <w:shd w:val="clear" w:color="auto" w:fill="FFFFFF"/>
            <w:tcMar>
              <w:top w:w="80" w:type="dxa"/>
              <w:left w:w="120" w:type="dxa"/>
              <w:bottom w:w="80" w:type="dxa"/>
              <w:right w:w="120" w:type="dxa"/>
            </w:tcMar>
          </w:tcPr>
          <w:p w:rsidR="00680658" w:rsidRDefault="00907C73">
            <w:r>
              <w:rPr>
                <w:color w:val="444444"/>
              </w:rPr>
              <w:t>554</w:t>
            </w:r>
          </w:p>
        </w:tc>
        <w:tc>
          <w:tcPr>
            <w:tcW w:w="2000" w:type="dxa"/>
            <w:shd w:val="clear" w:color="auto" w:fill="FFFFFF"/>
            <w:tcMar>
              <w:top w:w="80" w:type="dxa"/>
              <w:left w:w="120" w:type="dxa"/>
              <w:bottom w:w="80" w:type="dxa"/>
              <w:right w:w="120" w:type="dxa"/>
            </w:tcMar>
          </w:tcPr>
          <w:p w:rsidR="00680658" w:rsidRDefault="00907C73">
            <w:r>
              <w:rPr>
                <w:color w:val="444444"/>
              </w:rPr>
              <w:t>2.0K</w:t>
            </w:r>
          </w:p>
        </w:tc>
      </w:tr>
    </w:tbl>
    <w:p w:rsidR="00680658" w:rsidRDefault="00680658">
      <w:pPr>
        <w:spacing w:after="160"/>
      </w:pPr>
    </w:p>
    <w:p w:rsidR="00680658" w:rsidRDefault="00907C73">
      <w:pPr>
        <w:spacing w:after="140"/>
      </w:pPr>
      <w:r>
        <w:rPr>
          <w:color w:val="444444"/>
          <w:sz w:val="22"/>
          <w:szCs w:val="22"/>
        </w:rPr>
        <w:t xml:space="preserve">All figures above are read directly off the dashboard (filtered by year, quarter and period). P7 in both years is a partial period — the extract simply stops on 1 July — so it's not comparable to a full period and shouldn't be read as a 'decline'; note it </w:t>
      </w:r>
      <w:r>
        <w:rPr>
          <w:color w:val="444444"/>
          <w:sz w:val="22"/>
          <w:szCs w:val="22"/>
        </w:rPr>
        <w:t>is, however, notably larger in 2025 (£220K, 2.0K orders) than in 2024 (£49K, 554 orders), consistent with the 2025 extract running slightly further into P7 than the 2024 one.</w:t>
      </w:r>
    </w:p>
    <w:p w:rsidR="00680658" w:rsidRDefault="00907C73">
      <w:pPr>
        <w:spacing w:after="140"/>
      </w:pPr>
      <w:r>
        <w:rPr>
          <w:color w:val="444444"/>
          <w:sz w:val="22"/>
          <w:szCs w:val="22"/>
        </w:rPr>
        <w:t xml:space="preserve">Net sales build from P5 into P6 (the strongest period by a clear margin) in both </w:t>
      </w:r>
      <w:r>
        <w:rPr>
          <w:color w:val="444444"/>
          <w:sz w:val="22"/>
          <w:szCs w:val="22"/>
        </w:rPr>
        <w:t xml:space="preserve">years, echoed in the week-on-week chart: weekly net sales rise from roughly £0.6M in week 18 to a peak of around £1.6M by weeks 20-21, then hold in a broad £1.4M-£1.6M band through week 26 before dropping off sharply in the final, partial week as the data </w:t>
      </w:r>
      <w:r>
        <w:rPr>
          <w:color w:val="444444"/>
          <w:sz w:val="22"/>
          <w:szCs w:val="22"/>
        </w:rPr>
        <w:t>cuts off. In other words, the business ramps up over the first two to three weeks of the window and then trades at a stable weekly run-rate, rather than sales building steadily or tailing off across the period.</w:t>
      </w:r>
    </w:p>
    <w:p w:rsidR="00680658" w:rsidRDefault="00907C73">
      <w:pPr>
        <w:spacing w:after="140"/>
      </w:pPr>
      <w:r>
        <w:rPr>
          <w:color w:val="444444"/>
          <w:sz w:val="22"/>
          <w:szCs w:val="22"/>
        </w:rPr>
        <w:lastRenderedPageBreak/>
        <w:t>The one figure that doesn't need any inferenc</w:t>
      </w:r>
      <w:r>
        <w:rPr>
          <w:color w:val="444444"/>
          <w:sz w:val="22"/>
          <w:szCs w:val="22"/>
        </w:rPr>
        <w:t>e is the P5-to-P6 uplift itself, and it's consistent across both years: net sales roughly 40-50% higher in P6 than P5, which is a useful benchmark for what a 'normal' step-up between these two periods looks like — useful context for judging whether next ye</w:t>
      </w:r>
      <w:r>
        <w:rPr>
          <w:color w:val="444444"/>
          <w:sz w:val="22"/>
          <w:szCs w:val="22"/>
        </w:rPr>
        <w:t>ar's P5-P6 transition is on trend or not.</w:t>
      </w:r>
    </w:p>
    <w:p w:rsidR="00680658" w:rsidRDefault="00907C73">
      <w:pPr>
        <w:pStyle w:val="Heading2"/>
        <w:spacing w:before="240" w:after="120"/>
      </w:pPr>
      <w:r>
        <w:rPr>
          <w:b/>
          <w:bCs/>
          <w:color w:val="C0622D"/>
          <w:sz w:val="24"/>
          <w:szCs w:val="24"/>
        </w:rPr>
        <w:t>2.5 Menu-level performance: one former top-seller collapsed</w:t>
      </w:r>
    </w:p>
    <w:p w:rsidR="00680658" w:rsidRDefault="00907C73">
      <w:pPr>
        <w:spacing w:after="140"/>
      </w:pPr>
      <w:r>
        <w:rPr>
          <w:color w:val="444444"/>
          <w:sz w:val="22"/>
          <w:szCs w:val="22"/>
        </w:rPr>
        <w:t>Extra Jasmine Rice was the single best-selling item in 2024 (48K units), comfortably ahead of everything else. In 2025 its volume fell to 16K units — a tw</w:t>
      </w:r>
      <w:r>
        <w:rPr>
          <w:color w:val="444444"/>
          <w:sz w:val="22"/>
          <w:szCs w:val="22"/>
        </w:rPr>
        <w:t>o-thirds (-67%) drop — and it slipped to third place. Every other top-7 item also declined in volume, but far more modestly, and one 2024 top-seller (</w:t>
      </w:r>
      <w:proofErr w:type="spellStart"/>
      <w:r>
        <w:rPr>
          <w:color w:val="444444"/>
          <w:sz w:val="22"/>
          <w:szCs w:val="22"/>
        </w:rPr>
        <w:t>Chilli</w:t>
      </w:r>
      <w:proofErr w:type="spellEnd"/>
      <w:r>
        <w:rPr>
          <w:color w:val="444444"/>
          <w:sz w:val="22"/>
          <w:szCs w:val="22"/>
        </w:rPr>
        <w:t xml:space="preserve"> Edamame) dropped out of the top 7 entirely, replaced by a new entrant (Ceramic Noodle Bowl, 10K uni</w:t>
      </w:r>
      <w:r>
        <w:rPr>
          <w:color w:val="444444"/>
          <w:sz w:val="22"/>
          <w:szCs w:val="22"/>
        </w:rPr>
        <w:t>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900"/>
        <w:gridCol w:w="1800"/>
      </w:tblGrid>
      <w:tr w:rsidR="00680658">
        <w:tblPrEx>
          <w:tblCellMar>
            <w:top w:w="0" w:type="dxa"/>
            <w:bottom w:w="0" w:type="dxa"/>
          </w:tblCellMar>
        </w:tblPrEx>
        <w:trPr>
          <w:tblHeader/>
        </w:trPr>
        <w:tc>
          <w:tcPr>
            <w:tcW w:w="3400" w:type="dxa"/>
            <w:shd w:val="clear" w:color="auto" w:fill="C0622D"/>
            <w:tcMar>
              <w:top w:w="80" w:type="dxa"/>
              <w:left w:w="120" w:type="dxa"/>
              <w:bottom w:w="80" w:type="dxa"/>
              <w:right w:w="120" w:type="dxa"/>
            </w:tcMar>
          </w:tcPr>
          <w:p w:rsidR="00680658" w:rsidRDefault="00907C73">
            <w:r>
              <w:rPr>
                <w:b/>
                <w:bCs/>
                <w:color w:val="FFFFFF"/>
              </w:rPr>
              <w:t>Menu item</w:t>
            </w:r>
          </w:p>
        </w:tc>
        <w:tc>
          <w:tcPr>
            <w:tcW w:w="1900" w:type="dxa"/>
            <w:shd w:val="clear" w:color="auto" w:fill="C0622D"/>
            <w:tcMar>
              <w:top w:w="80" w:type="dxa"/>
              <w:left w:w="120" w:type="dxa"/>
              <w:bottom w:w="80" w:type="dxa"/>
              <w:right w:w="120" w:type="dxa"/>
            </w:tcMar>
          </w:tcPr>
          <w:p w:rsidR="00680658" w:rsidRDefault="00907C73">
            <w:r>
              <w:rPr>
                <w:b/>
                <w:bCs/>
                <w:color w:val="FFFFFF"/>
              </w:rPr>
              <w:t xml:space="preserve">2024 </w:t>
            </w:r>
            <w:proofErr w:type="spellStart"/>
            <w:r>
              <w:rPr>
                <w:b/>
                <w:bCs/>
                <w:color w:val="FFFFFF"/>
              </w:rPr>
              <w:t>Qty</w:t>
            </w:r>
            <w:proofErr w:type="spellEnd"/>
          </w:p>
        </w:tc>
        <w:tc>
          <w:tcPr>
            <w:tcW w:w="1900" w:type="dxa"/>
            <w:shd w:val="clear" w:color="auto" w:fill="C0622D"/>
            <w:tcMar>
              <w:top w:w="80" w:type="dxa"/>
              <w:left w:w="120" w:type="dxa"/>
              <w:bottom w:w="80" w:type="dxa"/>
              <w:right w:w="120" w:type="dxa"/>
            </w:tcMar>
          </w:tcPr>
          <w:p w:rsidR="00680658" w:rsidRDefault="00907C73">
            <w:r>
              <w:rPr>
                <w:b/>
                <w:bCs/>
                <w:color w:val="FFFFFF"/>
              </w:rPr>
              <w:t xml:space="preserve">2025 </w:t>
            </w:r>
            <w:proofErr w:type="spellStart"/>
            <w:r>
              <w:rPr>
                <w:b/>
                <w:bCs/>
                <w:color w:val="FFFFFF"/>
              </w:rPr>
              <w:t>Qty</w:t>
            </w:r>
            <w:proofErr w:type="spellEnd"/>
          </w:p>
        </w:tc>
        <w:tc>
          <w:tcPr>
            <w:tcW w:w="1800" w:type="dxa"/>
            <w:shd w:val="clear" w:color="auto" w:fill="C0622D"/>
            <w:tcMar>
              <w:top w:w="80" w:type="dxa"/>
              <w:left w:w="120" w:type="dxa"/>
              <w:bottom w:w="80" w:type="dxa"/>
              <w:right w:w="120" w:type="dxa"/>
            </w:tcMar>
          </w:tcPr>
          <w:p w:rsidR="00680658" w:rsidRDefault="00907C73">
            <w:r>
              <w:rPr>
                <w:b/>
                <w:bCs/>
                <w:color w:val="FFFFFF"/>
              </w:rPr>
              <w:t>Change</w:t>
            </w:r>
          </w:p>
        </w:tc>
      </w:tr>
      <w:tr w:rsidR="00680658">
        <w:tblPrEx>
          <w:tblCellMar>
            <w:top w:w="0" w:type="dxa"/>
            <w:bottom w:w="0" w:type="dxa"/>
          </w:tblCellMar>
        </w:tblPrEx>
        <w:tc>
          <w:tcPr>
            <w:tcW w:w="3400" w:type="dxa"/>
            <w:shd w:val="clear" w:color="auto" w:fill="FFFFFF"/>
            <w:tcMar>
              <w:top w:w="80" w:type="dxa"/>
              <w:left w:w="120" w:type="dxa"/>
              <w:bottom w:w="80" w:type="dxa"/>
              <w:right w:w="120" w:type="dxa"/>
            </w:tcMar>
          </w:tcPr>
          <w:p w:rsidR="00680658" w:rsidRDefault="00907C73">
            <w:r>
              <w:rPr>
                <w:color w:val="444444"/>
              </w:rPr>
              <w:t>Extra Jasmine Rice</w:t>
            </w:r>
          </w:p>
        </w:tc>
        <w:tc>
          <w:tcPr>
            <w:tcW w:w="1900" w:type="dxa"/>
            <w:shd w:val="clear" w:color="auto" w:fill="FFFFFF"/>
            <w:tcMar>
              <w:top w:w="80" w:type="dxa"/>
              <w:left w:w="120" w:type="dxa"/>
              <w:bottom w:w="80" w:type="dxa"/>
              <w:right w:w="120" w:type="dxa"/>
            </w:tcMar>
          </w:tcPr>
          <w:p w:rsidR="00680658" w:rsidRDefault="00907C73">
            <w:r>
              <w:rPr>
                <w:color w:val="444444"/>
              </w:rPr>
              <w:t>48K</w:t>
            </w:r>
          </w:p>
        </w:tc>
        <w:tc>
          <w:tcPr>
            <w:tcW w:w="1900" w:type="dxa"/>
            <w:shd w:val="clear" w:color="auto" w:fill="FFFFFF"/>
            <w:tcMar>
              <w:top w:w="80" w:type="dxa"/>
              <w:left w:w="120" w:type="dxa"/>
              <w:bottom w:w="80" w:type="dxa"/>
              <w:right w:w="120" w:type="dxa"/>
            </w:tcMar>
          </w:tcPr>
          <w:p w:rsidR="00680658" w:rsidRDefault="00907C73">
            <w:r>
              <w:rPr>
                <w:color w:val="444444"/>
              </w:rPr>
              <w:t>16K</w:t>
            </w:r>
          </w:p>
        </w:tc>
        <w:tc>
          <w:tcPr>
            <w:tcW w:w="1800" w:type="dxa"/>
            <w:shd w:val="clear" w:color="auto" w:fill="FFFFFF"/>
            <w:tcMar>
              <w:top w:w="80" w:type="dxa"/>
              <w:left w:w="120" w:type="dxa"/>
              <w:bottom w:w="80" w:type="dxa"/>
              <w:right w:w="120" w:type="dxa"/>
            </w:tcMar>
          </w:tcPr>
          <w:p w:rsidR="00680658" w:rsidRDefault="00907C73">
            <w:r>
              <w:rPr>
                <w:color w:val="444444"/>
              </w:rPr>
              <w:t>-67%</w:t>
            </w:r>
          </w:p>
        </w:tc>
      </w:tr>
      <w:tr w:rsidR="00680658">
        <w:tblPrEx>
          <w:tblCellMar>
            <w:top w:w="0" w:type="dxa"/>
            <w:bottom w:w="0" w:type="dxa"/>
          </w:tblCellMar>
        </w:tblPrEx>
        <w:tc>
          <w:tcPr>
            <w:tcW w:w="3400" w:type="dxa"/>
            <w:shd w:val="clear" w:color="auto" w:fill="FFFFFF"/>
            <w:tcMar>
              <w:top w:w="80" w:type="dxa"/>
              <w:left w:w="120" w:type="dxa"/>
              <w:bottom w:w="80" w:type="dxa"/>
              <w:right w:w="120" w:type="dxa"/>
            </w:tcMar>
          </w:tcPr>
          <w:p w:rsidR="00680658" w:rsidRDefault="00907C73">
            <w:r>
              <w:rPr>
                <w:color w:val="444444"/>
              </w:rPr>
              <w:t>Sparkling Table Water</w:t>
            </w:r>
          </w:p>
        </w:tc>
        <w:tc>
          <w:tcPr>
            <w:tcW w:w="1900" w:type="dxa"/>
            <w:shd w:val="clear" w:color="auto" w:fill="FFFFFF"/>
            <w:tcMar>
              <w:top w:w="80" w:type="dxa"/>
              <w:left w:w="120" w:type="dxa"/>
              <w:bottom w:w="80" w:type="dxa"/>
              <w:right w:w="120" w:type="dxa"/>
            </w:tcMar>
          </w:tcPr>
          <w:p w:rsidR="00680658" w:rsidRDefault="00907C73">
            <w:r>
              <w:rPr>
                <w:color w:val="444444"/>
              </w:rPr>
              <w:t>32K</w:t>
            </w:r>
          </w:p>
        </w:tc>
        <w:tc>
          <w:tcPr>
            <w:tcW w:w="1900" w:type="dxa"/>
            <w:shd w:val="clear" w:color="auto" w:fill="FFFFFF"/>
            <w:tcMar>
              <w:top w:w="80" w:type="dxa"/>
              <w:left w:w="120" w:type="dxa"/>
              <w:bottom w:w="80" w:type="dxa"/>
              <w:right w:w="120" w:type="dxa"/>
            </w:tcMar>
          </w:tcPr>
          <w:p w:rsidR="00680658" w:rsidRDefault="00907C73">
            <w:r>
              <w:rPr>
                <w:color w:val="444444"/>
              </w:rPr>
              <w:t>28K</w:t>
            </w:r>
          </w:p>
        </w:tc>
        <w:tc>
          <w:tcPr>
            <w:tcW w:w="1800" w:type="dxa"/>
            <w:shd w:val="clear" w:color="auto" w:fill="FFFFFF"/>
            <w:tcMar>
              <w:top w:w="80" w:type="dxa"/>
              <w:left w:w="120" w:type="dxa"/>
              <w:bottom w:w="80" w:type="dxa"/>
              <w:right w:w="120" w:type="dxa"/>
            </w:tcMar>
          </w:tcPr>
          <w:p w:rsidR="00680658" w:rsidRDefault="00907C73">
            <w:r>
              <w:rPr>
                <w:color w:val="444444"/>
              </w:rPr>
              <w:t>-13%</w:t>
            </w:r>
          </w:p>
        </w:tc>
      </w:tr>
      <w:tr w:rsidR="00680658">
        <w:tblPrEx>
          <w:tblCellMar>
            <w:top w:w="0" w:type="dxa"/>
            <w:bottom w:w="0" w:type="dxa"/>
          </w:tblCellMar>
        </w:tblPrEx>
        <w:tc>
          <w:tcPr>
            <w:tcW w:w="3400" w:type="dxa"/>
            <w:shd w:val="clear" w:color="auto" w:fill="FFFFFF"/>
            <w:tcMar>
              <w:top w:w="80" w:type="dxa"/>
              <w:left w:w="120" w:type="dxa"/>
              <w:bottom w:w="80" w:type="dxa"/>
              <w:right w:w="120" w:type="dxa"/>
            </w:tcMar>
          </w:tcPr>
          <w:p w:rsidR="00680658" w:rsidRDefault="00907C73">
            <w:r>
              <w:rPr>
                <w:color w:val="444444"/>
              </w:rPr>
              <w:t>Swap to Coconut Rice</w:t>
            </w:r>
          </w:p>
        </w:tc>
        <w:tc>
          <w:tcPr>
            <w:tcW w:w="1900" w:type="dxa"/>
            <w:shd w:val="clear" w:color="auto" w:fill="FFFFFF"/>
            <w:tcMar>
              <w:top w:w="80" w:type="dxa"/>
              <w:left w:w="120" w:type="dxa"/>
              <w:bottom w:w="80" w:type="dxa"/>
              <w:right w:w="120" w:type="dxa"/>
            </w:tcMar>
          </w:tcPr>
          <w:p w:rsidR="00680658" w:rsidRDefault="00907C73">
            <w:r>
              <w:rPr>
                <w:color w:val="444444"/>
              </w:rPr>
              <w:t>18K</w:t>
            </w:r>
          </w:p>
        </w:tc>
        <w:tc>
          <w:tcPr>
            <w:tcW w:w="1900" w:type="dxa"/>
            <w:shd w:val="clear" w:color="auto" w:fill="FFFFFF"/>
            <w:tcMar>
              <w:top w:w="80" w:type="dxa"/>
              <w:left w:w="120" w:type="dxa"/>
              <w:bottom w:w="80" w:type="dxa"/>
              <w:right w:w="120" w:type="dxa"/>
            </w:tcMar>
          </w:tcPr>
          <w:p w:rsidR="00680658" w:rsidRDefault="00907C73">
            <w:r>
              <w:rPr>
                <w:color w:val="444444"/>
              </w:rPr>
              <w:t>15K</w:t>
            </w:r>
          </w:p>
        </w:tc>
        <w:tc>
          <w:tcPr>
            <w:tcW w:w="1800" w:type="dxa"/>
            <w:shd w:val="clear" w:color="auto" w:fill="FFFFFF"/>
            <w:tcMar>
              <w:top w:w="80" w:type="dxa"/>
              <w:left w:w="120" w:type="dxa"/>
              <w:bottom w:w="80" w:type="dxa"/>
              <w:right w:w="120" w:type="dxa"/>
            </w:tcMar>
          </w:tcPr>
          <w:p w:rsidR="00680658" w:rsidRDefault="00907C73">
            <w:r>
              <w:rPr>
                <w:color w:val="444444"/>
              </w:rPr>
              <w:t>-17%</w:t>
            </w:r>
          </w:p>
        </w:tc>
      </w:tr>
      <w:tr w:rsidR="00680658">
        <w:tblPrEx>
          <w:tblCellMar>
            <w:top w:w="0" w:type="dxa"/>
            <w:bottom w:w="0" w:type="dxa"/>
          </w:tblCellMar>
        </w:tblPrEx>
        <w:tc>
          <w:tcPr>
            <w:tcW w:w="3400" w:type="dxa"/>
            <w:shd w:val="clear" w:color="auto" w:fill="FFFFFF"/>
            <w:tcMar>
              <w:top w:w="80" w:type="dxa"/>
              <w:left w:w="120" w:type="dxa"/>
              <w:bottom w:w="80" w:type="dxa"/>
              <w:right w:w="120" w:type="dxa"/>
            </w:tcMar>
          </w:tcPr>
          <w:p w:rsidR="00680658" w:rsidRDefault="00907C73">
            <w:r>
              <w:rPr>
                <w:color w:val="444444"/>
              </w:rPr>
              <w:t>Lychee Pop Fizz</w:t>
            </w:r>
          </w:p>
        </w:tc>
        <w:tc>
          <w:tcPr>
            <w:tcW w:w="1900" w:type="dxa"/>
            <w:shd w:val="clear" w:color="auto" w:fill="FFFFFF"/>
            <w:tcMar>
              <w:top w:w="80" w:type="dxa"/>
              <w:left w:w="120" w:type="dxa"/>
              <w:bottom w:w="80" w:type="dxa"/>
              <w:right w:w="120" w:type="dxa"/>
            </w:tcMar>
          </w:tcPr>
          <w:p w:rsidR="00680658" w:rsidRDefault="00907C73">
            <w:r>
              <w:rPr>
                <w:color w:val="444444"/>
              </w:rPr>
              <w:t>17K</w:t>
            </w:r>
          </w:p>
        </w:tc>
        <w:tc>
          <w:tcPr>
            <w:tcW w:w="1900" w:type="dxa"/>
            <w:shd w:val="clear" w:color="auto" w:fill="FFFFFF"/>
            <w:tcMar>
              <w:top w:w="80" w:type="dxa"/>
              <w:left w:w="120" w:type="dxa"/>
              <w:bottom w:w="80" w:type="dxa"/>
              <w:right w:w="120" w:type="dxa"/>
            </w:tcMar>
          </w:tcPr>
          <w:p w:rsidR="00680658" w:rsidRDefault="00907C73">
            <w:r>
              <w:rPr>
                <w:color w:val="444444"/>
              </w:rPr>
              <w:t>16K</w:t>
            </w:r>
          </w:p>
        </w:tc>
        <w:tc>
          <w:tcPr>
            <w:tcW w:w="1800" w:type="dxa"/>
            <w:shd w:val="clear" w:color="auto" w:fill="FFFFFF"/>
            <w:tcMar>
              <w:top w:w="80" w:type="dxa"/>
              <w:left w:w="120" w:type="dxa"/>
              <w:bottom w:w="80" w:type="dxa"/>
              <w:right w:w="120" w:type="dxa"/>
            </w:tcMar>
          </w:tcPr>
          <w:p w:rsidR="00680658" w:rsidRDefault="00907C73">
            <w:r>
              <w:rPr>
                <w:color w:val="444444"/>
              </w:rPr>
              <w:t>-6%</w:t>
            </w:r>
          </w:p>
        </w:tc>
      </w:tr>
      <w:tr w:rsidR="00680658">
        <w:tblPrEx>
          <w:tblCellMar>
            <w:top w:w="0" w:type="dxa"/>
            <w:bottom w:w="0" w:type="dxa"/>
          </w:tblCellMar>
        </w:tblPrEx>
        <w:tc>
          <w:tcPr>
            <w:tcW w:w="3400" w:type="dxa"/>
            <w:shd w:val="clear" w:color="auto" w:fill="FFFFFF"/>
            <w:tcMar>
              <w:top w:w="80" w:type="dxa"/>
              <w:left w:w="120" w:type="dxa"/>
              <w:bottom w:w="80" w:type="dxa"/>
              <w:right w:w="120" w:type="dxa"/>
            </w:tcMar>
          </w:tcPr>
          <w:p w:rsidR="00680658" w:rsidRDefault="00907C73">
            <w:r>
              <w:rPr>
                <w:color w:val="444444"/>
              </w:rPr>
              <w:t>Creamy Mushroom Curry</w:t>
            </w:r>
          </w:p>
        </w:tc>
        <w:tc>
          <w:tcPr>
            <w:tcW w:w="1900" w:type="dxa"/>
            <w:shd w:val="clear" w:color="auto" w:fill="FFFFFF"/>
            <w:tcMar>
              <w:top w:w="80" w:type="dxa"/>
              <w:left w:w="120" w:type="dxa"/>
              <w:bottom w:w="80" w:type="dxa"/>
              <w:right w:w="120" w:type="dxa"/>
            </w:tcMar>
          </w:tcPr>
          <w:p w:rsidR="00680658" w:rsidRDefault="00907C73">
            <w:r>
              <w:rPr>
                <w:color w:val="444444"/>
              </w:rPr>
              <w:t>12K</w:t>
            </w:r>
          </w:p>
        </w:tc>
        <w:tc>
          <w:tcPr>
            <w:tcW w:w="1900" w:type="dxa"/>
            <w:shd w:val="clear" w:color="auto" w:fill="FFFFFF"/>
            <w:tcMar>
              <w:top w:w="80" w:type="dxa"/>
              <w:left w:w="120" w:type="dxa"/>
              <w:bottom w:w="80" w:type="dxa"/>
              <w:right w:w="120" w:type="dxa"/>
            </w:tcMar>
          </w:tcPr>
          <w:p w:rsidR="00680658" w:rsidRDefault="00907C73">
            <w:r>
              <w:rPr>
                <w:color w:val="444444"/>
              </w:rPr>
              <w:t>10K</w:t>
            </w:r>
          </w:p>
        </w:tc>
        <w:tc>
          <w:tcPr>
            <w:tcW w:w="1800" w:type="dxa"/>
            <w:shd w:val="clear" w:color="auto" w:fill="FFFFFF"/>
            <w:tcMar>
              <w:top w:w="80" w:type="dxa"/>
              <w:left w:w="120" w:type="dxa"/>
              <w:bottom w:w="80" w:type="dxa"/>
              <w:right w:w="120" w:type="dxa"/>
            </w:tcMar>
          </w:tcPr>
          <w:p w:rsidR="00680658" w:rsidRDefault="00907C73">
            <w:r>
              <w:rPr>
                <w:color w:val="444444"/>
              </w:rPr>
              <w:t>-17%</w:t>
            </w:r>
          </w:p>
        </w:tc>
      </w:tr>
      <w:tr w:rsidR="00680658">
        <w:tblPrEx>
          <w:tblCellMar>
            <w:top w:w="0" w:type="dxa"/>
            <w:bottom w:w="0" w:type="dxa"/>
          </w:tblCellMar>
        </w:tblPrEx>
        <w:tc>
          <w:tcPr>
            <w:tcW w:w="3400" w:type="dxa"/>
            <w:shd w:val="clear" w:color="auto" w:fill="FFFFFF"/>
            <w:tcMar>
              <w:top w:w="80" w:type="dxa"/>
              <w:left w:w="120" w:type="dxa"/>
              <w:bottom w:w="80" w:type="dxa"/>
              <w:right w:w="120" w:type="dxa"/>
            </w:tcMar>
          </w:tcPr>
          <w:p w:rsidR="00680658" w:rsidRDefault="00907C73">
            <w:r>
              <w:rPr>
                <w:color w:val="444444"/>
              </w:rPr>
              <w:t>Table Water</w:t>
            </w:r>
          </w:p>
        </w:tc>
        <w:tc>
          <w:tcPr>
            <w:tcW w:w="1900" w:type="dxa"/>
            <w:shd w:val="clear" w:color="auto" w:fill="FFFFFF"/>
            <w:tcMar>
              <w:top w:w="80" w:type="dxa"/>
              <w:left w:w="120" w:type="dxa"/>
              <w:bottom w:w="80" w:type="dxa"/>
              <w:right w:w="120" w:type="dxa"/>
            </w:tcMar>
          </w:tcPr>
          <w:p w:rsidR="00680658" w:rsidRDefault="00907C73">
            <w:r>
              <w:rPr>
                <w:color w:val="444444"/>
              </w:rPr>
              <w:t>12K</w:t>
            </w:r>
          </w:p>
        </w:tc>
        <w:tc>
          <w:tcPr>
            <w:tcW w:w="1900" w:type="dxa"/>
            <w:shd w:val="clear" w:color="auto" w:fill="FFFFFF"/>
            <w:tcMar>
              <w:top w:w="80" w:type="dxa"/>
              <w:left w:w="120" w:type="dxa"/>
              <w:bottom w:w="80" w:type="dxa"/>
              <w:right w:w="120" w:type="dxa"/>
            </w:tcMar>
          </w:tcPr>
          <w:p w:rsidR="00680658" w:rsidRDefault="00907C73">
            <w:r>
              <w:rPr>
                <w:color w:val="444444"/>
              </w:rPr>
              <w:t>11K</w:t>
            </w:r>
          </w:p>
        </w:tc>
        <w:tc>
          <w:tcPr>
            <w:tcW w:w="1800" w:type="dxa"/>
            <w:shd w:val="clear" w:color="auto" w:fill="FFFFFF"/>
            <w:tcMar>
              <w:top w:w="80" w:type="dxa"/>
              <w:left w:w="120" w:type="dxa"/>
              <w:bottom w:w="80" w:type="dxa"/>
              <w:right w:w="120" w:type="dxa"/>
            </w:tcMar>
          </w:tcPr>
          <w:p w:rsidR="00680658" w:rsidRDefault="00907C73">
            <w:r>
              <w:rPr>
                <w:color w:val="444444"/>
              </w:rPr>
              <w:t>-8%</w:t>
            </w:r>
          </w:p>
        </w:tc>
      </w:tr>
    </w:tbl>
    <w:p w:rsidR="00680658" w:rsidRDefault="00680658">
      <w:pPr>
        <w:spacing w:after="160"/>
      </w:pPr>
    </w:p>
    <w:p w:rsidR="00680658" w:rsidRDefault="00907C73">
      <w:pPr>
        <w:spacing w:after="140"/>
      </w:pPr>
      <w:r>
        <w:rPr>
          <w:color w:val="444444"/>
          <w:sz w:val="22"/>
          <w:szCs w:val="22"/>
        </w:rPr>
        <w:t>Because Extra Jasmine Rice's decline (-32K units) is larger than the combined decline of every other item in the top 7, it is very likely the single biggest identifiable contributor to the overall net sales drop, and worth investigating first — e.g. a menu</w:t>
      </w:r>
      <w:r>
        <w:rPr>
          <w:color w:val="444444"/>
          <w:sz w:val="22"/>
          <w:szCs w:val="22"/>
        </w:rPr>
        <w:t xml:space="preserve"> change, a price change, a stock/availability issue, or a swap being offered in its place.</w:t>
      </w:r>
    </w:p>
    <w:p w:rsidR="00680658" w:rsidRDefault="00907C73">
      <w:pPr>
        <w:pStyle w:val="Heading2"/>
        <w:spacing w:before="240" w:after="120"/>
      </w:pPr>
      <w:r>
        <w:rPr>
          <w:b/>
          <w:bCs/>
          <w:color w:val="C0622D"/>
          <w:sz w:val="24"/>
          <w:szCs w:val="24"/>
        </w:rPr>
        <w:t>2.6 Menu-level performance: 'sides' held steady while some 'mains' categories fell</w:t>
      </w:r>
    </w:p>
    <w:p w:rsidR="00680658" w:rsidRDefault="00907C73">
      <w:pPr>
        <w:spacing w:after="140"/>
      </w:pPr>
      <w:r>
        <w:rPr>
          <w:color w:val="444444"/>
          <w:sz w:val="22"/>
          <w:szCs w:val="22"/>
        </w:rPr>
        <w:t>Across both years, the 'sides'</w:t>
      </w:r>
      <w:r>
        <w:rPr>
          <w:color w:val="444444"/>
          <w:sz w:val="22"/>
          <w:szCs w:val="22"/>
        </w:rPr>
        <w:t xml:space="preserve"> group (21.sides) was the top-performing category by net sales and stayed essentially flat (£1.4M in both 2024 and 2025). Among 'mains' categories, performance was mixed: 11.mains grew slightly (£1.0M to £1.1M) and 12.mains held flat (£1.1M), while 13.main</w:t>
      </w:r>
      <w:r>
        <w:rPr>
          <w:color w:val="444444"/>
          <w:sz w:val="22"/>
          <w:szCs w:val="22"/>
        </w:rPr>
        <w:t>s fell noticeably (£0.9M to £0.7M, roughly -22%). This suggests the overall decline is concentrated in specific mains sub-categories rather than being spread evenly across the whole menu.</w:t>
      </w:r>
    </w:p>
    <w:p w:rsidR="00680658" w:rsidRDefault="00907C73">
      <w:pPr>
        <w:pStyle w:val="Heading2"/>
        <w:spacing w:before="240" w:after="120"/>
      </w:pPr>
      <w:r>
        <w:rPr>
          <w:b/>
          <w:bCs/>
          <w:color w:val="C0622D"/>
          <w:sz w:val="24"/>
          <w:szCs w:val="24"/>
        </w:rPr>
        <w:t>2.7 Site-level performance: order counts fell at every site, Birming</w:t>
      </w:r>
      <w:r>
        <w:rPr>
          <w:b/>
          <w:bCs/>
          <w:color w:val="C0622D"/>
          <w:sz w:val="24"/>
          <w:szCs w:val="24"/>
        </w:rPr>
        <w:t>ham furthest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200"/>
        <w:gridCol w:w="2200"/>
      </w:tblGrid>
      <w:tr w:rsidR="00680658">
        <w:tblPrEx>
          <w:tblCellMar>
            <w:top w:w="0" w:type="dxa"/>
            <w:bottom w:w="0" w:type="dxa"/>
          </w:tblCellMar>
        </w:tblPrEx>
        <w:trPr>
          <w:tblHeader/>
        </w:trPr>
        <w:tc>
          <w:tcPr>
            <w:tcW w:w="2600" w:type="dxa"/>
            <w:shd w:val="clear" w:color="auto" w:fill="C0622D"/>
            <w:tcMar>
              <w:top w:w="80" w:type="dxa"/>
              <w:left w:w="120" w:type="dxa"/>
              <w:bottom w:w="80" w:type="dxa"/>
              <w:right w:w="120" w:type="dxa"/>
            </w:tcMar>
          </w:tcPr>
          <w:p w:rsidR="00680658" w:rsidRDefault="00907C73">
            <w:r>
              <w:rPr>
                <w:b/>
                <w:bCs/>
                <w:color w:val="FFFFFF"/>
              </w:rPr>
              <w:t>Site</w:t>
            </w:r>
          </w:p>
        </w:tc>
        <w:tc>
          <w:tcPr>
            <w:tcW w:w="2200" w:type="dxa"/>
            <w:shd w:val="clear" w:color="auto" w:fill="C0622D"/>
            <w:tcMar>
              <w:top w:w="80" w:type="dxa"/>
              <w:left w:w="120" w:type="dxa"/>
              <w:bottom w:w="80" w:type="dxa"/>
              <w:right w:w="120" w:type="dxa"/>
            </w:tcMar>
          </w:tcPr>
          <w:p w:rsidR="00680658" w:rsidRDefault="00907C73">
            <w:r>
              <w:rPr>
                <w:b/>
                <w:bCs/>
                <w:color w:val="FFFFFF"/>
              </w:rPr>
              <w:t>2024 Orders</w:t>
            </w:r>
          </w:p>
        </w:tc>
        <w:tc>
          <w:tcPr>
            <w:tcW w:w="2200" w:type="dxa"/>
            <w:shd w:val="clear" w:color="auto" w:fill="C0622D"/>
            <w:tcMar>
              <w:top w:w="80" w:type="dxa"/>
              <w:left w:w="120" w:type="dxa"/>
              <w:bottom w:w="80" w:type="dxa"/>
              <w:right w:w="120" w:type="dxa"/>
            </w:tcMar>
          </w:tcPr>
          <w:p w:rsidR="00680658" w:rsidRDefault="00907C73">
            <w:r>
              <w:rPr>
                <w:b/>
                <w:bCs/>
                <w:color w:val="FFFFFF"/>
              </w:rPr>
              <w:t>2025 Orders</w:t>
            </w:r>
          </w:p>
        </w:tc>
        <w:tc>
          <w:tcPr>
            <w:tcW w:w="2200" w:type="dxa"/>
            <w:shd w:val="clear" w:color="auto" w:fill="C0622D"/>
            <w:tcMar>
              <w:top w:w="80" w:type="dxa"/>
              <w:left w:w="120" w:type="dxa"/>
              <w:bottom w:w="80" w:type="dxa"/>
              <w:right w:w="120" w:type="dxa"/>
            </w:tcMar>
          </w:tcPr>
          <w:p w:rsidR="00680658" w:rsidRDefault="00907C73">
            <w:r>
              <w:rPr>
                <w:b/>
                <w:bCs/>
                <w:color w:val="FFFFFF"/>
              </w:rPr>
              <w:t>Change</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London</w:t>
            </w:r>
          </w:p>
        </w:tc>
        <w:tc>
          <w:tcPr>
            <w:tcW w:w="2200" w:type="dxa"/>
            <w:shd w:val="clear" w:color="auto" w:fill="FFFFFF"/>
            <w:tcMar>
              <w:top w:w="80" w:type="dxa"/>
              <w:left w:w="120" w:type="dxa"/>
              <w:bottom w:w="80" w:type="dxa"/>
              <w:right w:w="120" w:type="dxa"/>
            </w:tcMar>
          </w:tcPr>
          <w:p w:rsidR="00680658" w:rsidRDefault="00907C73">
            <w:r>
              <w:rPr>
                <w:color w:val="444444"/>
              </w:rPr>
              <w:t>19.5K</w:t>
            </w:r>
          </w:p>
        </w:tc>
        <w:tc>
          <w:tcPr>
            <w:tcW w:w="2200" w:type="dxa"/>
            <w:shd w:val="clear" w:color="auto" w:fill="FFFFFF"/>
            <w:tcMar>
              <w:top w:w="80" w:type="dxa"/>
              <w:left w:w="120" w:type="dxa"/>
              <w:bottom w:w="80" w:type="dxa"/>
              <w:right w:w="120" w:type="dxa"/>
            </w:tcMar>
          </w:tcPr>
          <w:p w:rsidR="00680658" w:rsidRDefault="00907C73">
            <w:r>
              <w:rPr>
                <w:color w:val="444444"/>
              </w:rPr>
              <w:t>18.3K</w:t>
            </w:r>
          </w:p>
        </w:tc>
        <w:tc>
          <w:tcPr>
            <w:tcW w:w="2200" w:type="dxa"/>
            <w:shd w:val="clear" w:color="auto" w:fill="FFFFFF"/>
            <w:tcMar>
              <w:top w:w="80" w:type="dxa"/>
              <w:left w:w="120" w:type="dxa"/>
              <w:bottom w:w="80" w:type="dxa"/>
              <w:right w:w="120" w:type="dxa"/>
            </w:tcMar>
          </w:tcPr>
          <w:p w:rsidR="00680658" w:rsidRDefault="00907C73">
            <w:r>
              <w:rPr>
                <w:color w:val="444444"/>
              </w:rPr>
              <w:t>-6.2%</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Manchester</w:t>
            </w:r>
          </w:p>
        </w:tc>
        <w:tc>
          <w:tcPr>
            <w:tcW w:w="2200" w:type="dxa"/>
            <w:shd w:val="clear" w:color="auto" w:fill="FFFFFF"/>
            <w:tcMar>
              <w:top w:w="80" w:type="dxa"/>
              <w:left w:w="120" w:type="dxa"/>
              <w:bottom w:w="80" w:type="dxa"/>
              <w:right w:w="120" w:type="dxa"/>
            </w:tcMar>
          </w:tcPr>
          <w:p w:rsidR="00680658" w:rsidRDefault="00907C73">
            <w:r>
              <w:rPr>
                <w:color w:val="444444"/>
              </w:rPr>
              <w:t>17.4K</w:t>
            </w:r>
          </w:p>
        </w:tc>
        <w:tc>
          <w:tcPr>
            <w:tcW w:w="2200" w:type="dxa"/>
            <w:shd w:val="clear" w:color="auto" w:fill="FFFFFF"/>
            <w:tcMar>
              <w:top w:w="80" w:type="dxa"/>
              <w:left w:w="120" w:type="dxa"/>
              <w:bottom w:w="80" w:type="dxa"/>
              <w:right w:w="120" w:type="dxa"/>
            </w:tcMar>
          </w:tcPr>
          <w:p w:rsidR="00680658" w:rsidRDefault="00907C73">
            <w:r>
              <w:rPr>
                <w:color w:val="444444"/>
              </w:rPr>
              <w:t>16.2K</w:t>
            </w:r>
          </w:p>
        </w:tc>
        <w:tc>
          <w:tcPr>
            <w:tcW w:w="2200" w:type="dxa"/>
            <w:shd w:val="clear" w:color="auto" w:fill="FFFFFF"/>
            <w:tcMar>
              <w:top w:w="80" w:type="dxa"/>
              <w:left w:w="120" w:type="dxa"/>
              <w:bottom w:w="80" w:type="dxa"/>
              <w:right w:w="120" w:type="dxa"/>
            </w:tcMar>
          </w:tcPr>
          <w:p w:rsidR="00680658" w:rsidRDefault="00907C73">
            <w:r>
              <w:rPr>
                <w:color w:val="444444"/>
              </w:rPr>
              <w:t>-6.9%</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Liverpool</w:t>
            </w:r>
          </w:p>
        </w:tc>
        <w:tc>
          <w:tcPr>
            <w:tcW w:w="2200" w:type="dxa"/>
            <w:shd w:val="clear" w:color="auto" w:fill="FFFFFF"/>
            <w:tcMar>
              <w:top w:w="80" w:type="dxa"/>
              <w:left w:w="120" w:type="dxa"/>
              <w:bottom w:w="80" w:type="dxa"/>
              <w:right w:w="120" w:type="dxa"/>
            </w:tcMar>
          </w:tcPr>
          <w:p w:rsidR="00680658" w:rsidRDefault="00907C73">
            <w:r>
              <w:rPr>
                <w:color w:val="444444"/>
              </w:rPr>
              <w:t>13.6K</w:t>
            </w:r>
          </w:p>
        </w:tc>
        <w:tc>
          <w:tcPr>
            <w:tcW w:w="2200" w:type="dxa"/>
            <w:shd w:val="clear" w:color="auto" w:fill="FFFFFF"/>
            <w:tcMar>
              <w:top w:w="80" w:type="dxa"/>
              <w:left w:w="120" w:type="dxa"/>
              <w:bottom w:w="80" w:type="dxa"/>
              <w:right w:w="120" w:type="dxa"/>
            </w:tcMar>
          </w:tcPr>
          <w:p w:rsidR="00680658" w:rsidRDefault="00907C73">
            <w:r>
              <w:rPr>
                <w:color w:val="444444"/>
              </w:rPr>
              <w:t>12.5K</w:t>
            </w:r>
          </w:p>
        </w:tc>
        <w:tc>
          <w:tcPr>
            <w:tcW w:w="2200" w:type="dxa"/>
            <w:shd w:val="clear" w:color="auto" w:fill="FFFFFF"/>
            <w:tcMar>
              <w:top w:w="80" w:type="dxa"/>
              <w:left w:w="120" w:type="dxa"/>
              <w:bottom w:w="80" w:type="dxa"/>
              <w:right w:w="120" w:type="dxa"/>
            </w:tcMar>
          </w:tcPr>
          <w:p w:rsidR="00680658" w:rsidRDefault="00907C73">
            <w:r>
              <w:rPr>
                <w:color w:val="444444"/>
              </w:rPr>
              <w:t>-8.1%</w:t>
            </w:r>
          </w:p>
        </w:tc>
      </w:tr>
      <w:tr w:rsidR="00680658">
        <w:tblPrEx>
          <w:tblCellMar>
            <w:top w:w="0" w:type="dxa"/>
            <w:bottom w:w="0" w:type="dxa"/>
          </w:tblCellMar>
        </w:tblPrEx>
        <w:tc>
          <w:tcPr>
            <w:tcW w:w="2600" w:type="dxa"/>
            <w:shd w:val="clear" w:color="auto" w:fill="FFFFFF"/>
            <w:tcMar>
              <w:top w:w="80" w:type="dxa"/>
              <w:left w:w="120" w:type="dxa"/>
              <w:bottom w:w="80" w:type="dxa"/>
              <w:right w:w="120" w:type="dxa"/>
            </w:tcMar>
          </w:tcPr>
          <w:p w:rsidR="00680658" w:rsidRDefault="00907C73">
            <w:r>
              <w:rPr>
                <w:color w:val="444444"/>
              </w:rPr>
              <w:t>Birmingham</w:t>
            </w:r>
          </w:p>
        </w:tc>
        <w:tc>
          <w:tcPr>
            <w:tcW w:w="2200" w:type="dxa"/>
            <w:shd w:val="clear" w:color="auto" w:fill="FFFFFF"/>
            <w:tcMar>
              <w:top w:w="80" w:type="dxa"/>
              <w:left w:w="120" w:type="dxa"/>
              <w:bottom w:w="80" w:type="dxa"/>
              <w:right w:w="120" w:type="dxa"/>
            </w:tcMar>
          </w:tcPr>
          <w:p w:rsidR="00680658" w:rsidRDefault="00907C73">
            <w:r>
              <w:rPr>
                <w:color w:val="444444"/>
              </w:rPr>
              <w:t>13.5K</w:t>
            </w:r>
          </w:p>
        </w:tc>
        <w:tc>
          <w:tcPr>
            <w:tcW w:w="2200" w:type="dxa"/>
            <w:shd w:val="clear" w:color="auto" w:fill="FFFFFF"/>
            <w:tcMar>
              <w:top w:w="80" w:type="dxa"/>
              <w:left w:w="120" w:type="dxa"/>
              <w:bottom w:w="80" w:type="dxa"/>
              <w:right w:w="120" w:type="dxa"/>
            </w:tcMar>
          </w:tcPr>
          <w:p w:rsidR="00680658" w:rsidRDefault="00907C73">
            <w:r>
              <w:rPr>
                <w:color w:val="444444"/>
              </w:rPr>
              <w:t>12.1K</w:t>
            </w:r>
          </w:p>
        </w:tc>
        <w:tc>
          <w:tcPr>
            <w:tcW w:w="2200" w:type="dxa"/>
            <w:shd w:val="clear" w:color="auto" w:fill="FFFFFF"/>
            <w:tcMar>
              <w:top w:w="80" w:type="dxa"/>
              <w:left w:w="120" w:type="dxa"/>
              <w:bottom w:w="80" w:type="dxa"/>
              <w:right w:w="120" w:type="dxa"/>
            </w:tcMar>
          </w:tcPr>
          <w:p w:rsidR="00680658" w:rsidRDefault="00907C73">
            <w:r>
              <w:rPr>
                <w:color w:val="444444"/>
              </w:rPr>
              <w:t>-10.4%</w:t>
            </w:r>
          </w:p>
        </w:tc>
      </w:tr>
    </w:tbl>
    <w:p w:rsidR="00680658" w:rsidRDefault="00680658">
      <w:pPr>
        <w:spacing w:after="160"/>
      </w:pPr>
    </w:p>
    <w:p w:rsidR="00680658" w:rsidRDefault="00907C73">
      <w:pPr>
        <w:spacing w:after="140"/>
      </w:pPr>
      <w:r>
        <w:rPr>
          <w:color w:val="444444"/>
          <w:sz w:val="22"/>
          <w:szCs w:val="22"/>
        </w:rPr>
        <w:t xml:space="preserve">Order volume, not just spend per order, </w:t>
      </w:r>
      <w:proofErr w:type="gramStart"/>
      <w:r>
        <w:rPr>
          <w:color w:val="444444"/>
          <w:sz w:val="22"/>
          <w:szCs w:val="22"/>
        </w:rPr>
        <w:t>fell at every site —</w:t>
      </w:r>
      <w:proofErr w:type="gramEnd"/>
      <w:r>
        <w:rPr>
          <w:color w:val="444444"/>
          <w:sz w:val="22"/>
          <w:szCs w:val="22"/>
        </w:rPr>
        <w:t xml:space="preserve"> confirming the revenue decline is being driven by fewer transactions rather than customers simply spending less per visit. Birmingham's order count fell furthest in percentage terms (-10.4%), rei</w:t>
      </w:r>
      <w:r>
        <w:rPr>
          <w:color w:val="444444"/>
          <w:sz w:val="22"/>
          <w:szCs w:val="22"/>
        </w:rPr>
        <w:t>nforcing it as the priority site for root-cause investigation identified in section 2.1.</w:t>
      </w:r>
    </w:p>
    <w:p w:rsidR="00680658" w:rsidRDefault="00907C73">
      <w:pPr>
        <w:pStyle w:val="Heading2"/>
        <w:spacing w:before="240" w:after="120"/>
      </w:pPr>
      <w:r>
        <w:rPr>
          <w:b/>
          <w:bCs/>
          <w:color w:val="C0622D"/>
          <w:sz w:val="24"/>
          <w:szCs w:val="24"/>
        </w:rPr>
        <w:t>2.8 Changes in sales patterns over time: three trends moving together</w:t>
      </w:r>
    </w:p>
    <w:p w:rsidR="00680658" w:rsidRDefault="00907C73">
      <w:pPr>
        <w:spacing w:after="140"/>
      </w:pPr>
      <w:r>
        <w:rPr>
          <w:color w:val="444444"/>
          <w:sz w:val="22"/>
          <w:szCs w:val="22"/>
        </w:rPr>
        <w:t>Pulling together the time-based threads from the sections above, three distinct patterns all move</w:t>
      </w:r>
      <w:r>
        <w:rPr>
          <w:color w:val="444444"/>
          <w:sz w:val="22"/>
          <w:szCs w:val="22"/>
        </w:rPr>
        <w:t xml:space="preserve"> in the same direction across the P5-P7 window and across both years:</w:t>
      </w:r>
    </w:p>
    <w:p w:rsidR="00680658" w:rsidRDefault="00907C73">
      <w:pPr>
        <w:pStyle w:val="ListParagraph"/>
        <w:numPr>
          <w:ilvl w:val="0"/>
          <w:numId w:val="2"/>
        </w:numPr>
        <w:spacing w:after="80"/>
      </w:pPr>
      <w:r>
        <w:rPr>
          <w:color w:val="444444"/>
          <w:sz w:val="22"/>
          <w:szCs w:val="22"/>
        </w:rPr>
        <w:lastRenderedPageBreak/>
        <w:t>Discounting climbed steadily: every site's discount rate rose by roughly 1 percentage point between 2024 and 2025 (section 2.2), a uniform shift rather than a one-site anomaly.</w:t>
      </w:r>
    </w:p>
    <w:p w:rsidR="00680658" w:rsidRDefault="00907C73">
      <w:pPr>
        <w:pStyle w:val="ListParagraph"/>
        <w:numPr>
          <w:ilvl w:val="0"/>
          <w:numId w:val="2"/>
        </w:numPr>
        <w:spacing w:after="80"/>
      </w:pPr>
      <w:r>
        <w:rPr>
          <w:color w:val="444444"/>
          <w:sz w:val="22"/>
          <w:szCs w:val="22"/>
        </w:rPr>
        <w:t>A previou</w:t>
      </w:r>
      <w:r>
        <w:rPr>
          <w:color w:val="444444"/>
          <w:sz w:val="22"/>
          <w:szCs w:val="22"/>
        </w:rPr>
        <w:t>sly dominant menu item lost the majority of its volume: Extra Jasmine Rice fell from the best-selling item (48K units) to third place (16K units) between the two years (section 2.5), a -67% change concentrated in a single product.</w:t>
      </w:r>
    </w:p>
    <w:p w:rsidR="00680658" w:rsidRDefault="00907C73">
      <w:pPr>
        <w:pStyle w:val="ListParagraph"/>
        <w:numPr>
          <w:ilvl w:val="0"/>
          <w:numId w:val="2"/>
        </w:numPr>
        <w:spacing w:after="80"/>
      </w:pPr>
      <w:r>
        <w:rPr>
          <w:color w:val="444444"/>
          <w:sz w:val="22"/>
          <w:szCs w:val="22"/>
        </w:rPr>
        <w:t>Transaction volume fell i</w:t>
      </w:r>
      <w:r>
        <w:rPr>
          <w:color w:val="444444"/>
          <w:sz w:val="22"/>
          <w:szCs w:val="22"/>
        </w:rPr>
        <w:t>n step with revenue at every site (section 2.7), while the underlying within-period shape stayed consistent year to year: sales ramp up over the first two to three weeks of the window (P5), peak and plateau through P6, then the extract cuts off partway thr</w:t>
      </w:r>
      <w:r>
        <w:rPr>
          <w:color w:val="444444"/>
          <w:sz w:val="22"/>
          <w:szCs w:val="22"/>
        </w:rPr>
        <w:t>ough P7 (section 2.4).</w:t>
      </w:r>
    </w:p>
    <w:p w:rsidR="00680658" w:rsidRDefault="00907C73">
      <w:pPr>
        <w:spacing w:after="140"/>
      </w:pPr>
      <w:r>
        <w:rPr>
          <w:color w:val="444444"/>
          <w:sz w:val="22"/>
          <w:szCs w:val="22"/>
        </w:rPr>
        <w:t xml:space="preserve">Taken together, this points to a business whose underlying weekly trading rhythm hasn't changed between 2024 and 2025 — the ramp-up and plateau shape repeats — but whose absolute performance has shifted down a level, coinciding with </w:t>
      </w:r>
      <w:r>
        <w:rPr>
          <w:color w:val="444444"/>
          <w:sz w:val="22"/>
          <w:szCs w:val="22"/>
        </w:rPr>
        <w:t>higher discounting and a specific menu item's collapse. That combination is what makes sections 3 and 4 below focus on discounting and the Extra Jasmine Rice change as the two most concrete, checkable leads, rather than treating the decline as an unexplain</w:t>
      </w:r>
      <w:r>
        <w:rPr>
          <w:color w:val="444444"/>
          <w:sz w:val="22"/>
          <w:szCs w:val="22"/>
        </w:rPr>
        <w:t>ed general slowdown.</w:t>
      </w:r>
    </w:p>
    <w:p w:rsidR="00680658" w:rsidRDefault="00907C73">
      <w:pPr>
        <w:pStyle w:val="Heading1"/>
        <w:pBdr>
          <w:bottom w:val="single" w:sz="6" w:space="4" w:color="C0622D"/>
        </w:pBdr>
        <w:spacing w:before="320" w:after="160"/>
      </w:pPr>
      <w:r>
        <w:rPr>
          <w:b/>
          <w:bCs/>
          <w:color w:val="5B3A29"/>
          <w:sz w:val="28"/>
          <w:szCs w:val="28"/>
        </w:rPr>
        <w:t>3. Key Drivers of Performance and Potential Business Implications</w:t>
      </w:r>
    </w:p>
    <w:p w:rsidR="00680658" w:rsidRDefault="00907C73">
      <w:pPr>
        <w:pStyle w:val="ListParagraph"/>
        <w:numPr>
          <w:ilvl w:val="0"/>
          <w:numId w:val="2"/>
        </w:numPr>
        <w:spacing w:after="80"/>
      </w:pPr>
      <w:r>
        <w:rPr>
          <w:color w:val="444444"/>
          <w:sz w:val="22"/>
          <w:szCs w:val="22"/>
        </w:rPr>
        <w:t>The fact that sales fell and discounting rose at every single site, in the same direction and a similar magnitude, points to a company-wide dynamic (e.g. a shift in pric</w:t>
      </w:r>
      <w:r>
        <w:rPr>
          <w:color w:val="444444"/>
          <w:sz w:val="22"/>
          <w:szCs w:val="22"/>
        </w:rPr>
        <w:t xml:space="preserve">ing/promotion strategy, cost-of-living pressure on footfall, or increased competitor activity) rather than a </w:t>
      </w:r>
      <w:proofErr w:type="spellStart"/>
      <w:r>
        <w:rPr>
          <w:color w:val="444444"/>
          <w:sz w:val="22"/>
          <w:szCs w:val="22"/>
        </w:rPr>
        <w:t>localised</w:t>
      </w:r>
      <w:proofErr w:type="spellEnd"/>
      <w:r>
        <w:rPr>
          <w:color w:val="444444"/>
          <w:sz w:val="22"/>
          <w:szCs w:val="22"/>
        </w:rPr>
        <w:t>, site-specific issue.</w:t>
      </w:r>
    </w:p>
    <w:p w:rsidR="00680658" w:rsidRDefault="00907C73">
      <w:pPr>
        <w:pStyle w:val="ListParagraph"/>
        <w:numPr>
          <w:ilvl w:val="0"/>
          <w:numId w:val="2"/>
        </w:numPr>
        <w:spacing w:after="80"/>
      </w:pPr>
      <w:r>
        <w:rPr>
          <w:color w:val="444444"/>
          <w:sz w:val="22"/>
          <w:szCs w:val="22"/>
        </w:rPr>
        <w:t>Rising discounts without a corresponding lift in net sales is a warning sign of margin erosion: the business is spe</w:t>
      </w:r>
      <w:r>
        <w:rPr>
          <w:color w:val="444444"/>
          <w:sz w:val="22"/>
          <w:szCs w:val="22"/>
        </w:rPr>
        <w:t>nding more on promotions but not recovering the sales it is losing, which will compress profitability even before accounting for underlying cost inflation.</w:t>
      </w:r>
    </w:p>
    <w:p w:rsidR="00680658" w:rsidRDefault="00907C73">
      <w:pPr>
        <w:pStyle w:val="ListParagraph"/>
        <w:numPr>
          <w:ilvl w:val="0"/>
          <w:numId w:val="2"/>
        </w:numPr>
        <w:spacing w:after="80"/>
      </w:pPr>
      <w:r>
        <w:rPr>
          <w:color w:val="444444"/>
          <w:sz w:val="22"/>
          <w:szCs w:val="22"/>
        </w:rPr>
        <w:t xml:space="preserve">Liverpool's high AOV combined with lower order volume suggests it may be operating with a different </w:t>
      </w:r>
      <w:r>
        <w:rPr>
          <w:color w:val="444444"/>
          <w:sz w:val="22"/>
          <w:szCs w:val="22"/>
        </w:rPr>
        <w:t>customer base or footfall pattern (e.g. more destination/occasion dining) than higher-volume, lower-AOV sites like Birmingham — a one-size-fits-all commercial strategy may not suit all four sites equally.</w:t>
      </w:r>
    </w:p>
    <w:p w:rsidR="00680658" w:rsidRDefault="00907C73">
      <w:pPr>
        <w:pStyle w:val="ListParagraph"/>
        <w:numPr>
          <w:ilvl w:val="0"/>
          <w:numId w:val="2"/>
        </w:numPr>
        <w:spacing w:after="80"/>
      </w:pPr>
      <w:r>
        <w:rPr>
          <w:color w:val="444444"/>
          <w:sz w:val="22"/>
          <w:szCs w:val="22"/>
        </w:rPr>
        <w:t>The scale of Extra Jasmine Rice'</w:t>
      </w:r>
      <w:r>
        <w:rPr>
          <w:color w:val="444444"/>
          <w:sz w:val="22"/>
          <w:szCs w:val="22"/>
        </w:rPr>
        <w:t>s decline (-67% in volume) relative to every other menu item suggests the overall sales drop is not purely macro/footfall driven — a specific, identifiable menu-level event (delisting, price change, recipe change, or availability issue) is a strong candida</w:t>
      </w:r>
      <w:r>
        <w:rPr>
          <w:color w:val="444444"/>
          <w:sz w:val="22"/>
          <w:szCs w:val="22"/>
        </w:rPr>
        <w:t>te root cause and should be checked directly with site/menu teams before assuming the decline is external.</w:t>
      </w:r>
    </w:p>
    <w:p w:rsidR="00680658" w:rsidRDefault="00907C73">
      <w:pPr>
        <w:pStyle w:val="Heading1"/>
        <w:pBdr>
          <w:bottom w:val="single" w:sz="6" w:space="4" w:color="C0622D"/>
        </w:pBdr>
        <w:spacing w:before="320" w:after="160"/>
      </w:pPr>
      <w:r>
        <w:rPr>
          <w:b/>
          <w:bCs/>
          <w:color w:val="5B3A29"/>
          <w:sz w:val="28"/>
          <w:szCs w:val="28"/>
        </w:rPr>
        <w:t>4. Actions and Recommendations</w:t>
      </w:r>
    </w:p>
    <w:p w:rsidR="00680658" w:rsidRDefault="00907C73">
      <w:pPr>
        <w:pStyle w:val="ListParagraph"/>
        <w:numPr>
          <w:ilvl w:val="0"/>
          <w:numId w:val="2"/>
        </w:numPr>
        <w:spacing w:after="80"/>
      </w:pPr>
      <w:r>
        <w:rPr>
          <w:color w:val="444444"/>
          <w:sz w:val="22"/>
          <w:szCs w:val="22"/>
        </w:rPr>
        <w:t xml:space="preserve">Investigate what changed with Extra Jasmine Rice between 2024 and 2025 (price, availability, recipe, or promotion) as </w:t>
      </w:r>
      <w:r>
        <w:rPr>
          <w:color w:val="444444"/>
          <w:sz w:val="22"/>
          <w:szCs w:val="22"/>
        </w:rPr>
        <w:t>the fastest, most concrete lead on the overall sales decline — this single item's drop-off outweighs the combined decline of every other top-selling item.</w:t>
      </w:r>
    </w:p>
    <w:p w:rsidR="00680658" w:rsidRDefault="00907C73">
      <w:pPr>
        <w:pStyle w:val="ListParagraph"/>
        <w:numPr>
          <w:ilvl w:val="0"/>
          <w:numId w:val="2"/>
        </w:numPr>
        <w:spacing w:after="80"/>
      </w:pPr>
      <w:r>
        <w:rPr>
          <w:color w:val="444444"/>
          <w:sz w:val="22"/>
          <w:szCs w:val="22"/>
        </w:rPr>
        <w:t>Investigate the driver behind the universal 2025 discount increase (promo calendar, loyalty scheme ch</w:t>
      </w:r>
      <w:r>
        <w:rPr>
          <w:color w:val="444444"/>
          <w:sz w:val="22"/>
          <w:szCs w:val="22"/>
        </w:rPr>
        <w:t>anges, or site-level manager discretion) and assess whether it is delivering incremental footfall or simply eroding margin on sales that would have happened anyway.</w:t>
      </w:r>
    </w:p>
    <w:p w:rsidR="00680658" w:rsidRDefault="00907C73">
      <w:pPr>
        <w:pStyle w:val="ListParagraph"/>
        <w:numPr>
          <w:ilvl w:val="0"/>
          <w:numId w:val="2"/>
        </w:numPr>
        <w:spacing w:after="80"/>
      </w:pPr>
      <w:proofErr w:type="spellStart"/>
      <w:r>
        <w:rPr>
          <w:color w:val="444444"/>
          <w:sz w:val="22"/>
          <w:szCs w:val="22"/>
        </w:rPr>
        <w:t>Prioritise</w:t>
      </w:r>
      <w:proofErr w:type="spellEnd"/>
      <w:r>
        <w:rPr>
          <w:color w:val="444444"/>
          <w:sz w:val="22"/>
          <w:szCs w:val="22"/>
        </w:rPr>
        <w:t xml:space="preserve"> Birmingham for a deeper root-cause review given it has both the steepest sales d</w:t>
      </w:r>
      <w:r>
        <w:rPr>
          <w:color w:val="444444"/>
          <w:sz w:val="22"/>
          <w:szCs w:val="22"/>
        </w:rPr>
        <w:t>ecline (-6.3%) and a comparatively low AOV — understand whether this is a footfall, pricing, or menu-mix issue.</w:t>
      </w:r>
    </w:p>
    <w:p w:rsidR="00680658" w:rsidRDefault="00907C73">
      <w:pPr>
        <w:pStyle w:val="ListParagraph"/>
        <w:numPr>
          <w:ilvl w:val="0"/>
          <w:numId w:val="2"/>
        </w:numPr>
        <w:spacing w:after="80"/>
      </w:pPr>
      <w:r>
        <w:rPr>
          <w:color w:val="444444"/>
          <w:sz w:val="22"/>
          <w:szCs w:val="22"/>
        </w:rPr>
        <w:t xml:space="preserve">Review pricing and menu strategy at Liverpool to understand what is driving its premium AOV, and test whether elements of that offer could lift </w:t>
      </w:r>
      <w:r>
        <w:rPr>
          <w:color w:val="444444"/>
          <w:sz w:val="22"/>
          <w:szCs w:val="22"/>
        </w:rPr>
        <w:t>AOV at the lower-AOV sites (Birmingham, Manchester) without needing to rely on discounting.</w:t>
      </w:r>
    </w:p>
    <w:p w:rsidR="00680658" w:rsidRDefault="00907C73">
      <w:pPr>
        <w:pStyle w:val="ListParagraph"/>
        <w:numPr>
          <w:ilvl w:val="0"/>
          <w:numId w:val="2"/>
        </w:numPr>
        <w:spacing w:after="80"/>
      </w:pPr>
      <w:r>
        <w:rPr>
          <w:color w:val="444444"/>
          <w:sz w:val="22"/>
          <w:szCs w:val="22"/>
        </w:rPr>
        <w:t>Extend the analysis once fuller-year data becomes available, to confirm whether the P5–P7 pattern (rise then plateau) holds across the rest of the financial year, a</w:t>
      </w:r>
      <w:r>
        <w:rPr>
          <w:color w:val="444444"/>
          <w:sz w:val="22"/>
          <w:szCs w:val="22"/>
        </w:rPr>
        <w:t>nd to build a genuine full-year YoY comparison rather than the partial-year one used here.</w:t>
      </w:r>
    </w:p>
    <w:sectPr w:rsidR="00680658">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3305F5"/>
    <w:multiLevelType w:val="hybridMultilevel"/>
    <w:tmpl w:val="8D0C92CC"/>
    <w:lvl w:ilvl="0" w:tplc="3A9847F0">
      <w:start w:val="1"/>
      <w:numFmt w:val="bullet"/>
      <w:lvlText w:val="•"/>
      <w:lvlJc w:val="left"/>
      <w:pPr>
        <w:ind w:left="431" w:hanging="259"/>
      </w:pPr>
    </w:lvl>
    <w:lvl w:ilvl="1" w:tplc="36DE68B0">
      <w:numFmt w:val="decimal"/>
      <w:lvlText w:val=""/>
      <w:lvlJc w:val="left"/>
    </w:lvl>
    <w:lvl w:ilvl="2" w:tplc="9EA46194">
      <w:numFmt w:val="decimal"/>
      <w:lvlText w:val=""/>
      <w:lvlJc w:val="left"/>
    </w:lvl>
    <w:lvl w:ilvl="3" w:tplc="FF9C93DE">
      <w:numFmt w:val="decimal"/>
      <w:lvlText w:val=""/>
      <w:lvlJc w:val="left"/>
    </w:lvl>
    <w:lvl w:ilvl="4" w:tplc="3D1CCB2A">
      <w:numFmt w:val="decimal"/>
      <w:lvlText w:val=""/>
      <w:lvlJc w:val="left"/>
    </w:lvl>
    <w:lvl w:ilvl="5" w:tplc="8EB42D12">
      <w:numFmt w:val="decimal"/>
      <w:lvlText w:val=""/>
      <w:lvlJc w:val="left"/>
    </w:lvl>
    <w:lvl w:ilvl="6" w:tplc="54F488B0">
      <w:numFmt w:val="decimal"/>
      <w:lvlText w:val=""/>
      <w:lvlJc w:val="left"/>
    </w:lvl>
    <w:lvl w:ilvl="7" w:tplc="28EA10D0">
      <w:numFmt w:val="decimal"/>
      <w:lvlText w:val=""/>
      <w:lvlJc w:val="left"/>
    </w:lvl>
    <w:lvl w:ilvl="8" w:tplc="616AB8CC">
      <w:numFmt w:val="decimal"/>
      <w:lvlText w:val=""/>
      <w:lvlJc w:val="left"/>
    </w:lvl>
  </w:abstractNum>
  <w:abstractNum w:abstractNumId="1" w15:restartNumberingAfterBreak="0">
    <w:nsid w:val="566706D7"/>
    <w:multiLevelType w:val="hybridMultilevel"/>
    <w:tmpl w:val="47F84E00"/>
    <w:lvl w:ilvl="0" w:tplc="A762CF38">
      <w:start w:val="1"/>
      <w:numFmt w:val="bullet"/>
      <w:lvlText w:val="●"/>
      <w:lvlJc w:val="left"/>
      <w:pPr>
        <w:ind w:left="720" w:hanging="360"/>
      </w:pPr>
    </w:lvl>
    <w:lvl w:ilvl="1" w:tplc="2FB484B0">
      <w:start w:val="1"/>
      <w:numFmt w:val="bullet"/>
      <w:lvlText w:val="○"/>
      <w:lvlJc w:val="left"/>
      <w:pPr>
        <w:ind w:left="1440" w:hanging="360"/>
      </w:pPr>
    </w:lvl>
    <w:lvl w:ilvl="2" w:tplc="EC46EF9C">
      <w:start w:val="1"/>
      <w:numFmt w:val="bullet"/>
      <w:lvlText w:val="■"/>
      <w:lvlJc w:val="left"/>
      <w:pPr>
        <w:ind w:left="2160" w:hanging="360"/>
      </w:pPr>
    </w:lvl>
    <w:lvl w:ilvl="3" w:tplc="F51E46AE">
      <w:start w:val="1"/>
      <w:numFmt w:val="bullet"/>
      <w:lvlText w:val="●"/>
      <w:lvlJc w:val="left"/>
      <w:pPr>
        <w:ind w:left="2880" w:hanging="360"/>
      </w:pPr>
    </w:lvl>
    <w:lvl w:ilvl="4" w:tplc="047E98E4">
      <w:start w:val="1"/>
      <w:numFmt w:val="bullet"/>
      <w:lvlText w:val="○"/>
      <w:lvlJc w:val="left"/>
      <w:pPr>
        <w:ind w:left="3600" w:hanging="360"/>
      </w:pPr>
    </w:lvl>
    <w:lvl w:ilvl="5" w:tplc="CF9296E4">
      <w:start w:val="1"/>
      <w:numFmt w:val="bullet"/>
      <w:lvlText w:val="■"/>
      <w:lvlJc w:val="left"/>
      <w:pPr>
        <w:ind w:left="4320" w:hanging="360"/>
      </w:pPr>
    </w:lvl>
    <w:lvl w:ilvl="6" w:tplc="0E1A7492">
      <w:start w:val="1"/>
      <w:numFmt w:val="bullet"/>
      <w:lvlText w:val="●"/>
      <w:lvlJc w:val="left"/>
      <w:pPr>
        <w:ind w:left="5040" w:hanging="360"/>
      </w:pPr>
    </w:lvl>
    <w:lvl w:ilvl="7" w:tplc="6E902B38">
      <w:start w:val="1"/>
      <w:numFmt w:val="bullet"/>
      <w:lvlText w:val="●"/>
      <w:lvlJc w:val="left"/>
      <w:pPr>
        <w:ind w:left="5760" w:hanging="360"/>
      </w:pPr>
    </w:lvl>
    <w:lvl w:ilvl="8" w:tplc="6640037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0658"/>
    <w:rsid w:val="00680658"/>
    <w:rsid w:val="0090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B9C9FE-1F7C-4A36-97FB-47740E7B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907C73"/>
    <w:pPr>
      <w:spacing w:before="100" w:beforeAutospacing="1" w:after="100" w:afterAutospacing="1"/>
    </w:pPr>
    <w:rPr>
      <w:sz w:val="24"/>
      <w:szCs w:val="24"/>
    </w:rPr>
  </w:style>
  <w:style w:type="paragraph" w:styleId="NormalWeb">
    <w:name w:val="Normal (Web)"/>
    <w:basedOn w:val="Normal"/>
    <w:uiPriority w:val="99"/>
    <w:semiHidden/>
    <w:unhideWhenUsed/>
    <w:rsid w:val="00907C7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00759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1767</Words>
  <Characters>10072</Characters>
  <Application>Microsoft Office Word</Application>
  <DocSecurity>0</DocSecurity>
  <Lines>83</Lines>
  <Paragraphs>23</Paragraphs>
  <ScaleCrop>false</ScaleCrop>
  <Company/>
  <LinksUpToDate>false</LinksUpToDate>
  <CharactersWithSpaces>11816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2026-07-12T17:22:00Z</dcterms:created>
  <dcterms:modified xsi:type="dcterms:W3CDTF">2026-07-12T17:36:00Z</dcterms:modified>
</cp:coreProperties>
</file>