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120"/>
      </w:pPr>
      <w:r>
        <w:rPr>
          <w:rFonts w:ascii="Arial" w:hAnsi="Arial" w:cs="Arial" w:eastAsia="Arial"/>
          <w:b/>
          <w:i w:val="0"/>
          <w:color w:val="0B3C7A"/>
          <w:sz w:val="72"/>
        </w:rPr>
        <w:t>TeleClinic</w:t>
      </w:r>
    </w:p>
    <w:p>
      <w:pPr>
        <w:spacing w:before="0" w:after="240"/>
      </w:pPr>
      <w:r>
        <w:rPr>
          <w:rFonts w:ascii="Arial" w:hAnsi="Arial" w:cs="Arial" w:eastAsia="Arial"/>
          <w:b w:val="0"/>
          <w:i w:val="0"/>
          <w:color w:val="0B5CC0"/>
          <w:sz w:val="40"/>
        </w:rPr>
        <w:t>National Digital Health Platform</w:t>
      </w:r>
    </w:p>
    <w:p>
      <w:pPr>
        <w:spacing w:before="0" w:after="120"/>
      </w:pPr>
      <w:r>
        <w:rPr>
          <w:rFonts w:ascii="Arial" w:hAnsi="Arial" w:cs="Arial" w:eastAsia="Arial"/>
          <w:b/>
          <w:i w:val="0"/>
          <w:sz w:val="36"/>
        </w:rPr>
        <w:t>Technical Design Document</w:t>
      </w:r>
    </w:p>
    <w:p>
      <w:pPr>
        <w:spacing w:before="0" w:after="520"/>
      </w:pPr>
      <w:r>
        <w:rPr>
          <w:rFonts w:ascii="Arial" w:hAnsi="Arial" w:cs="Arial" w:eastAsia="Arial"/>
          <w:b w:val="0"/>
          <w:i w:val="0"/>
          <w:color w:val="4A5568"/>
          <w:sz w:val="24"/>
        </w:rPr>
        <w:t>Software Architect, Digital Health: remote assignment, Tasks 1 to 4</w:t>
      </w:r>
    </w:p>
    <w:p>
      <w:pPr>
        <w:spacing w:before="0" w:after="40"/>
      </w:pPr>
      <w:r>
        <w:rPr>
          <w:rFonts w:ascii="Arial" w:hAnsi="Arial" w:cs="Arial" w:eastAsia="Arial"/>
          <w:b/>
          <w:i w:val="0"/>
          <w:sz w:val="20"/>
        </w:rPr>
        <w:t xml:space="preserve">Prepared by: </w:t>
      </w:r>
      <w:r>
        <w:rPr>
          <w:rFonts w:ascii="Arial" w:hAnsi="Arial" w:cs="Arial" w:eastAsia="Arial"/>
          <w:b w:val="0"/>
          <w:i w:val="0"/>
          <w:sz w:val="20"/>
        </w:rPr>
        <w:t>Bailly Rurangirwa</w:t>
      </w:r>
    </w:p>
    <w:p>
      <w:pPr>
        <w:spacing w:before="0" w:after="40"/>
      </w:pPr>
      <w:r>
        <w:rPr>
          <w:rFonts w:ascii="Arial" w:hAnsi="Arial" w:cs="Arial" w:eastAsia="Arial"/>
          <w:b/>
          <w:i w:val="0"/>
          <w:sz w:val="20"/>
        </w:rPr>
        <w:t xml:space="preserve">For: </w:t>
      </w:r>
      <w:r>
        <w:rPr>
          <w:rFonts w:ascii="Arial" w:hAnsi="Arial" w:cs="Arial" w:eastAsia="Arial"/>
          <w:b w:val="0"/>
          <w:i w:val="0"/>
          <w:sz w:val="20"/>
        </w:rPr>
        <w:t>Irembo, Talent Acquisition</w:t>
      </w:r>
    </w:p>
    <w:p>
      <w:pPr>
        <w:spacing w:before="0" w:after="40"/>
      </w:pPr>
      <w:r>
        <w:rPr>
          <w:rFonts w:ascii="Arial" w:hAnsi="Arial" w:cs="Arial" w:eastAsia="Arial"/>
          <w:b/>
          <w:i w:val="0"/>
          <w:sz w:val="20"/>
        </w:rPr>
        <w:t xml:space="preserve">Version: </w:t>
      </w:r>
      <w:r>
        <w:rPr>
          <w:rFonts w:ascii="Arial" w:hAnsi="Arial" w:cs="Arial" w:eastAsia="Arial"/>
          <w:b w:val="0"/>
          <w:i w:val="0"/>
          <w:sz w:val="20"/>
        </w:rPr>
        <w:t>2.0, October 2026</w:t>
      </w:r>
    </w:p>
    <w:p>
      <w:pPr>
        <w:spacing w:before="280" w:after="80"/>
      </w:pPr>
      <w:r>
        <w:rPr>
          <w:rFonts w:ascii="Arial" w:hAnsi="Arial" w:cs="Arial" w:eastAsia="Arial"/>
          <w:b/>
          <w:i w:val="0"/>
          <w:sz w:val="20"/>
        </w:rPr>
        <w:t xml:space="preserve">Live demo: </w:t>
      </w:r>
      <w:r>
        <w:rPr>
          <w:rFonts w:ascii="Arial" w:hAnsi="Arial" w:cs="Arial" w:eastAsia="Arial"/>
          <w:b w:val="0"/>
          <w:i w:val="0"/>
          <w:sz w:val="20"/>
        </w:rPr>
        <w:t>https://app.teleclinic-demo.dev (synthetic data; sign-in details in the email)</w:t>
      </w:r>
    </w:p>
    <w:p>
      <w:pPr>
        <w:spacing w:before="0" w:after="80"/>
      </w:pPr>
      <w:r>
        <w:rPr>
          <w:rFonts w:ascii="Arial" w:hAnsi="Arial" w:cs="Arial" w:eastAsia="Arial"/>
          <w:b/>
          <w:i w:val="0"/>
          <w:sz w:val="20"/>
        </w:rPr>
        <w:t xml:space="preserve">Code and full diagrams: </w:t>
      </w:r>
      <w:r>
        <w:rPr>
          <w:rFonts w:ascii="Arial" w:hAnsi="Arial" w:cs="Arial" w:eastAsia="Arial"/>
          <w:b w:val="0"/>
          <w:i w:val="0"/>
          <w:sz w:val="20"/>
        </w:rPr>
        <w:t>https://github.com/rubailly/teleclinic</w:t>
      </w:r>
    </w:p>
    <w:p>
      <w:pPr>
        <w:spacing w:before="480" w:after="120"/>
      </w:pPr>
      <w:r>
        <w:rPr>
          <w:rFonts w:ascii="Arial" w:hAnsi="Arial" w:cs="Arial" w:eastAsia="Arial"/>
          <w:b/>
          <w:i w:val="0"/>
          <w:color w:val="0B3C7A"/>
          <w:sz w:val="22"/>
        </w:rPr>
        <w:t>Where to find what the brief asks for</w:t>
      </w:r>
    </w:p>
    <w:tbl>
      <w:tblPr>
        <w:tblW w:type="auto" w:w="0"/>
        <w:tblLayout w:type="fixed"/>
        <w:tblLook w:firstColumn="1" w:firstRow="1" w:lastColumn="0" w:lastRow="0" w:noHBand="0" w:noVBand="1" w:val="04A0"/>
        <w:tblW w:w="9639" w:type="dxa"/>
        <w:tblLayout w:type="fixed"/>
      </w:tblPr>
      <w:tblGrid>
        <w:gridCol w:w="6236"/>
        <w:gridCol w:w="1417"/>
        <w:gridCol w:w="1984"/>
      </w:tblGrid>
      <w:tr>
        <w:trPr>
          <w:cantSplit/>
          <w:tblHeader/>
        </w:trPr>
        <w:tc>
          <w:tcPr>
            <w:tcW w:type="dxa" w:w="6236"/>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Brief item</w:t>
            </w:r>
          </w:p>
        </w:tc>
        <w:tc>
          <w:tcPr>
            <w:tcW w:type="dxa" w:w="1417"/>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Section</w:t>
            </w:r>
          </w:p>
        </w:tc>
        <w:tc>
          <w:tcPr>
            <w:tcW w:type="dxa" w:w="198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Figures</w:t>
            </w:r>
          </w:p>
        </w:tc>
      </w:tr>
      <w:tr>
        <w:trPr>
          <w:cantSplit/>
        </w:trPr>
        <w:tc>
          <w:tcPr>
            <w:tcW w:type="dxa" w:w="6236"/>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Task 1: blueprint, OIDC and payment flow, microservices or monolith</w:t>
            </w:r>
          </w:p>
        </w:tc>
        <w:tc>
          <w:tcPr>
            <w:tcW w:type="dxa" w:w="141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3</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1 to 7</w:t>
            </w:r>
          </w:p>
        </w:tc>
      </w:tr>
      <w:tr>
        <w:trPr>
          <w:cantSplit/>
        </w:trPr>
        <w:tc>
          <w:tcPr>
            <w:tcW w:type="dxa" w:w="6236"/>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Task 2: FHIR mapping, sync without loops, identity matching</w:t>
            </w:r>
          </w:p>
        </w:tc>
        <w:tc>
          <w:tcPr>
            <w:tcW w:type="dxa" w:w="141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4</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8, 9</w:t>
            </w:r>
          </w:p>
        </w:tc>
      </w:tr>
      <w:tr>
        <w:trPr>
          <w:cantSplit/>
        </w:trPr>
        <w:tc>
          <w:tcPr>
            <w:tcW w:type="dxa" w:w="6236"/>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Task 3: database and broker HA, split-brain, zero-downtime release, audit</w:t>
            </w:r>
          </w:p>
        </w:tc>
        <w:tc>
          <w:tcPr>
            <w:tcW w:type="dxa" w:w="141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5</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10 to 13</w:t>
            </w:r>
          </w:p>
        </w:tc>
      </w:tr>
      <w:tr>
        <w:trPr>
          <w:cantSplit/>
        </w:trPr>
        <w:tc>
          <w:tcPr>
            <w:tcW w:type="dxa" w:w="6236"/>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Task 4: sync or async inference, PII gateway, human in the loop</w:t>
            </w:r>
          </w:p>
        </w:tc>
        <w:tc>
          <w:tcPr>
            <w:tcW w:type="dxa" w:w="141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6</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14, 15</w:t>
            </w:r>
          </w:p>
        </w:tc>
      </w:tr>
      <w:tr>
        <w:trPr>
          <w:cantSplit/>
        </w:trPr>
        <w:tc>
          <w:tcPr>
            <w:tcW w:type="dxa" w:w="6236"/>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Deliverable 1: architecture diagrams</w:t>
            </w:r>
          </w:p>
        </w:tc>
        <w:tc>
          <w:tcPr>
            <w:tcW w:type="dxa" w:w="141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3 to 6, 9</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1 to 16</w:t>
            </w:r>
          </w:p>
        </w:tc>
      </w:tr>
      <w:tr>
        <w:trPr>
          <w:cantSplit/>
        </w:trPr>
        <w:tc>
          <w:tcPr>
            <w:tcW w:type="dxa" w:w="6236"/>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Deliverable 2: trade-off analysis</w:t>
            </w:r>
          </w:p>
        </w:tc>
        <w:tc>
          <w:tcPr>
            <w:tcW w:type="dxa" w:w="141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7</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p>
        </w:tc>
      </w:tr>
      <w:tr>
        <w:trPr>
          <w:cantSplit/>
        </w:trPr>
        <w:tc>
          <w:tcPr>
            <w:tcW w:type="dxa" w:w="6236"/>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Deliverable 3: API specifications (OpenAPI)</w:t>
            </w:r>
          </w:p>
        </w:tc>
        <w:tc>
          <w:tcPr>
            <w:tcW w:type="dxa" w:w="141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8</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p>
        </w:tc>
      </w:tr>
      <w:tr>
        <w:trPr>
          <w:cantSplit/>
        </w:trPr>
        <w:tc>
          <w:tcPr>
            <w:tcW w:type="dxa" w:w="6236"/>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Deliverable 4: operational roadmap</w:t>
            </w:r>
          </w:p>
        </w:tc>
        <w:tc>
          <w:tcPr>
            <w:tcW w:type="dxa" w:w="141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9</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16</w:t>
            </w:r>
          </w:p>
        </w:tc>
      </w:tr>
    </w:tbl>
    <w:p>
      <w:pPr>
        <w:spacing w:before="0" w:after="80"/>
      </w:pPr>
    </w:p>
    <w:p>
      <w:pPr>
        <w:spacing w:before="0" w:after="120" w:line="276" w:lineRule="auto"/>
      </w:pPr>
      <w:r>
        <w:rPr>
          <w:rFonts w:ascii="Arial" w:hAnsi="Arial" w:cs="Arial" w:eastAsia="Arial"/>
          <w:b w:val="0"/>
          <w:i w:val="0"/>
          <w:sz w:val="18"/>
        </w:rPr>
        <w:t>Every number marked as measured comes from the reference implementation (Appendix A), which runs the whole design on one machine with synthetic data. It proves that the mechanisms work, not production capacity.</w:t>
      </w:r>
    </w:p>
    <w:p>
      <w:pPr>
        <w:spacing w:before="0" w:after="0"/>
      </w:pPr>
      <w:r>
        <w:br w:type="page"/>
      </w:r>
    </w:p>
    <w:p>
      <w:pPr>
        <w:pStyle w:val="Heading1"/>
        <w:keepNext/>
        <w:spacing w:before="320" w:after="160"/>
        <w:pBdr>
          <w:bottom w:val="single" w:sz="8" w:space="4" w:color="0B5CC0"/>
        </w:pBdr>
      </w:pPr>
      <w:r>
        <w:rPr>
          <w:rFonts w:ascii="Arial" w:hAnsi="Arial" w:cs="Arial" w:eastAsia="Arial"/>
          <w:b/>
          <w:i w:val="0"/>
          <w:color w:val="0B3C7A"/>
          <w:sz w:val="32"/>
        </w:rPr>
        <w:t>1  Summary</w:t>
      </w:r>
    </w:p>
    <w:p>
      <w:pPr>
        <w:spacing w:before="0" w:after="120" w:line="276" w:lineRule="auto"/>
      </w:pPr>
      <w:r>
        <w:rPr>
          <w:rFonts w:ascii="Arial" w:hAnsi="Arial" w:cs="Arial" w:eastAsia="Arial"/>
          <w:b w:val="0"/>
          <w:i w:val="0"/>
          <w:sz w:val="20"/>
        </w:rPr>
        <w:t>TeleClinic has to work for millions of people on web, mobile and USSD, while depending on four things that fail independently: IremboAccount for identity, IremboPay for money, the facility EMRs (eBuzima in health centres, OpenMRS in hospitals) and an AI model. All data stays on Irembo's own infrastructure. I designed around two rules: assume every integration will fail, and let no machine make a clinical decision.</w:t>
      </w:r>
    </w:p>
    <w:p>
      <w:pPr>
        <w:spacing w:before="0" w:after="60" w:line="276" w:lineRule="auto"/>
      </w:pPr>
      <w:r>
        <w:rPr>
          <w:rFonts w:ascii="Arial" w:hAnsi="Arial" w:cs="Arial" w:eastAsia="Arial"/>
          <w:b w:val="0"/>
          <w:i w:val="0"/>
          <w:sz w:val="20"/>
        </w:rPr>
        <w:t>The decisions that shape everything else:</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A modular monolith core with five separate services.</w:t>
      </w:r>
      <w:r>
        <w:rPr>
          <w:rFonts w:ascii="Arial" w:hAnsi="Arial" w:cs="Arial" w:eastAsia="Arial"/>
          <w:b w:val="0"/>
          <w:i w:val="0"/>
          <w:sz w:val="20"/>
        </w:rPr>
        <w:t xml:space="preserve"> The domain lives in one Spring Boot deployable with enforced module boundaries. Only the edge, the USSD gateway, the AI zone, the sync gateway (OpenFn) and the data tier run separately, because their failure, scaling or security needs really differ. On-premise, every extra service is a permanent operating cost.</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A saga for booking and payment, not two-phase commit.</w:t>
      </w:r>
      <w:r>
        <w:rPr>
          <w:rFonts w:ascii="Arial" w:hAnsi="Arial" w:cs="Arial" w:eastAsia="Arial"/>
          <w:b w:val="0"/>
          <w:i w:val="0"/>
          <w:sz w:val="20"/>
        </w:rPr>
        <w:t xml:space="preserve"> IremboPay cannot join our transaction, so each step is local, every webhook is checked back with IremboPay, and every failure has a compensation.</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FHIR at the edges, a relational model inside.</w:t>
      </w:r>
      <w:r>
        <w:rPr>
          <w:rFonts w:ascii="Arial" w:hAnsi="Arial" w:cs="Arial" w:eastAsia="Arial"/>
          <w:b w:val="0"/>
          <w:i w:val="0"/>
          <w:sz w:val="20"/>
        </w:rPr>
        <w:t xml:space="preserve"> The core maps to profiled FHIR R4 at its boundary.</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Sync without loops.</w:t>
      </w:r>
      <w:r>
        <w:rPr>
          <w:rFonts w:ascii="Arial" w:hAnsi="Arial" w:cs="Arial" w:eastAsia="Arial"/>
          <w:b w:val="0"/>
          <w:i w:val="0"/>
          <w:sz w:val="20"/>
        </w:rPr>
        <w:t xml:space="preserve"> Writes go to the EMR of the patient's home facility through a queue the gateway pulls. Origin tags and content hashes drop echoes; real conflicts go to a person.</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Link, never merge, patient records.</w:t>
      </w:r>
      <w:r>
        <w:rPr>
          <w:rFonts w:ascii="Arial" w:hAnsi="Arial" w:cs="Arial" w:eastAsia="Arial"/>
          <w:b w:val="0"/>
          <w:i w:val="0"/>
          <w:sz w:val="20"/>
        </w:rPr>
        <w:t xml:space="preserve"> A wrong merge is a safety incident; a missed match is only a duplicate.</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Majority rules in the data tier.</w:t>
      </w:r>
      <w:r>
        <w:rPr>
          <w:rFonts w:ascii="Arial" w:hAnsi="Arial" w:cs="Arial" w:eastAsia="Arial"/>
          <w:b w:val="0"/>
          <w:i w:val="0"/>
          <w:sz w:val="20"/>
        </w:rPr>
        <w:t xml:space="preserve"> PostgreSQL with Patroni and etcd, Kafka in KRaft mode, all on three fault domains, so a partitioned minority stops writing instead of diverging.</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Audit in three layers with a hash chain,</w:t>
      </w:r>
      <w:r>
        <w:rPr>
          <w:rFonts w:ascii="Arial" w:hAnsi="Arial" w:cs="Arial" w:eastAsia="Arial"/>
          <w:b w:val="0"/>
          <w:i w:val="0"/>
          <w:sz w:val="20"/>
        </w:rPr>
        <w:t xml:space="preserve"> so every read of health data is attributable and tampering shows.</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i w:val="0"/>
          <w:sz w:val="20"/>
        </w:rPr>
        <w:t>AI advises, rules protect, clinicians decide.</w:t>
      </w:r>
      <w:r>
        <w:rPr>
          <w:rFonts w:ascii="Arial" w:hAnsi="Arial" w:cs="Arial" w:eastAsia="Arial"/>
          <w:b w:val="0"/>
          <w:i w:val="0"/>
          <w:sz w:val="20"/>
        </w:rPr>
        <w:t xml:space="preserve"> Rules answer inside the USSD session; the model runs asynchronously, can only raise urgency, and its output stays proposed until a clinician signs.</w:t>
      </w:r>
    </w:p>
    <w:p>
      <w:pPr>
        <w:pStyle w:val="Heading2"/>
        <w:keepNext/>
        <w:spacing w:before="240" w:after="100"/>
      </w:pPr>
      <w:r>
        <w:rPr>
          <w:rFonts w:ascii="Arial" w:hAnsi="Arial" w:cs="Arial" w:eastAsia="Arial"/>
          <w:b/>
          <w:i w:val="0"/>
          <w:color w:val="0B3C7A"/>
          <w:sz w:val="24"/>
        </w:rPr>
        <w:t>Service targets</w:t>
      </w:r>
    </w:p>
    <w:tbl>
      <w:tblPr>
        <w:tblW w:type="auto" w:w="0"/>
        <w:tblLayout w:type="fixed"/>
        <w:tblLook w:firstColumn="1" w:firstRow="1" w:lastColumn="0" w:lastRow="0" w:noHBand="0" w:noVBand="1" w:val="04A0"/>
        <w:tblW w:w="9639" w:type="dxa"/>
        <w:tblLayout w:type="fixed"/>
      </w:tblPr>
      <w:tblGrid>
        <w:gridCol w:w="2835"/>
        <w:gridCol w:w="1814"/>
        <w:gridCol w:w="4989"/>
      </w:tblGrid>
      <w:tr>
        <w:trPr>
          <w:cantSplit/>
          <w:tblHeader/>
        </w:trPr>
        <w:tc>
          <w:tcPr>
            <w:tcW w:type="dxa" w:w="28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Target</w:t>
            </w:r>
          </w:p>
        </w:tc>
        <w:tc>
          <w:tcPr>
            <w:tcW w:type="dxa" w:w="181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Proposed value</w:t>
            </w:r>
          </w:p>
        </w:tc>
        <w:tc>
          <w:tcPr>
            <w:tcW w:type="dxa" w:w="4989"/>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Measured in the reference implementation</w:t>
            </w:r>
          </w:p>
        </w:tc>
      </w:tr>
      <w:tr>
        <w:trPr>
          <w:cantSplit/>
        </w:trPr>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Availability of booking and consultation</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99.95% a month</w:t>
            </w:r>
          </w:p>
        </w:tc>
        <w:tc>
          <w:tcPr>
            <w:tcW w:type="dxa" w:w="498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Release under load: 1,181 requests, 0 failed; a bad build rolled back automatically</w:t>
            </w:r>
          </w:p>
        </w:tc>
      </w:tr>
      <w:tr>
        <w:trPr>
          <w:cantSplit/>
        </w:trPr>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Committed writes lost on node failure</w:t>
            </w:r>
          </w:p>
        </w:tc>
        <w:tc>
          <w:tcPr>
            <w:tcW w:type="dxa" w:w="181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Zero</w:t>
            </w:r>
          </w:p>
        </w:tc>
        <w:tc>
          <w:tcPr>
            <w:tcW w:type="dxa" w:w="498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Leader killed during writes: 0 acknowledged writes lost, every run</w:t>
            </w:r>
          </w:p>
        </w:tc>
      </w:tr>
      <w:tr>
        <w:trPr>
          <w:cantSplit/>
        </w:trPr>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Database failover</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Under 60 s</w:t>
            </w:r>
          </w:p>
        </w:tc>
        <w:tc>
          <w:tcPr>
            <w:tcW w:type="dxa" w:w="498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Writes resumed after 16.8 to 21.3 s</w:t>
            </w:r>
          </w:p>
        </w:tc>
      </w:tr>
      <w:tr>
        <w:trPr>
          <w:cantSplit/>
        </w:trPr>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USSD step response</w:t>
            </w:r>
          </w:p>
        </w:tc>
        <w:tc>
          <w:tcPr>
            <w:tcW w:type="dxa" w:w="181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p95 under 1.5 s</w:t>
            </w:r>
          </w:p>
        </w:tc>
        <w:tc>
          <w:tcPr>
            <w:tcW w:type="dxa" w:w="498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Slowest step 176 ms; p95 264 ms under load</w:t>
            </w:r>
          </w:p>
        </w:tc>
      </w:tr>
      <w:tr>
        <w:trPr>
          <w:cantSplit/>
        </w:trPr>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Triage rules</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p95 under 100 ms</w:t>
            </w:r>
          </w:p>
        </w:tc>
        <w:tc>
          <w:tcPr>
            <w:tcW w:type="dxa" w:w="498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Under 1 ms</w:t>
            </w:r>
          </w:p>
        </w:tc>
      </w:tr>
      <w:tr>
        <w:trPr>
          <w:cantSplit/>
        </w:trPr>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EMR sync, decision to EMR</w:t>
            </w:r>
          </w:p>
        </w:tc>
        <w:tc>
          <w:tcPr>
            <w:tcW w:type="dxa" w:w="181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p95 under 5 s</w:t>
            </w:r>
          </w:p>
        </w:tc>
        <w:tc>
          <w:tcPr>
            <w:tcW w:type="dxa" w:w="498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eBuzima p95 3.8 s; OpenMRS p95 2.3 s</w:t>
            </w:r>
          </w:p>
        </w:tc>
      </w:tr>
      <w:tr>
        <w:trPr>
          <w:cantSplit/>
        </w:trPr>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Site disaster recovery</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RPO 5 min, RTO 4 h</w:t>
            </w:r>
          </w:p>
        </w:tc>
        <w:tc>
          <w:tcPr>
            <w:tcW w:type="dxa" w:w="498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Not exercised (one machine)</w:t>
            </w:r>
          </w:p>
        </w:tc>
      </w:tr>
    </w:tbl>
    <w:p>
      <w:pPr>
        <w:spacing w:before="0" w:after="80"/>
      </w:pPr>
    </w:p>
    <w:p>
      <w:pPr>
        <w:pStyle w:val="Heading1"/>
        <w:keepNext/>
        <w:spacing w:before="320" w:after="160"/>
        <w:pBdr>
          <w:bottom w:val="single" w:sz="8" w:space="4" w:color="0B5CC0"/>
        </w:pBdr>
      </w:pPr>
      <w:r>
        <w:rPr>
          <w:rFonts w:ascii="Arial" w:hAnsi="Arial" w:cs="Arial" w:eastAsia="Arial"/>
          <w:b/>
          <w:i w:val="0"/>
          <w:color w:val="0B3C7A"/>
          <w:sz w:val="32"/>
        </w:rPr>
        <w:t>2  Assumptions to confirm</w:t>
      </w:r>
    </w:p>
    <w:p>
      <w:pPr>
        <w:spacing w:before="0" w:after="120" w:line="276" w:lineRule="auto"/>
      </w:pPr>
      <w:r>
        <w:rPr>
          <w:rFonts w:ascii="Arial" w:hAnsi="Arial" w:cs="Arial" w:eastAsia="Arial"/>
          <w:b w:val="0"/>
          <w:i w:val="0"/>
          <w:sz w:val="20"/>
        </w:rPr>
        <w:t>The brief leaves several interfaces open. These are the assumptions that matter most; each one has a fallback that changes an adapter, not the design.</w:t>
      </w:r>
    </w:p>
    <w:tbl>
      <w:tblPr>
        <w:tblW w:type="auto" w:w="0"/>
        <w:tblLayout w:type="fixed"/>
        <w:tblLook w:firstColumn="1" w:firstRow="1" w:lastColumn="0" w:lastRow="0" w:noHBand="0" w:noVBand="1" w:val="04A0"/>
        <w:tblW w:w="9639" w:type="dxa"/>
        <w:tblLayout w:type="fixed"/>
      </w:tblPr>
      <w:tblGrid>
        <w:gridCol w:w="567"/>
        <w:gridCol w:w="5953"/>
        <w:gridCol w:w="3118"/>
      </w:tblGrid>
      <w:tr>
        <w:trPr>
          <w:cantSplit/>
          <w:tblHeader/>
        </w:trPr>
        <w:tc>
          <w:tcPr>
            <w:tcW w:type="dxa" w:w="567"/>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r>
          </w:p>
        </w:tc>
        <w:tc>
          <w:tcPr>
            <w:tcW w:type="dxa" w:w="5953"/>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Assumption</w:t>
            </w:r>
          </w:p>
        </w:tc>
        <w:tc>
          <w:tcPr>
            <w:tcW w:type="dxa" w:w="311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If it is wrong</w:t>
            </w:r>
          </w:p>
        </w:tc>
      </w:tr>
      <w:tr>
        <w:trPr>
          <w:cantSplit/>
        </w:trPr>
        <w:tc>
          <w:tcPr>
            <w:tcW w:type="dxa" w:w="56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A1</w:t>
            </w:r>
          </w:p>
        </w:tc>
        <w:tc>
          <w:tcPr>
            <w:tcW w:type="dxa" w:w="5953"/>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IremboAccount offers standard OpenID Connect (authorization code with PKCE, JWKS, a stable subject id).</w:t>
            </w:r>
          </w:p>
        </w:tc>
        <w:tc>
          <w:tcPr>
            <w:tcW w:type="dxa" w:w="311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An adapter in the identity module.</w:t>
            </w:r>
          </w:p>
        </w:tc>
      </w:tr>
      <w:tr>
        <w:trPr>
          <w:cantSplit/>
        </w:trPr>
        <w:tc>
          <w:tcPr>
            <w:tcW w:type="dxa" w:w="56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A2</w:t>
            </w:r>
          </w:p>
        </w:tc>
        <w:tc>
          <w:tcPr>
            <w:tcW w:type="dxa" w:w="5953"/>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IremboPay offers payment creation with idempotency keys, signed webhooks, a status endpoint and a settlement report.</w:t>
            </w:r>
          </w:p>
        </w:tc>
        <w:tc>
          <w:tcPr>
            <w:tcW w:type="dxa" w:w="311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Status polling and file reconciliation.</w:t>
            </w:r>
          </w:p>
        </w:tc>
      </w:tr>
      <w:tr>
        <w:trPr>
          <w:cantSplit/>
        </w:trPr>
        <w:tc>
          <w:tcPr>
            <w:tcW w:type="dxa" w:w="56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A3</w:t>
            </w:r>
          </w:p>
        </w:tc>
        <w:tc>
          <w:tcPr>
            <w:tcW w:type="dxa" w:w="5953"/>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eBuzima is one central ERPNext (Frappe Healthcare) system with a tenant per health centre, reachable through the Frappe REST API and webhooks. Hospitals run their own OpenMRS with the FHIR module.</w:t>
            </w:r>
          </w:p>
        </w:tc>
        <w:tc>
          <w:tcPr>
            <w:tcW w:type="dxa" w:w="311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 different adaptor in the sync gateway; the core is unchanged.</w:t>
            </w:r>
          </w:p>
        </w:tc>
      </w:tr>
      <w:tr>
        <w:trPr>
          <w:cantSplit/>
        </w:trPr>
        <w:tc>
          <w:tcPr>
            <w:tcW w:type="dxa" w:w="56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A5</w:t>
            </w:r>
          </w:p>
        </w:tc>
        <w:tc>
          <w:tcPr>
            <w:tcW w:type="dxa" w:w="5953"/>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The data center has three fault domains, or two sites and a witness.</w:t>
            </w:r>
          </w:p>
        </w:tc>
        <w:tc>
          <w:tcPr>
            <w:tcW w:type="dxa" w:w="311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Single-site HA, with the residual risk written down.</w:t>
            </w:r>
          </w:p>
        </w:tc>
      </w:tr>
      <w:tr>
        <w:trPr>
          <w:cantSplit/>
        </w:trPr>
        <w:tc>
          <w:tcPr>
            <w:tcW w:type="dxa" w:w="56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A7</w:t>
            </w:r>
          </w:p>
        </w:tc>
        <w:tc>
          <w:tcPr>
            <w:tcW w:type="dxa" w:w="5953"/>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Triage rules come from a national protocol approved by clinical leadership.</w:t>
            </w:r>
          </w:p>
        </w:tc>
        <w:tc>
          <w:tcPr>
            <w:tcW w:type="dxa" w:w="311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Launch in rules-only advisory mode.</w:t>
            </w:r>
          </w:p>
        </w:tc>
      </w:tr>
      <w:tr>
        <w:trPr>
          <w:cantSplit/>
        </w:trPr>
        <w:tc>
          <w:tcPr>
            <w:tcW w:type="dxa" w:w="56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A8</w:t>
            </w:r>
          </w:p>
        </w:tc>
        <w:tc>
          <w:tcPr>
            <w:tcW w:type="dxa" w:w="5953"/>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Design scale: 10 million citizens, 100,000 consultations a day at national rollout.</w:t>
            </w:r>
          </w:p>
        </w:tc>
        <w:tc>
          <w:tcPr>
            <w:tcW w:type="dxa" w:w="311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The capacity model is parametric (Section 9).</w:t>
            </w:r>
          </w:p>
        </w:tc>
      </w:tr>
    </w:tbl>
    <w:p>
      <w:pPr>
        <w:spacing w:before="0" w:after="80"/>
      </w:pPr>
    </w:p>
    <w:p>
      <w:pPr>
        <w:spacing w:before="0" w:after="120" w:line="276" w:lineRule="auto"/>
      </w:pPr>
      <w:r>
        <w:rPr>
          <w:rFonts w:ascii="Arial" w:hAnsi="Arial" w:cs="Arial" w:eastAsia="Arial"/>
          <w:b w:val="0"/>
          <w:i w:val="0"/>
          <w:sz w:val="19"/>
        </w:rPr>
        <w:t>Others: telecom aggregators provide USSD callbacks and mobile-money push; national FHIR profiles will be agreed with the Ministry (base R4 and IPS until then); TeleClinic joins the national exchange (OpenHIM, client registry, UPI) as a client; insurance coverage can be checked as eBuzima does today; retention and consent rules are set by legal counsel and kept as configuration.</w:t>
      </w:r>
    </w:p>
    <w:p>
      <w:pPr>
        <w:pStyle w:val="Heading1"/>
        <w:keepNext/>
        <w:spacing w:before="320" w:after="160"/>
        <w:pBdr>
          <w:bottom w:val="single" w:sz="8" w:space="4" w:color="0B5CC0"/>
        </w:pBdr>
      </w:pPr>
      <w:r>
        <w:rPr>
          <w:rFonts w:ascii="Arial" w:hAnsi="Arial" w:cs="Arial" w:eastAsia="Arial"/>
          <w:b/>
          <w:i w:val="0"/>
          <w:color w:val="0B3C7A"/>
          <w:sz w:val="32"/>
        </w:rPr>
        <w:t>3  Task 1: Blueprint and integration</w:t>
      </w:r>
    </w:p>
    <w:p>
      <w:pPr>
        <w:pStyle w:val="Heading2"/>
        <w:keepNext/>
        <w:spacing w:before="240" w:after="100"/>
      </w:pPr>
      <w:r>
        <w:rPr>
          <w:rFonts w:ascii="Arial" w:hAnsi="Arial" w:cs="Arial" w:eastAsia="Arial"/>
          <w:b/>
          <w:i w:val="0"/>
          <w:color w:val="0B3C7A"/>
          <w:sz w:val="24"/>
        </w:rPr>
        <w:t>3.1  The system and its containers</w:t>
      </w:r>
    </w:p>
    <w:p>
      <w:pPr>
        <w:spacing w:before="0" w:after="120" w:line="276" w:lineRule="auto"/>
      </w:pPr>
      <w:r>
        <w:rPr>
          <w:rFonts w:ascii="Arial" w:hAnsi="Arial" w:cs="Arial" w:eastAsia="Arial"/>
          <w:b w:val="0"/>
          <w:i w:val="0"/>
          <w:sz w:val="20"/>
        </w:rPr>
        <w:t>TeleClinic replaces none of the national systems. It reuses IremboAccount and IremboPay through IremboHub, exchanges clinical data with facility EMRs, and reports nationally through OpenHIM and DHIS2 (Figure 1). Figure 2 shows the containers. The core is one Java 21 and Spring Boot application holding identity links, consent, the patient index, consultations, triage orchestration, the payment saga, the FHIR facade and the audit interceptor. Around it: an HAProxy pair with Keepalived and an APISIX gateway at the edge, the USSD gateway with Valkey sessions, the AI trust zone (anonymizer, model server, pseudonym vault), OpenFn Lightning for EMR sync, and the data tier (PostgreSQL, Kafka, Valkey, MinIO, OpenSearch).</w:t>
      </w:r>
    </w:p>
    <w:p>
      <w:pPr>
        <w:spacing w:before="0" w:after="120" w:line="276" w:lineRule="auto"/>
      </w:pPr>
      <w:r>
        <w:rPr>
          <w:rFonts w:ascii="Arial" w:hAnsi="Arial" w:cs="Arial" w:eastAsia="Arial"/>
          <w:b w:val="0"/>
          <w:i w:val="0"/>
          <w:sz w:val="20"/>
        </w:rPr>
        <w:t>The gateway is run as a product rather than a proxy: route groups per channel and partner, JWT checks against the IremboAccount JWKS, mTLS for partner systems, quotas per client and per patient (429 with Retry-After), a circuit breaker per upstream so a slow EMR cannot exhaust it, and routes and consumers kept as code.</w:t>
      </w:r>
    </w:p>
    <w:p>
      <w:pPr>
        <w:pStyle w:val="Heading2"/>
        <w:keepNext/>
        <w:spacing w:before="240" w:after="100"/>
      </w:pPr>
      <w:r>
        <w:rPr>
          <w:rFonts w:ascii="Arial" w:hAnsi="Arial" w:cs="Arial" w:eastAsia="Arial"/>
          <w:b/>
          <w:i w:val="0"/>
          <w:color w:val="0B3C7A"/>
          <w:sz w:val="24"/>
        </w:rPr>
        <w:t>3.2  From anonymous visitor to paid consultation</w:t>
      </w:r>
    </w:p>
    <w:p>
      <w:pPr>
        <w:spacing w:before="0" w:after="120" w:line="276" w:lineRule="auto"/>
      </w:pPr>
      <w:r>
        <w:rPr>
          <w:rFonts w:ascii="Arial" w:hAnsi="Arial" w:cs="Arial" w:eastAsia="Arial"/>
          <w:b w:val="0"/>
          <w:i w:val="0"/>
          <w:sz w:val="20"/>
        </w:rPr>
        <w:t>The journey has three phases (Figures 3 to 5): prove who the user is, decide how urgent the case is, and take payment before a clinician is committed. Web, mobile and USSD share the same core and saga; only the edge differs.</w:t>
      </w:r>
    </w:p>
    <w:tbl>
      <w:tblPr>
        <w:tblW w:type="auto" w:w="0"/>
        <w:tblLayout w:type="fixed"/>
        <w:tblLook w:firstColumn="1" w:firstRow="1" w:lastColumn="0" w:lastRow="0" w:noHBand="0" w:noVBand="1" w:val="04A0"/>
        <w:tblW w:w="9639" w:type="dxa"/>
        <w:tblLayout w:type="fixed"/>
      </w:tblPr>
      <w:tblGrid>
        <w:gridCol w:w="1474"/>
        <w:gridCol w:w="5329"/>
        <w:gridCol w:w="2835"/>
      </w:tblGrid>
      <w:tr>
        <w:trPr>
          <w:cantSplit/>
          <w:tblHeader/>
        </w:trPr>
        <w:tc>
          <w:tcPr>
            <w:tcW w:type="dxa" w:w="147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Step</w:t>
            </w:r>
          </w:p>
        </w:tc>
        <w:tc>
          <w:tcPr>
            <w:tcW w:type="dxa" w:w="5329"/>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What happens</w:t>
            </w:r>
          </w:p>
        </w:tc>
        <w:tc>
          <w:tcPr>
            <w:tcW w:type="dxa" w:w="28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Why</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Sign-in</w:t>
            </w:r>
          </w:p>
        </w:tc>
        <w:tc>
          <w:tcPr>
            <w:tcW w:type="dxa" w:w="532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Authorization code with PKCE. The core is the confidential client (backend for frontend); the browser only gets an HttpOnly, Secure, SameSite cookie. Signature, issuer, audience, nonce and state are checked.</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 tokens in the browser; replay and mix-up attacks fail.</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Who the patient is</w:t>
            </w:r>
          </w:p>
        </w:tc>
        <w:tc>
          <w:tcPr>
            <w:tcW w:type="dxa" w:w="532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The IremboAccount subject id is the stable key; the national ID is one more identifier. A guardian signs in as themself and books for a child: the child is the Patient, the guardian a RelatedPerson and the consent performer.</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Names and phones change; children rarely have accounts.</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USSD identity</w:t>
            </w:r>
          </w:p>
        </w:tc>
        <w:tc>
          <w:tcPr>
            <w:tcW w:type="dxa" w:w="532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The phone is linked once with a one-time code. Each session checks the number and a PIN and exchanges them for a short-lived, limited token.</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Feature phones cannot do browser redirects.</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Consent and triage</w:t>
            </w:r>
          </w:p>
        </w:tc>
        <w:tc>
          <w:tcPr>
            <w:tcW w:type="dxa" w:w="532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Consent is recorded, then the rules engine returns urgency and red flags in under 100 ms. A red flag shows emergency advice at once.</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Emergencies never wait for payment or AI.</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Payment request</w:t>
            </w:r>
          </w:p>
        </w:tc>
        <w:tc>
          <w:tcPr>
            <w:tcW w:type="dxa" w:w="532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One transaction writes the consultation as PENDING_PAYMENT and an outbox event. Coverage is checked first, so IremboPay collects only the patient's share. The request carries an Idempotency-Key.</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 retry after a timeout cannot charge twice.</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Confirmation</w:t>
            </w:r>
          </w:p>
        </w:tc>
        <w:tc>
          <w:tcPr>
            <w:tcW w:type="dxa" w:w="532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The webhook's HMAC and timestamp are verified and its event id deduplicated, then the payment status is fetched from IremboPay before the case becomes PAID.</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A forged or replayed webhook cannot unlock a consultation.</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Reconciliation</w:t>
            </w:r>
          </w:p>
        </w:tc>
        <w:tc>
          <w:tcPr>
            <w:tcW w:type="dxa" w:w="532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 daily match against the IremboPay settlement report catches what no webhook can.</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Lost webhooks and processor errors.</w:t>
            </w:r>
          </w:p>
        </w:tc>
      </w:tr>
    </w:tbl>
    <w:p>
      <w:pPr>
        <w:spacing w:before="0" w:after="80"/>
      </w:pPr>
    </w:p>
    <w:p>
      <w:pPr>
        <w:spacing w:before="0" w:after="120" w:line="276" w:lineRule="auto"/>
      </w:pPr>
      <w:r>
        <w:rPr>
          <w:rFonts w:ascii="Arial" w:hAnsi="Arial" w:cs="Arial" w:eastAsia="Arial"/>
          <w:b w:val="0"/>
          <w:i w:val="0"/>
          <w:sz w:val="20"/>
        </w:rPr>
        <w:t>Over USSD (Figure 6) the first menu asks who the consultation is for, the safety rules run within the same step, and payment completes through the mobile-money prompt and an SMS, because the session may end before the webhook arrives. The saga never depends on the session. Voice reuses the same menu logic with recorded prompts and keypad answers, so it adds no new service. Measured: the slowest USSD step took 176 ms and the longest screen used 130 of the 182 characters allowed.</w:t>
      </w:r>
    </w:p>
    <w:p>
      <w:pPr>
        <w:pStyle w:val="Heading2"/>
        <w:keepNext/>
        <w:spacing w:before="240" w:after="100"/>
      </w:pPr>
      <w:r>
        <w:rPr>
          <w:rFonts w:ascii="Arial" w:hAnsi="Arial" w:cs="Arial" w:eastAsia="Arial"/>
          <w:b/>
          <w:i w:val="0"/>
          <w:color w:val="0B3C7A"/>
          <w:sz w:val="24"/>
        </w:rPr>
        <w:t>3.3  The booking saga</w:t>
      </w:r>
    </w:p>
    <w:p>
      <w:pPr>
        <w:spacing w:before="0" w:after="120" w:line="276" w:lineRule="auto"/>
      </w:pPr>
      <w:r>
        <w:rPr>
          <w:rFonts w:ascii="Arial" w:hAnsi="Arial" w:cs="Arial" w:eastAsia="Arial"/>
          <w:b w:val="0"/>
          <w:i w:val="0"/>
          <w:sz w:val="20"/>
        </w:rPr>
        <w:t>Figure 7 shows the states of a consultation; red paths are compensations. How each failure is caught:</w:t>
      </w:r>
    </w:p>
    <w:tbl>
      <w:tblPr>
        <w:tblW w:type="auto" w:w="0"/>
        <w:tblLayout w:type="fixed"/>
        <w:tblLook w:firstColumn="1" w:firstRow="1" w:lastColumn="0" w:lastRow="0" w:noHBand="0" w:noVBand="1" w:val="04A0"/>
        <w:tblW w:w="9639" w:type="dxa"/>
        <w:tblLayout w:type="fixed"/>
      </w:tblPr>
      <w:tblGrid>
        <w:gridCol w:w="2835"/>
        <w:gridCol w:w="3118"/>
        <w:gridCol w:w="3685"/>
      </w:tblGrid>
      <w:tr>
        <w:trPr>
          <w:cantSplit/>
          <w:tblHeader/>
        </w:trPr>
        <w:tc>
          <w:tcPr>
            <w:tcW w:type="dxa" w:w="28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Failure</w:t>
            </w:r>
          </w:p>
        </w:tc>
        <w:tc>
          <w:tcPr>
            <w:tcW w:type="dxa" w:w="311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Detected by</w:t>
            </w:r>
          </w:p>
        </w:tc>
        <w:tc>
          <w:tcPr>
            <w:tcW w:type="dxa" w:w="368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What happens</w:t>
            </w:r>
          </w:p>
        </w:tc>
      </w:tr>
      <w:tr>
        <w:trPr>
          <w:cantSplit/>
        </w:trPr>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Payment never completes</w:t>
            </w:r>
          </w:p>
        </w:tc>
        <w:tc>
          <w:tcPr>
            <w:tcW w:type="dxa" w:w="311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10-minute timer</w:t>
            </w:r>
          </w:p>
        </w:tc>
        <w:tc>
          <w:tcPr>
            <w:tcW w:type="dxa" w:w="368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EXPIRED, slot released, patient told</w:t>
            </w:r>
          </w:p>
        </w:tc>
      </w:tr>
      <w:tr>
        <w:trPr>
          <w:cantSplit/>
        </w:trPr>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Webhook delivered twice</w:t>
            </w:r>
          </w:p>
        </w:tc>
        <w:tc>
          <w:tcPr>
            <w:tcW w:type="dxa" w:w="311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Event id already stored</w:t>
            </w:r>
          </w:p>
        </w:tc>
        <w:tc>
          <w:tcPr>
            <w:tcW w:type="dxa" w:w="368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Acknowledged and ignored</w:t>
            </w:r>
          </w:p>
        </w:tc>
      </w:tr>
      <w:tr>
        <w:trPr>
          <w:cantSplit/>
        </w:trPr>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Webhook lost</w:t>
            </w:r>
          </w:p>
        </w:tc>
        <w:tc>
          <w:tcPr>
            <w:tcW w:type="dxa" w:w="311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Status query after the timer; daily reconciliation</w:t>
            </w:r>
          </w:p>
        </w:tc>
        <w:tc>
          <w:tcPr>
            <w:tcW w:type="dxa" w:w="368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Corrected to PAID or EXPIRED</w:t>
            </w:r>
          </w:p>
        </w:tc>
      </w:tr>
      <w:tr>
        <w:trPr>
          <w:cantSplit/>
        </w:trPr>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Paid, but no clinician within the SLA</w:t>
            </w:r>
          </w:p>
        </w:tc>
        <w:tc>
          <w:tcPr>
            <w:tcW w:type="dxa" w:w="311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Queue timer</w:t>
            </w:r>
          </w:p>
        </w:tc>
        <w:tc>
          <w:tcPr>
            <w:tcW w:type="dxa" w:w="368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REFUND_PENDING, refund with an idempotency key</w:t>
            </w:r>
          </w:p>
        </w:tc>
      </w:tr>
      <w:tr>
        <w:trPr>
          <w:cantSplit/>
        </w:trPr>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IremboPay down at creation</w:t>
            </w:r>
          </w:p>
        </w:tc>
        <w:tc>
          <w:tcPr>
            <w:tcW w:type="dxa" w:w="311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Circuit breaker</w:t>
            </w:r>
          </w:p>
        </w:tc>
        <w:tc>
          <w:tcPr>
            <w:tcW w:type="dxa" w:w="368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Clear retry message; rules advice still shown</w:t>
            </w:r>
          </w:p>
        </w:tc>
      </w:tr>
      <w:tr>
        <w:trPr>
          <w:cantSplit/>
        </w:trPr>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Crash between PAID and the event</w:t>
            </w:r>
          </w:p>
        </w:tc>
        <w:tc>
          <w:tcPr>
            <w:tcW w:type="dxa" w:w="311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Outbox row not marked published</w:t>
            </w:r>
          </w:p>
        </w:tc>
        <w:tc>
          <w:tcPr>
            <w:tcW w:type="dxa" w:w="368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Relay publishes on restart; consumers are idempotent</w:t>
            </w:r>
          </w:p>
        </w:tc>
      </w:tr>
    </w:tbl>
    <w:p>
      <w:pPr>
        <w:spacing w:before="0" w:after="80"/>
      </w:pPr>
    </w:p>
    <w:p>
      <w:pPr>
        <w:pStyle w:val="Heading2"/>
        <w:keepNext/>
        <w:spacing w:before="240" w:after="100"/>
      </w:pPr>
      <w:r>
        <w:rPr>
          <w:rFonts w:ascii="Arial" w:hAnsi="Arial" w:cs="Arial" w:eastAsia="Arial"/>
          <w:b/>
          <w:i w:val="0"/>
          <w:color w:val="0B3C7A"/>
          <w:sz w:val="24"/>
        </w:rPr>
        <w:t>3.4  Decision: microservices or a modular monolith</w:t>
      </w:r>
    </w:p>
    <w:p>
      <w:pPr>
        <w:spacing w:before="0" w:after="120" w:line="276" w:lineRule="auto"/>
      </w:pPr>
      <w:r>
        <w:rPr>
          <w:rFonts w:ascii="Arial" w:hAnsi="Arial" w:cs="Arial" w:eastAsia="Arial"/>
          <w:b w:val="0"/>
          <w:i w:val="0"/>
          <w:sz w:val="20"/>
        </w:rPr>
        <w:t>On-premise there is no managed Kubernetes, database, message service or load balancer. Each deployable brings its own pipeline, dashboards, alerts, patching, backups and on-call duty, and the operations team carries all of it. That cost decided it for me.</w:t>
      </w:r>
    </w:p>
    <w:tbl>
      <w:tblPr>
        <w:tblW w:type="auto" w:w="0"/>
        <w:tblLayout w:type="fixed"/>
        <w:tblLook w:firstColumn="1" w:firstRow="1" w:lastColumn="0" w:lastRow="0" w:noHBand="0" w:noVBand="1" w:val="04A0"/>
        <w:tblW w:w="9639" w:type="dxa"/>
        <w:tblLayout w:type="fixed"/>
      </w:tblPr>
      <w:tblGrid>
        <w:gridCol w:w="2494"/>
        <w:gridCol w:w="2268"/>
        <w:gridCol w:w="1701"/>
        <w:gridCol w:w="3175"/>
      </w:tblGrid>
      <w:tr>
        <w:trPr>
          <w:cantSplit/>
          <w:tblHeader/>
        </w:trPr>
        <w:tc>
          <w:tcPr>
            <w:tcW w:type="dxa" w:w="249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r>
          </w:p>
        </w:tc>
        <w:tc>
          <w:tcPr>
            <w:tcW w:type="dxa" w:w="226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Full microservices (about 12)</w:t>
            </w:r>
          </w:p>
        </w:tc>
        <w:tc>
          <w:tcPr>
            <w:tcW w:type="dxa" w:w="1701"/>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Single monolith</w:t>
            </w:r>
          </w:p>
        </w:tc>
        <w:tc>
          <w:tcPr>
            <w:tcW w:type="dxa" w:w="317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Chosen: monolith + 5 services</w:t>
            </w:r>
          </w:p>
        </w:tc>
      </w:tr>
      <w:tr>
        <w:trPr>
          <w:cantSplit/>
        </w:trPr>
        <w:tc>
          <w:tcPr>
            <w:tcW w:type="dxa" w:w="249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Deployables to run and patch</w:t>
            </w:r>
          </w:p>
        </w:tc>
        <w:tc>
          <w:tcPr>
            <w:tcW w:type="dxa" w:w="226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About 12, plus data tier</w:t>
            </w:r>
          </w:p>
        </w:tc>
        <w:tc>
          <w:tcPr>
            <w:tcW w:type="dxa" w:w="170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1</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About 6</w:t>
            </w:r>
          </w:p>
        </w:tc>
      </w:tr>
      <w:tr>
        <w:trPr>
          <w:cantSplit/>
        </w:trPr>
        <w:tc>
          <w:tcPr>
            <w:tcW w:type="dxa" w:w="249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Databases to operate</w:t>
            </w:r>
          </w:p>
        </w:tc>
        <w:tc>
          <w:tcPr>
            <w:tcW w:type="dxa" w:w="226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About 12</w:t>
            </w:r>
          </w:p>
        </w:tc>
        <w:tc>
          <w:tcPr>
            <w:tcW w:type="dxa" w:w="170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One HA cluster</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One HA cluster, a schema per module</w:t>
            </w:r>
          </w:p>
        </w:tc>
      </w:tr>
      <w:tr>
        <w:trPr>
          <w:cantSplit/>
        </w:trPr>
        <w:tc>
          <w:tcPr>
            <w:tcW w:type="dxa" w:w="249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Consistency for booking and payment</w:t>
            </w:r>
          </w:p>
        </w:tc>
        <w:tc>
          <w:tcPr>
            <w:tcW w:type="dxa" w:w="226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Distributed sagas everywhere</w:t>
            </w:r>
          </w:p>
        </w:tc>
        <w:tc>
          <w:tcPr>
            <w:tcW w:type="dxa" w:w="170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Local transactions</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Local transactions; a saga only for the external payment</w:t>
            </w:r>
          </w:p>
        </w:tc>
      </w:tr>
      <w:tr>
        <w:trPr>
          <w:cantSplit/>
        </w:trPr>
        <w:tc>
          <w:tcPr>
            <w:tcW w:type="dxa" w:w="249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Independent scaling</w:t>
            </w:r>
          </w:p>
        </w:tc>
        <w:tc>
          <w:tcPr>
            <w:tcW w:type="dxa" w:w="226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Excellent</w:t>
            </w:r>
          </w:p>
        </w:tc>
        <w:tc>
          <w:tcPr>
            <w:tcW w:type="dxa" w:w="170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None</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Where it matters: edge, USSD, triage</w:t>
            </w:r>
          </w:p>
        </w:tc>
      </w:tr>
      <w:tr>
        <w:trPr>
          <w:cantSplit/>
        </w:trPr>
        <w:tc>
          <w:tcPr>
            <w:tcW w:type="dxa" w:w="249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Operations skills needed</w:t>
            </w:r>
          </w:p>
        </w:tc>
        <w:tc>
          <w:tcPr>
            <w:tcW w:type="dxa" w:w="226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High</w:t>
            </w:r>
          </w:p>
        </w:tc>
        <w:tc>
          <w:tcPr>
            <w:tcW w:type="dxa" w:w="170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Low</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Moderate</w:t>
            </w:r>
          </w:p>
        </w:tc>
      </w:tr>
      <w:tr>
        <w:trPr>
          <w:cantSplit/>
        </w:trPr>
        <w:tc>
          <w:tcPr>
            <w:tcW w:type="dxa" w:w="249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Changing the decision later</w:t>
            </w:r>
          </w:p>
        </w:tc>
        <w:tc>
          <w:tcPr>
            <w:tcW w:type="dxa" w:w="226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Hard to merge back</w:t>
            </w:r>
          </w:p>
        </w:tc>
        <w:tc>
          <w:tcPr>
            <w:tcW w:type="dxa" w:w="170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Seams may not exist</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Easy: seams enforced from day one</w:t>
            </w:r>
          </w:p>
        </w:tc>
      </w:tr>
    </w:tbl>
    <w:p>
      <w:pPr>
        <w:spacing w:before="0" w:after="80"/>
      </w:pPr>
    </w:p>
    <w:p>
      <w:pPr>
        <w:spacing w:before="0" w:after="120" w:line="276" w:lineRule="auto"/>
      </w:pPr>
      <w:r>
        <w:rPr>
          <w:rFonts w:ascii="Arial" w:hAnsi="Arial" w:cs="Arial" w:eastAsia="Arial"/>
          <w:b w:val="0"/>
          <w:i w:val="0"/>
          <w:sz w:val="20"/>
        </w:rPr>
        <w:t>The figures are planning estimates. The seams are real: each module owns its tables with no cross-module joins, events cross modules through the outbox exactly as they would cross a network, module dependencies are checked in the build, and every external system sits behind a port (PaymentPort, IdentityPort, EmrPort). A module becomes its own service only with evidence over a quarter: it needs more than three times the resources of the rest, it needs its own security boundary, its release pace blocks others, or a stable team wants to own it. Notifications, payments and the patient index are the likely first candidates.</w:t>
      </w:r>
    </w:p>
    <w:p>
      <w:pPr>
        <w:sectPr>
          <w:footerReference w:type="default" r:id="rId25"/>
          <w:pgSz w:w="11906" w:h="16838" w:orient="portrait"/>
          <w:pgMar w:top="1000" w:right="1134" w:bottom="1000" w:left="1134" w:header="708" w:footer="500" w:gutter="0"/>
          <w:pgNumType/>
          <w:docGrid w:linePitch="360"/>
        </w:sectPr>
      </w:pPr>
    </w:p>
    <w:p>
      <w:pPr>
        <w:keepNext/>
        <w:spacing w:before="40" w:after="0"/>
        <w:jc w:val="center"/>
      </w:pPr>
      <w:r>
        <w:drawing>
          <wp:inline xmlns:a="http://schemas.openxmlformats.org/drawingml/2006/main" xmlns:pic="http://schemas.openxmlformats.org/drawingml/2006/picture">
            <wp:extent cx="9216000" cy="5302044"/>
            <wp:docPr id="1" name="Picture 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9216000" cy="5302044"/>
                    </a:xfrm>
                    <a:prstGeom prst="rect"/>
                  </pic:spPr>
                </pic:pic>
              </a:graphicData>
            </a:graphic>
          </wp:inline>
        </w:drawing>
      </w:r>
    </w:p>
    <w:p>
      <w:pPr>
        <w:spacing w:before="80" w:after="200"/>
        <w:jc w:val="center"/>
      </w:pPr>
      <w:r>
        <w:rPr>
          <w:rFonts w:ascii="Arial" w:hAnsi="Arial" w:cs="Arial" w:eastAsia="Arial"/>
          <w:b w:val="0"/>
          <w:i/>
          <w:color w:val="4A5568"/>
          <w:sz w:val="18"/>
        </w:rPr>
        <w:t>Figure 1. System context. Orange boxes are IremboHub services that TeleClinic reuses; grey boxes are external systems.</w:t>
      </w:r>
    </w:p>
    <w:p>
      <w:pPr>
        <w:spacing w:before="0" w:after="0"/>
      </w:pPr>
      <w:r>
        <w:br w:type="page"/>
      </w:r>
    </w:p>
    <w:p>
      <w:pPr>
        <w:keepNext/>
        <w:spacing w:before="40" w:after="0"/>
        <w:jc w:val="center"/>
      </w:pPr>
      <w:r>
        <w:drawing>
          <wp:inline xmlns:a="http://schemas.openxmlformats.org/drawingml/2006/main" xmlns:pic="http://schemas.openxmlformats.org/drawingml/2006/picture">
            <wp:extent cx="9140466" cy="5544000"/>
            <wp:docPr id="2" name="Picture 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9140466" cy="5544000"/>
                    </a:xfrm>
                    <a:prstGeom prst="rect"/>
                  </pic:spPr>
                </pic:pic>
              </a:graphicData>
            </a:graphic>
          </wp:inline>
        </w:drawing>
      </w:r>
    </w:p>
    <w:p>
      <w:pPr>
        <w:spacing w:before="80" w:after="200"/>
        <w:jc w:val="center"/>
      </w:pPr>
      <w:r>
        <w:rPr>
          <w:rFonts w:ascii="Arial" w:hAnsi="Arial" w:cs="Arial" w:eastAsia="Arial"/>
          <w:b w:val="0"/>
          <w:i/>
          <w:color w:val="4A5568"/>
          <w:sz w:val="18"/>
        </w:rPr>
        <w:t>Figure 2. Containers of the on-premise platform.</w:t>
      </w:r>
    </w:p>
    <w:p>
      <w:pPr>
        <w:spacing w:before="0" w:after="0"/>
      </w:pPr>
      <w:r>
        <w:br w:type="page"/>
      </w:r>
    </w:p>
    <w:p>
      <w:pPr>
        <w:keepNext/>
        <w:spacing w:before="40" w:after="0"/>
        <w:jc w:val="center"/>
      </w:pPr>
      <w:r>
        <w:drawing>
          <wp:inline xmlns:a="http://schemas.openxmlformats.org/drawingml/2006/main" xmlns:pic="http://schemas.openxmlformats.org/drawingml/2006/picture">
            <wp:extent cx="7403425" cy="5544000"/>
            <wp:docPr id="3" name="Picture 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403425" cy="5544000"/>
                    </a:xfrm>
                    <a:prstGeom prst="rect"/>
                  </pic:spPr>
                </pic:pic>
              </a:graphicData>
            </a:graphic>
          </wp:inline>
        </w:drawing>
      </w:r>
    </w:p>
    <w:p>
      <w:pPr>
        <w:spacing w:before="80" w:after="200"/>
        <w:jc w:val="center"/>
      </w:pPr>
      <w:r>
        <w:rPr>
          <w:rFonts w:ascii="Arial" w:hAnsi="Arial" w:cs="Arial" w:eastAsia="Arial"/>
          <w:b w:val="0"/>
          <w:i/>
          <w:color w:val="4A5568"/>
          <w:sz w:val="18"/>
        </w:rPr>
        <w:t>Figure 3. Phase 1: sign-in with IremboAccount (authorization code with PKCE) and patient resolution.</w:t>
      </w:r>
    </w:p>
    <w:p>
      <w:pPr>
        <w:spacing w:before="0" w:after="0"/>
      </w:pPr>
      <w:r>
        <w:br w:type="page"/>
      </w:r>
    </w:p>
    <w:p>
      <w:pPr>
        <w:keepNext/>
        <w:spacing w:before="40" w:after="0"/>
        <w:jc w:val="center"/>
      </w:pPr>
      <w:r>
        <w:drawing>
          <wp:inline xmlns:a="http://schemas.openxmlformats.org/drawingml/2006/main" xmlns:pic="http://schemas.openxmlformats.org/drawingml/2006/picture">
            <wp:extent cx="7370944" cy="5543999"/>
            <wp:docPr id="4" name="Picture 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70944" cy="5543999"/>
                    </a:xfrm>
                    <a:prstGeom prst="rect"/>
                  </pic:spPr>
                </pic:pic>
              </a:graphicData>
            </a:graphic>
          </wp:inline>
        </w:drawing>
      </w:r>
    </w:p>
    <w:p>
      <w:pPr>
        <w:spacing w:before="80" w:after="200"/>
        <w:jc w:val="center"/>
      </w:pPr>
      <w:r>
        <w:rPr>
          <w:rFonts w:ascii="Arial" w:hAnsi="Arial" w:cs="Arial" w:eastAsia="Arial"/>
          <w:b w:val="0"/>
          <w:i/>
          <w:color w:val="4A5568"/>
          <w:sz w:val="18"/>
        </w:rPr>
        <w:t>Figure 4. Phase 2: consent, synchronous rules triage, coverage check and payment request.</w:t>
      </w:r>
    </w:p>
    <w:p>
      <w:pPr>
        <w:spacing w:before="0" w:after="0"/>
      </w:pPr>
      <w:r>
        <w:br w:type="page"/>
      </w:r>
    </w:p>
    <w:p>
      <w:pPr>
        <w:keepNext/>
        <w:spacing w:before="40" w:after="0"/>
        <w:jc w:val="center"/>
      </w:pPr>
      <w:r>
        <w:drawing>
          <wp:inline xmlns:a="http://schemas.openxmlformats.org/drawingml/2006/main" xmlns:pic="http://schemas.openxmlformats.org/drawingml/2006/picture">
            <wp:extent cx="7918005" cy="5544000"/>
            <wp:docPr id="5" name="Picture 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918005" cy="5544000"/>
                    </a:xfrm>
                    <a:prstGeom prst="rect"/>
                  </pic:spPr>
                </pic:pic>
              </a:graphicData>
            </a:graphic>
          </wp:inline>
        </w:drawing>
      </w:r>
    </w:p>
    <w:p>
      <w:pPr>
        <w:spacing w:before="80" w:after="200"/>
        <w:jc w:val="center"/>
      </w:pPr>
      <w:r>
        <w:rPr>
          <w:rFonts w:ascii="Arial" w:hAnsi="Arial" w:cs="Arial" w:eastAsia="Arial"/>
          <w:b w:val="0"/>
          <w:i/>
          <w:color w:val="4A5568"/>
          <w:sz w:val="18"/>
        </w:rPr>
        <w:t>Figure 5. Phase 3: webhook verification, server-side confirmation, PAID and the clinician queue.</w:t>
      </w:r>
    </w:p>
    <w:p>
      <w:pPr>
        <w:spacing w:before="0" w:after="0"/>
      </w:pPr>
      <w:r>
        <w:br w:type="page"/>
      </w:r>
    </w:p>
    <w:p>
      <w:pPr>
        <w:keepNext/>
        <w:spacing w:before="40" w:after="0"/>
        <w:jc w:val="center"/>
      </w:pPr>
      <w:r>
        <w:drawing>
          <wp:inline xmlns:a="http://schemas.openxmlformats.org/drawingml/2006/main" xmlns:pic="http://schemas.openxmlformats.org/drawingml/2006/picture">
            <wp:extent cx="8640317" cy="5543999"/>
            <wp:docPr id="6" name="Picture 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8640317" cy="5543999"/>
                    </a:xfrm>
                    <a:prstGeom prst="rect"/>
                  </pic:spPr>
                </pic:pic>
              </a:graphicData>
            </a:graphic>
          </wp:inline>
        </w:drawing>
      </w:r>
    </w:p>
    <w:p>
      <w:pPr>
        <w:spacing w:before="80" w:after="200"/>
        <w:jc w:val="center"/>
      </w:pPr>
      <w:r>
        <w:rPr>
          <w:rFonts w:ascii="Arial" w:hAnsi="Arial" w:cs="Arial" w:eastAsia="Arial"/>
          <w:b w:val="0"/>
          <w:i/>
          <w:color w:val="4A5568"/>
          <w:sz w:val="18"/>
        </w:rPr>
        <w:t>Figure 6. The USSD variant: same core and saga; only the edge and the payment prompt differ.</w:t>
      </w:r>
    </w:p>
    <w:p>
      <w:pPr>
        <w:spacing w:before="0" w:after="0"/>
      </w:pPr>
      <w:r>
        <w:br w:type="page"/>
      </w:r>
    </w:p>
    <w:p>
      <w:pPr>
        <w:keepNext/>
        <w:spacing w:before="40" w:after="0"/>
        <w:jc w:val="center"/>
      </w:pPr>
      <w:r>
        <w:drawing>
          <wp:inline xmlns:a="http://schemas.openxmlformats.org/drawingml/2006/main" xmlns:pic="http://schemas.openxmlformats.org/drawingml/2006/picture">
            <wp:extent cx="9216000" cy="5187697"/>
            <wp:docPr id="7" name="Picture 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9216000" cy="5187697"/>
                    </a:xfrm>
                    <a:prstGeom prst="rect"/>
                  </pic:spPr>
                </pic:pic>
              </a:graphicData>
            </a:graphic>
          </wp:inline>
        </w:drawing>
      </w:r>
    </w:p>
    <w:p>
      <w:pPr>
        <w:spacing w:before="80" w:after="200"/>
        <w:jc w:val="center"/>
      </w:pPr>
      <w:r>
        <w:rPr>
          <w:rFonts w:ascii="Arial" w:hAnsi="Arial" w:cs="Arial" w:eastAsia="Arial"/>
          <w:b w:val="0"/>
          <w:i/>
          <w:color w:val="4A5568"/>
          <w:sz w:val="18"/>
        </w:rPr>
        <w:t>Figure 7. Consultation saga states. Red paths are compensations or failures.</w:t>
      </w:r>
    </w:p>
    <w:p>
      <w:pPr>
        <w:sectPr>
          <w:pgSz w:w="16838" w:h="11906" w:orient="landscape"/>
          <w:pgMar w:top="1000" w:right="1134" w:bottom="1000" w:left="1134" w:header="708" w:footer="500" w:gutter="0"/>
          <w:pgNumType/>
          <w:docGrid w:linePitch="360"/>
        </w:sectPr>
      </w:pPr>
    </w:p>
    <w:p>
      <w:pPr>
        <w:pStyle w:val="Heading1"/>
        <w:keepNext/>
        <w:spacing w:before="320" w:after="160"/>
        <w:pBdr>
          <w:bottom w:val="single" w:sz="8" w:space="4" w:color="0B5CC0"/>
        </w:pBdr>
      </w:pPr>
      <w:r>
        <w:rPr>
          <w:rFonts w:ascii="Arial" w:hAnsi="Arial" w:cs="Arial" w:eastAsia="Arial"/>
          <w:b/>
          <w:i w:val="0"/>
          <w:color w:val="0B3C7A"/>
          <w:sz w:val="32"/>
        </w:rPr>
        <w:t>4  Task 2: Interoperability and the data engine</w:t>
      </w:r>
    </w:p>
    <w:p>
      <w:pPr>
        <w:pStyle w:val="Heading2"/>
        <w:keepNext/>
        <w:spacing w:before="240" w:after="100"/>
      </w:pPr>
      <w:r>
        <w:rPr>
          <w:rFonts w:ascii="Arial" w:hAnsi="Arial" w:cs="Arial" w:eastAsia="Arial"/>
          <w:b/>
          <w:i w:val="0"/>
          <w:color w:val="0B3C7A"/>
          <w:sz w:val="24"/>
        </w:rPr>
        <w:t>4.1  FHIR strategy</w:t>
      </w:r>
    </w:p>
    <w:p>
      <w:pPr>
        <w:spacing w:before="0" w:after="120" w:line="276" w:lineRule="auto"/>
      </w:pPr>
      <w:r>
        <w:rPr>
          <w:rFonts w:ascii="Arial" w:hAnsi="Arial" w:cs="Arial" w:eastAsia="Arial"/>
          <w:b w:val="0"/>
          <w:i w:val="0"/>
          <w:sz w:val="20"/>
        </w:rPr>
        <w:t>The core keeps a relational model, which is quick to query, index and audit, and a FHIR facade maps it to FHIR R4 (4.0.1) at the boundary. FHIR concerns stay out of the domain, and a profile or version change stays in one module. I considered a FHIR-native store for the core and decided against it: most of the core's work is operational queries, and mapping at the edge is cheaper than living with FHIR inside.</w:t>
      </w:r>
    </w:p>
    <w:tbl>
      <w:tblPr>
        <w:tblW w:type="auto" w:w="0"/>
        <w:tblLayout w:type="fixed"/>
        <w:tblLook w:firstColumn="1" w:firstRow="1" w:lastColumn="0" w:lastRow="0" w:noHBand="0" w:noVBand="1" w:val="04A0"/>
        <w:tblW w:w="9639" w:type="dxa"/>
        <w:tblLayout w:type="fixed"/>
      </w:tblPr>
      <w:tblGrid>
        <w:gridCol w:w="1474"/>
        <w:gridCol w:w="1587"/>
        <w:gridCol w:w="4762"/>
        <w:gridCol w:w="1814"/>
      </w:tblGrid>
      <w:tr>
        <w:trPr>
          <w:cantSplit/>
          <w:tblHeader/>
        </w:trPr>
        <w:tc>
          <w:tcPr>
            <w:tcW w:type="dxa" w:w="147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Internal entity</w:t>
            </w:r>
          </w:p>
        </w:tc>
        <w:tc>
          <w:tcPr>
            <w:tcW w:type="dxa" w:w="1587"/>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FHIR R4</w:t>
            </w:r>
          </w:p>
        </w:tc>
        <w:tc>
          <w:tcPr>
            <w:tcW w:type="dxa" w:w="4762"/>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Key mapping decisions</w:t>
            </w:r>
          </w:p>
        </w:tc>
        <w:tc>
          <w:tcPr>
            <w:tcW w:type="dxa" w:w="181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Terminology</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Patient</w:t>
            </w:r>
          </w:p>
        </w:tc>
        <w:tc>
          <w:tcPr>
            <w:tcW w:type="dxa" w:w="158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Patient</w:t>
            </w:r>
          </w:p>
        </w:tc>
        <w:tc>
          <w:tcPr>
            <w:tcW w:type="dxa" w:w="476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Identifiers sliced by system: IremboAccount subject, national ID, UPI, eBuzima and facility numbers. Phone normalised to +250.</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System URIs agreed with registry owners</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Guardian</w:t>
            </w:r>
          </w:p>
        </w:tc>
        <w:tc>
          <w:tcPr>
            <w:tcW w:type="dxa" w:w="158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RelatedPerson</w:t>
            </w:r>
          </w:p>
        </w:tc>
        <w:tc>
          <w:tcPr>
            <w:tcW w:type="dxa" w:w="476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Linked to the child and to the guardian's IremboAccount subject; performer of the child's Consent.</w:t>
            </w:r>
          </w:p>
        </w:tc>
        <w:tc>
          <w:tcPr>
            <w:tcW w:type="dxa" w:w="181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HL7 v3 RoleCode</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Consultation</w:t>
            </w:r>
          </w:p>
        </w:tc>
        <w:tc>
          <w:tcPr>
            <w:tcW w:type="dxa" w:w="158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Encounter (class VR)</w:t>
            </w:r>
          </w:p>
        </w:tc>
        <w:tc>
          <w:tcPr>
            <w:tcW w:type="dxa" w:w="476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Channel (web, USSD, voice) and triage urgency as extensions.</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ICD-10 for reasons</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Symptoms, vitals</w:t>
            </w:r>
          </w:p>
        </w:tc>
        <w:tc>
          <w:tcPr>
            <w:tcW w:type="dxa" w:w="158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Observation</w:t>
            </w:r>
          </w:p>
        </w:tc>
        <w:tc>
          <w:tcPr>
            <w:tcW w:type="dxa" w:w="476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One per coded answer; vitals use the vital-signs profile with UCUM units. Free text stays a note and never goes to the model.</w:t>
            </w:r>
          </w:p>
        </w:tc>
        <w:tc>
          <w:tcPr>
            <w:tcW w:type="dxa" w:w="181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LOINC</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Diagnosis</w:t>
            </w:r>
          </w:p>
        </w:tc>
        <w:tc>
          <w:tcPr>
            <w:tcW w:type="dxa" w:w="158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Condition</w:t>
            </w:r>
          </w:p>
        </w:tc>
        <w:tc>
          <w:tcPr>
            <w:tcW w:type="dxa" w:w="476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Clinical and verification status, encounter, recorder.</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ICD-10, required</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Prescription</w:t>
            </w:r>
          </w:p>
        </w:tc>
        <w:tc>
          <w:tcPr>
            <w:tcW w:type="dxa" w:w="158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MedicationRequest</w:t>
            </w:r>
          </w:p>
        </w:tc>
        <w:tc>
          <w:tcPr>
            <w:tcW w:type="dxa" w:w="476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National formulary with ATC as a second coding.</w:t>
            </w:r>
          </w:p>
        </w:tc>
        <w:tc>
          <w:tcPr>
            <w:tcW w:type="dxa" w:w="181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Formulary, ATC</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Consent</w:t>
            </w:r>
          </w:p>
        </w:tc>
        <w:tc>
          <w:tcPr>
            <w:tcW w:type="dxa" w:w="158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Consent</w:t>
            </w:r>
          </w:p>
        </w:tc>
        <w:tc>
          <w:tcPr>
            <w:tcW w:type="dxa" w:w="476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Provisions by purpose and data class, checked by the policy engine before any release.</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Consent policy codes</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AI suggestion</w:t>
            </w:r>
          </w:p>
        </w:tc>
        <w:tc>
          <w:tcPr>
            <w:tcW w:type="dxa" w:w="158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RiskAssessment, Provenance</w:t>
            </w:r>
          </w:p>
        </w:tc>
        <w:tc>
          <w:tcPr>
            <w:tcW w:type="dxa" w:w="476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The model version is a device agent; the clinician is the verifier.</w:t>
            </w:r>
          </w:p>
        </w:tc>
        <w:tc>
          <w:tcPr>
            <w:tcW w:type="dxa" w:w="181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Urgency value set</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Audit trail</w:t>
            </w:r>
          </w:p>
        </w:tc>
        <w:tc>
          <w:tcPr>
            <w:tcW w:type="dxa" w:w="158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AuditEvent</w:t>
            </w:r>
          </w:p>
        </w:tc>
        <w:tc>
          <w:tcPr>
            <w:tcW w:type="dxa" w:w="476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Who, what, which patient, purpose of use, outcome (IHE BALP pattern).</w:t>
            </w:r>
          </w:p>
        </w:tc>
        <w:tc>
          <w:tcPr>
            <w:tcW w:type="dxa" w:w="181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FHIR audit codes</w:t>
            </w:r>
          </w:p>
        </w:tc>
      </w:tr>
    </w:tbl>
    <w:p>
      <w:pPr>
        <w:spacing w:before="0" w:after="80"/>
      </w:pPr>
    </w:p>
    <w:p>
      <w:pPr>
        <w:spacing w:before="0" w:after="120" w:line="276" w:lineRule="auto"/>
      </w:pPr>
      <w:r>
        <w:rPr>
          <w:rFonts w:ascii="Arial" w:hAnsi="Arial" w:cs="Arial" w:eastAsia="Arial"/>
          <w:b w:val="0"/>
          <w:i w:val="0"/>
          <w:sz w:val="20"/>
        </w:rPr>
        <w:t>Profiles are layered: base R4, then the International Patient Summary for exchange, then TeleClinic profiles that tighten what Rwanda needs (required identifiers, ICD-10 required on Condition, LOINC on Observation). They are written in FSH, built with SUSHI, validated in CI, and enforced again at runtime; an invalid resource goes to review with its OperationOutcome. Payments stay in the finance domain and are linked to the Encounter by id.</w:t>
      </w:r>
    </w:p>
    <w:p>
      <w:pPr>
        <w:pStyle w:val="Heading2"/>
        <w:keepNext/>
        <w:spacing w:before="240" w:after="100"/>
      </w:pPr>
      <w:r>
        <w:rPr>
          <w:rFonts w:ascii="Arial" w:hAnsi="Arial" w:cs="Arial" w:eastAsia="Arial"/>
          <w:b/>
          <w:i w:val="0"/>
          <w:color w:val="0B3C7A"/>
          <w:sz w:val="24"/>
        </w:rPr>
        <w:t>4.2  Sync gateway: write-back without loops</w:t>
      </w:r>
    </w:p>
    <w:p>
      <w:pPr>
        <w:spacing w:before="0" w:after="120" w:line="276" w:lineRule="auto"/>
      </w:pPr>
      <w:r>
        <w:rPr>
          <w:rFonts w:ascii="Arial" w:hAnsi="Arial" w:cs="Arial" w:eastAsia="Arial"/>
          <w:b w:val="0"/>
          <w:i w:val="0"/>
          <w:sz w:val="20"/>
        </w:rPr>
        <w:t>Rwanda places EMRs by level of care, and the design follows that. Health centres use eBuzima, one central system run by the Ministry with a tenant per centre, now in about 70% of roughly 500 health centres. District, referral and teaching hospitals each run their own OpenMRS. So one eBuzima connection reaches most health centres, and the tenant is a field on each write. Each patient has a home facility; the facility registry gives its level, EMR and tenant, and the consultation note, prescription and referral go there. A referral adds the hospital's OpenMRS as a second target.</w:t>
      </w:r>
    </w:p>
    <w:p>
      <w:pPr>
        <w:spacing w:before="0" w:after="120" w:line="276" w:lineRule="auto"/>
      </w:pPr>
      <w:r>
        <w:rPr>
          <w:rFonts w:ascii="Arial" w:hAnsi="Arial" w:cs="Arial" w:eastAsia="Arial"/>
          <w:b w:val="0"/>
          <w:i w:val="0"/>
          <w:sz w:val="20"/>
        </w:rPr>
        <w:t>The danger in two-way sync is an echo: our write comes back as a change and bounces forever. Figure 8 shows the flow; these mechanisms stop it:</w:t>
      </w:r>
    </w:p>
    <w:tbl>
      <w:tblPr>
        <w:tblW w:type="auto" w:w="0"/>
        <w:tblLayout w:type="fixed"/>
        <w:tblLook w:firstColumn="1" w:firstRow="1" w:lastColumn="0" w:lastRow="0" w:noHBand="0" w:noVBand="1" w:val="04A0"/>
        <w:tblW w:w="9639" w:type="dxa"/>
        <w:tblLayout w:type="fixed"/>
      </w:tblPr>
      <w:tblGrid>
        <w:gridCol w:w="2041"/>
        <w:gridCol w:w="5329"/>
        <w:gridCol w:w="2268"/>
      </w:tblGrid>
      <w:tr>
        <w:trPr>
          <w:cantSplit/>
          <w:tblHeader/>
        </w:trPr>
        <w:tc>
          <w:tcPr>
            <w:tcW w:type="dxa" w:w="2041"/>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Mechanism</w:t>
            </w:r>
          </w:p>
        </w:tc>
        <w:tc>
          <w:tcPr>
            <w:tcW w:type="dxa" w:w="5329"/>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How it works</w:t>
            </w:r>
          </w:p>
        </w:tc>
        <w:tc>
          <w:tcPr>
            <w:tcW w:type="dxa" w:w="226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Prevents</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Origin tag</w:t>
            </w:r>
          </w:p>
        </w:tc>
        <w:tc>
          <w:tcPr>
            <w:tcW w:type="dxa" w:w="532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Every write carries an origin of teleclinic and uses a dedicated integration user.</w:t>
            </w:r>
          </w:p>
        </w:tc>
        <w:tc>
          <w:tcPr>
            <w:tcW w:type="dxa" w:w="226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Re-importing our own writes</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Content hash</w:t>
            </w:r>
          </w:p>
        </w:tc>
        <w:tc>
          <w:tcPr>
            <w:tcW w:type="dxa" w:w="532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The ledger keeps a hash of the last synced form of each record. An inbound change with the same hash is dropped.</w:t>
            </w:r>
          </w:p>
        </w:tc>
        <w:tc>
          <w:tcPr>
            <w:tcW w:type="dxa" w:w="226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Loops when an EMR rewrites metadata</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Version check</w:t>
            </w:r>
          </w:p>
        </w:tc>
        <w:tc>
          <w:tcPr>
            <w:tcW w:type="dxa" w:w="532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Updates use If-Match (OpenMRS) or the modified timestamp (Frappe). A mismatch goes to the conflict queue.</w:t>
            </w:r>
          </w:p>
        </w:tc>
        <w:tc>
          <w:tcPr>
            <w:tcW w:type="dxa" w:w="226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Lost updates</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Conditional create and idempotency key</w:t>
            </w:r>
          </w:p>
        </w:tc>
        <w:tc>
          <w:tcPr>
            <w:tcW w:type="dxa" w:w="532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Create if none exists on a business identifier; every run has a key from event id and target.</w:t>
            </w:r>
          </w:p>
        </w:tc>
        <w:tc>
          <w:tcPr>
            <w:tcW w:type="dxa" w:w="226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Duplicates after retries</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Order per patient</w:t>
            </w:r>
          </w:p>
        </w:tc>
        <w:tc>
          <w:tcPr>
            <w:tcW w:type="dxa" w:w="532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Each EMR's queue is processed oldest first, one run at a time.</w:t>
            </w:r>
          </w:p>
        </w:tc>
        <w:tc>
          <w:tcPr>
            <w:tcW w:type="dxa" w:w="226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Out-of-order updates</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Authority rules</w:t>
            </w:r>
          </w:p>
        </w:tc>
        <w:tc>
          <w:tcPr>
            <w:tcW w:type="dxa" w:w="532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Legal identity: the registry wins. Contact details: the facility EMR. Encounters: whoever wrote them. Allergies and problem lists: never overwritten, conflicts to a clinician.</w:t>
            </w:r>
          </w:p>
        </w:tc>
        <w:tc>
          <w:tcPr>
            <w:tcW w:type="dxa" w:w="226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Silent overwrites</w:t>
            </w:r>
          </w:p>
        </w:tc>
      </w:tr>
    </w:tbl>
    <w:p>
      <w:pPr>
        <w:spacing w:before="0" w:after="80"/>
      </w:pPr>
    </w:p>
    <w:p>
      <w:pPr>
        <w:spacing w:before="0" w:after="120" w:line="276" w:lineRule="auto"/>
      </w:pPr>
      <w:r>
        <w:rPr>
          <w:rFonts w:ascii="Arial" w:hAnsi="Arial" w:cs="Arial" w:eastAsia="Arial"/>
          <w:b w:val="0"/>
          <w:i w:val="0"/>
          <w:sz w:val="20"/>
        </w:rPr>
        <w:t>The queue lives in the core, one per EMR, written in the same transaction as the change, and OpenFn pulls it. I chose a pulled queue over a Kafka consumer because a consumer that cannot write turns an EMR outage into failed runs, while a queue keeps order, backs off and dead-letters after a limit. Nothing waits on the slowest EMR. eBuzima speaks Frappe REST, not FHIR, so its adaptor maps DocTypes (Patient, Patient Encounter, Vital Signs) to FHIR at the gateway; inbound, a document webhook wakes the workflow, which then reads everything changed since its cursor, so a lost webhook only delays a change.</w:t>
      </w:r>
    </w:p>
    <w:p>
      <w:pPr>
        <w:spacing w:before="0" w:after="120" w:line="276" w:lineRule="auto"/>
      </w:pPr>
      <w:r>
        <w:rPr>
          <w:rFonts w:ascii="Arial" w:hAnsi="Arial" w:cs="Arial" w:eastAsia="Arial"/>
          <w:b w:val="0"/>
          <w:i w:val="0"/>
          <w:sz w:val="20"/>
        </w:rPr>
        <w:t>Measured, with an eBuzima stand-in (ERPNext with the Healthcare app, two health centre tenants) and a district hospital's OpenMRS: decision to eBuzima p95 3.8 s, to OpenMRS p95 2.3 s; our own write came back and was dropped; a nurse's phone edit reached TeleClinic in 2 to 4 s, was applied once and was not sent back; with OpenMRS stopped, writes waited and arrived once each, in order. One limit found: OpenMRS's _lastUpdated misses a phone added where there was none, so production adds a periodic reconciliation by hash.</w:t>
      </w:r>
    </w:p>
    <w:p>
      <w:pPr>
        <w:pStyle w:val="Heading2"/>
        <w:keepNext/>
        <w:spacing w:before="240" w:after="100"/>
      </w:pPr>
      <w:r>
        <w:rPr>
          <w:rFonts w:ascii="Arial" w:hAnsi="Arial" w:cs="Arial" w:eastAsia="Arial"/>
          <w:b/>
          <w:i w:val="0"/>
          <w:color w:val="0B3C7A"/>
          <w:sz w:val="24"/>
        </w:rPr>
        <w:t>4.3  Patient identity and safe merging</w:t>
      </w:r>
    </w:p>
    <w:p>
      <w:pPr>
        <w:spacing w:before="0" w:after="120" w:line="276" w:lineRule="auto"/>
      </w:pPr>
      <w:r>
        <w:rPr>
          <w:rFonts w:ascii="Arial" w:hAnsi="Arial" w:cs="Arial" w:eastAsia="Arial"/>
          <w:b w:val="0"/>
          <w:i w:val="0"/>
          <w:sz w:val="20"/>
        </w:rPr>
        <w:t>The same person may appear in IremboAccount and in several EMRs with names in a different order, day and month swapped, a new phone or no national ID. Figure 9 shows the process. Candidates are found cheaply by blocking (exact national ID or UPI, phone with birth year, phonetic name with birth date); the national ID is verified and the client registry asked with $match first. Then a Fellegi-Sunter score with Kinyarwanda, French and English name variants sorts each pair: a high score with two strong identifiers links automatically, the middle band goes to a clerk, the rest stays separate. Two different national IDs block a match whatever else agrees, and twins need an extra identifier.</w:t>
      </w:r>
    </w:p>
    <w:p>
      <w:pPr>
        <w:spacing w:before="0" w:after="120" w:line="276" w:lineRule="auto"/>
      </w:pPr>
      <w:r>
        <w:rPr>
          <w:rFonts w:ascii="Arial" w:hAnsi="Arial" w:cs="Arial" w:eastAsia="Arial"/>
          <w:b w:val="0"/>
          <w:i w:val="0"/>
          <w:sz w:val="20"/>
        </w:rPr>
        <w:t>A match creates a Patient.link; the records themselves are never merged and clinical history stays where it was written. Unlinking is a normal, audited action. Example: OpenMRS has "Uwimana Marie", born 1990-03-04, no national ID; IremboAccount has "Marie Uwimana", born 1990-04-03, with one. That lands in review; once the clerk links them, the national ID is offered back to OpenMRS so the next visit matches on its own. In the reference implementation this exact pair landed in review, a pair with different national IDs was never offered, a pair sharing a UPI linked automatically, and the unlink removed the written-back ID again. Monthly, 1% of auto-links are audited, with a precision target above 99.9%.</w:t>
      </w:r>
    </w:p>
    <w:p>
      <w:pPr>
        <w:sectPr>
          <w:pgSz w:w="11906" w:h="16838"/>
          <w:pgMar w:top="1000" w:right="1134" w:bottom="1000" w:left="1134" w:header="708" w:footer="500" w:gutter="0"/>
          <w:pgNumType/>
          <w:docGrid w:linePitch="360"/>
        </w:sectPr>
      </w:pPr>
    </w:p>
    <w:p>
      <w:pPr>
        <w:keepNext/>
        <w:spacing w:before="40" w:after="0"/>
        <w:jc w:val="center"/>
      </w:pPr>
      <w:r>
        <w:drawing>
          <wp:inline xmlns:a="http://schemas.openxmlformats.org/drawingml/2006/main" xmlns:pic="http://schemas.openxmlformats.org/drawingml/2006/picture">
            <wp:extent cx="9216000" cy="3019864"/>
            <wp:docPr id="8" name="Picture 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9216000" cy="3019864"/>
                    </a:xfrm>
                    <a:prstGeom prst="rect"/>
                  </pic:spPr>
                </pic:pic>
              </a:graphicData>
            </a:graphic>
          </wp:inline>
        </w:drawing>
      </w:r>
    </w:p>
    <w:p>
      <w:pPr>
        <w:spacing w:before="80" w:after="200"/>
        <w:jc w:val="center"/>
      </w:pPr>
      <w:r>
        <w:rPr>
          <w:rFonts w:ascii="Arial" w:hAnsi="Arial" w:cs="Arial" w:eastAsia="Arial"/>
          <w:b w:val="0"/>
          <w:i/>
          <w:color w:val="4A5568"/>
          <w:sz w:val="18"/>
        </w:rPr>
        <w:t>Figure 8. Sync gateway. Writes go to the EMR of the patient's home facility through a per-EMR queue that OpenFn pulls; changes come back as FHIR, with echo suppression and a conflict queue.</w:t>
      </w:r>
    </w:p>
    <w:p>
      <w:pPr>
        <w:sectPr>
          <w:pgSz w:w="16838" w:h="11906" w:orient="landscape"/>
          <w:pgMar w:top="1000" w:right="1134" w:bottom="1000" w:left="1134" w:header="708" w:footer="500" w:gutter="0"/>
          <w:pgNumType/>
          <w:docGrid w:linePitch="360"/>
        </w:sectPr>
      </w:pPr>
    </w:p>
    <w:p>
      <w:pPr>
        <w:keepNext/>
        <w:spacing w:before="40" w:after="0"/>
        <w:jc w:val="center"/>
      </w:pPr>
      <w:r>
        <w:drawing>
          <wp:inline xmlns:a="http://schemas.openxmlformats.org/drawingml/2006/main" xmlns:pic="http://schemas.openxmlformats.org/drawingml/2006/picture">
            <wp:extent cx="4087870" cy="6839999"/>
            <wp:docPr id="9" name="Picture 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087870" cy="6839999"/>
                    </a:xfrm>
                    <a:prstGeom prst="rect"/>
                  </pic:spPr>
                </pic:pic>
              </a:graphicData>
            </a:graphic>
          </wp:inline>
        </w:drawing>
      </w:r>
    </w:p>
    <w:p>
      <w:pPr>
        <w:spacing w:before="80" w:after="200"/>
        <w:jc w:val="center"/>
      </w:pPr>
      <w:r>
        <w:rPr>
          <w:rFonts w:ascii="Arial" w:hAnsi="Arial" w:cs="Arial" w:eastAsia="Arial"/>
          <w:b w:val="0"/>
          <w:i/>
          <w:color w:val="4A5568"/>
          <w:sz w:val="18"/>
        </w:rPr>
        <w:t>Figure 9. Identity resolution: blocking, scoring, outcome bands and reversible links.</w:t>
      </w:r>
    </w:p>
    <w:p>
      <w:pPr>
        <w:pStyle w:val="Heading1"/>
        <w:keepNext/>
        <w:spacing w:before="320" w:after="160"/>
        <w:pBdr>
          <w:bottom w:val="single" w:sz="8" w:space="4" w:color="0B5CC0"/>
        </w:pBdr>
      </w:pPr>
      <w:r>
        <w:rPr>
          <w:rFonts w:ascii="Arial" w:hAnsi="Arial" w:cs="Arial" w:eastAsia="Arial"/>
          <w:b/>
          <w:i w:val="0"/>
          <w:color w:val="0B3C7A"/>
          <w:sz w:val="32"/>
        </w:rPr>
        <w:t>5  Task 3: Infrastructure, resilience and security</w:t>
      </w:r>
    </w:p>
    <w:p>
      <w:pPr>
        <w:pStyle w:val="Heading2"/>
        <w:keepNext/>
        <w:spacing w:before="240" w:after="100"/>
      </w:pPr>
      <w:r>
        <w:rPr>
          <w:rFonts w:ascii="Arial" w:hAnsi="Arial" w:cs="Arial" w:eastAsia="Arial"/>
          <w:b/>
          <w:i w:val="0"/>
          <w:color w:val="0B3C7A"/>
          <w:sz w:val="24"/>
        </w:rPr>
        <w:t>5.1  High availability for the database and the broker</w:t>
      </w:r>
    </w:p>
    <w:p>
      <w:pPr>
        <w:spacing w:before="0" w:after="120" w:line="276" w:lineRule="auto"/>
      </w:pPr>
      <w:r>
        <w:rPr>
          <w:rFonts w:ascii="Arial" w:hAnsi="Arial" w:cs="Arial" w:eastAsia="Arial"/>
          <w:b w:val="0"/>
          <w:i w:val="0"/>
          <w:sz w:val="20"/>
        </w:rPr>
        <w:t>Three nodes in separate fault domains each run a PostgreSQL member under Patroni, an etcd member and a Kafka broker (Figure 10); the third domain can be a small witness site. Patroni keeps one leader, one synchronous replica and one asynchronous replica; HAProxy sends writes to whichever node passes the primary check, and the old leader rejoins with pg_rewind. Kafka runs KRaft with replication factor 3, min.insync.replicas 2, acks=all, idempotent producers and no unclean leader election. Valkey (sessions) runs three nodes with Sentinel; MinIO and OpenSearch are distributed. Backups use pgBackRest with continuous WAL to MinIO and a second site, and a restore is tested every month.</w:t>
      </w:r>
    </w:p>
    <w:p>
      <w:pPr>
        <w:spacing w:before="0" w:after="120" w:line="276" w:lineRule="auto"/>
      </w:pPr>
      <w:r>
        <w:rPr>
          <w:rFonts w:ascii="Arial" w:hAnsi="Arial" w:cs="Arial" w:eastAsia="Arial"/>
          <w:b w:val="0"/>
          <w:i w:val="0"/>
          <w:sz w:val="20"/>
        </w:rPr>
        <w:t>One trade-off to agree with Irembo: if both replicas are lost, I keep the leader writable and page on-call, accepting a short single-copy window. A strict mode that stops writes instead is one setting away. Measured: with the leader killed mid-write, writes resumed after 16.8 to 21.3 s with no acknowledged write lost; with one Kafka broker down, 50 of 50 messages were written.</w:t>
      </w:r>
    </w:p>
    <w:p>
      <w:pPr>
        <w:pStyle w:val="Heading2"/>
        <w:keepNext/>
        <w:spacing w:before="240" w:after="100"/>
      </w:pPr>
      <w:r>
        <w:rPr>
          <w:rFonts w:ascii="Arial" w:hAnsi="Arial" w:cs="Arial" w:eastAsia="Arial"/>
          <w:b/>
          <w:i w:val="0"/>
          <w:color w:val="0B3C7A"/>
          <w:sz w:val="24"/>
        </w:rPr>
        <w:t>5.2  Split-brain in a three-node cluster</w:t>
      </w:r>
    </w:p>
    <w:p>
      <w:pPr>
        <w:spacing w:before="0" w:after="120" w:line="276" w:lineRule="auto"/>
      </w:pPr>
      <w:r>
        <w:rPr>
          <w:rFonts w:ascii="Arial" w:hAnsi="Arial" w:cs="Arial" w:eastAsia="Arial"/>
          <w:b w:val="0"/>
          <w:i w:val="0"/>
          <w:sz w:val="20"/>
        </w:rPr>
        <w:t>A partition could leave two nodes each believing they lead, and data that has diverged cannot be merged safely. So only a majority may have a leader (Figure 11):</w:t>
      </w:r>
    </w:p>
    <w:tbl>
      <w:tblPr>
        <w:tblW w:type="auto" w:w="0"/>
        <w:tblLayout w:type="fixed"/>
        <w:tblLook w:firstColumn="1" w:firstRow="1" w:lastColumn="0" w:lastRow="0" w:noHBand="0" w:noVBand="1" w:val="04A0"/>
        <w:tblW w:w="9639" w:type="dxa"/>
        <w:tblLayout w:type="fixed"/>
      </w:tblPr>
      <w:tblGrid>
        <w:gridCol w:w="1928"/>
        <w:gridCol w:w="2835"/>
        <w:gridCol w:w="2041"/>
        <w:gridCol w:w="2835"/>
      </w:tblGrid>
      <w:tr>
        <w:trPr>
          <w:cantSplit/>
          <w:tblHeader/>
        </w:trPr>
        <w:tc>
          <w:tcPr>
            <w:tcW w:type="dxa" w:w="192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Scenario</w:t>
            </w:r>
          </w:p>
        </w:tc>
        <w:tc>
          <w:tcPr>
            <w:tcW w:type="dxa" w:w="28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PostgreSQL</w:t>
            </w:r>
          </w:p>
        </w:tc>
        <w:tc>
          <w:tcPr>
            <w:tcW w:type="dxa" w:w="2041"/>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Kafka</w:t>
            </w:r>
          </w:p>
        </w:tc>
        <w:tc>
          <w:tcPr>
            <w:tcW w:type="dxa" w:w="28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Effect on clients</w:t>
            </w:r>
          </w:p>
        </w:tc>
      </w:tr>
      <w:tr>
        <w:trPr>
          <w:cantSplit/>
        </w:trPr>
        <w:tc>
          <w:tcPr>
            <w:tcW w:type="dxa" w:w="19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Leader fails</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etcd keeps quorum; the synchronous replica is promoted</w:t>
            </w:r>
          </w:p>
        </w:tc>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Partition leaders move; ISR is 2</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 short burst of errors; retries succeed with the same idempotency keys</w:t>
            </w:r>
          </w:p>
        </w:tc>
      </w:tr>
      <w:tr>
        <w:trPr>
          <w:cantSplit/>
        </w:trPr>
        <w:tc>
          <w:tcPr>
            <w:tcW w:type="dxa" w:w="192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Leader cut off alone</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It cannot renew its leader key, so it demotes itself; a watchdog resets a hung node</w:t>
            </w:r>
          </w:p>
        </w:tc>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The isolated broker cannot take acks=all writes</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No divergent writes; the old leader is rewound on return</w:t>
            </w:r>
          </w:p>
        </w:tc>
      </w:tr>
      <w:tr>
        <w:trPr>
          <w:cantSplit/>
        </w:trPr>
        <w:tc>
          <w:tcPr>
            <w:tcW w:type="dxa" w:w="19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Two of three nodes lost</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 quorum, no leader</w:t>
            </w:r>
          </w:p>
        </w:tc>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 controller quorum</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Clinical writes stop; the edge shows emergency advice; on-call follows the runbook</w:t>
            </w:r>
          </w:p>
        </w:tc>
      </w:tr>
      <w:tr>
        <w:trPr>
          <w:cantSplit/>
        </w:trPr>
        <w:tc>
          <w:tcPr>
            <w:tcW w:type="dxa" w:w="192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Two sites, no witness</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A site cut leaves no majority</w:t>
            </w:r>
          </w:p>
        </w:tc>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Same</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Not acceptable: a third domain or witness is required</w:t>
            </w:r>
          </w:p>
        </w:tc>
      </w:tr>
      <w:tr>
        <w:trPr>
          <w:cantSplit/>
        </w:trPr>
        <w:tc>
          <w:tcPr>
            <w:tcW w:type="dxa" w:w="19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Slow disk</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Patroni TTL, watchdog and fsync alerts</w:t>
            </w:r>
          </w:p>
        </w:tc>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Lag alerts</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Failover on health, not only on crash</w:t>
            </w:r>
          </w:p>
        </w:tc>
      </w:tr>
    </w:tbl>
    <w:p>
      <w:pPr>
        <w:spacing w:before="0" w:after="80"/>
      </w:pPr>
    </w:p>
    <w:p>
      <w:pPr>
        <w:spacing w:before="0" w:after="120" w:line="276" w:lineRule="auto"/>
      </w:pPr>
      <w:r>
        <w:rPr>
          <w:rFonts w:ascii="Arial" w:hAnsi="Arial" w:cs="Arial" w:eastAsia="Arial"/>
          <w:b w:val="0"/>
          <w:i w:val="0"/>
          <w:sz w:val="20"/>
        </w:rPr>
        <w:t>Measured, by cutting the leader's node off the network: it stopped taking writes after 4 to 7 s, a new leader was elected after 17 to 23 s, there were never two writable leaders, and every node held the same rows after healing.</w:t>
      </w:r>
    </w:p>
    <w:p>
      <w:pPr>
        <w:pStyle w:val="Heading2"/>
        <w:keepNext/>
        <w:spacing w:before="240" w:after="100"/>
      </w:pPr>
      <w:r>
        <w:rPr>
          <w:rFonts w:ascii="Arial" w:hAnsi="Arial" w:cs="Arial" w:eastAsia="Arial"/>
          <w:b/>
          <w:i w:val="0"/>
          <w:color w:val="0B3C7A"/>
          <w:sz w:val="24"/>
        </w:rPr>
        <w:t>5.3  Zero-downtime releases without a cloud load balancer</w:t>
      </w:r>
    </w:p>
    <w:p>
      <w:pPr>
        <w:spacing w:before="0" w:after="120" w:line="276" w:lineRule="auto"/>
      </w:pPr>
      <w:r>
        <w:rPr>
          <w:rFonts w:ascii="Arial" w:hAnsi="Arial" w:cs="Arial" w:eastAsia="Arial"/>
          <w:b w:val="0"/>
          <w:i w:val="0"/>
          <w:sz w:val="20"/>
        </w:rPr>
        <w:t>The edge does what a cloud balancer would (Figure 12). Two HAProxy hosts share a Keepalived virtual IP. A release builds, scans and signs the image, starts green beside blue, runs only backward-compatible migrations (expand now, contract in a later release), smoke-tests green through the real edge, then shifts weight through the HAProxy runtime API in steps of 1, 10, 50 and 100%. Each step waits on error-rate and latency gates; a breach returns all traffic to blue in seconds. Blue drains and is kept for 24 hours. Event schemas stay backward compatible and USSD sessions live in Valkey, so either colour can serve any request. The same images can later run on Kubernetes (RKE2) for the stateless tier, while databases and Kafka stay on VMs: running them on Kubernetes on-premise adds failure modes a small team should not carry in its first year.</w:t>
      </w:r>
    </w:p>
    <w:p>
      <w:pPr>
        <w:spacing w:before="0" w:after="120" w:line="276" w:lineRule="auto"/>
      </w:pPr>
      <w:r>
        <w:rPr>
          <w:rFonts w:ascii="Arial" w:hAnsi="Arial" w:cs="Arial" w:eastAsia="Arial"/>
          <w:b w:val="0"/>
          <w:i w:val="0"/>
          <w:sz w:val="20"/>
        </w:rPr>
        <w:t>Measured: a gated release under load served 1,181 requests with none failed; a build that failed 30% of calls was rolled back at the 1% or 10% step. On one core instance, 100 web intakes a second plus 4 USSD sessions a second ran with no failures (web p95 166 ms, USSD step p95 264 ms). At twice that the instance saturated but still failed nothing, because HAProxy caps in-flight requests per instance and queues the rest.</w:t>
      </w:r>
    </w:p>
    <w:p>
      <w:pPr>
        <w:pStyle w:val="Heading2"/>
        <w:keepNext/>
        <w:spacing w:before="240" w:after="100"/>
      </w:pPr>
      <w:r>
        <w:rPr>
          <w:rFonts w:ascii="Arial" w:hAnsi="Arial" w:cs="Arial" w:eastAsia="Arial"/>
          <w:b/>
          <w:i w:val="0"/>
          <w:color w:val="0B3C7A"/>
          <w:sz w:val="24"/>
        </w:rPr>
        <w:t>5.4  Audit of every read and write</w:t>
      </w:r>
    </w:p>
    <w:p>
      <w:pPr>
        <w:spacing w:before="0" w:after="120" w:line="276" w:lineRule="auto"/>
      </w:pPr>
      <w:r>
        <w:rPr>
          <w:rFonts w:ascii="Arial" w:hAnsi="Arial" w:cs="Arial" w:eastAsia="Arial"/>
          <w:b w:val="0"/>
          <w:i w:val="0"/>
          <w:sz w:val="20"/>
        </w:rPr>
        <w:t>For any record I want to show who read or changed it, when, why and from where, and prove the log was not edited. Each layer has a blind spot that another covers (Figure 13):</w:t>
      </w:r>
    </w:p>
    <w:tbl>
      <w:tblPr>
        <w:tblW w:type="auto" w:w="0"/>
        <w:tblLayout w:type="fixed"/>
        <w:tblLook w:firstColumn="1" w:firstRow="1" w:lastColumn="0" w:lastRow="0" w:noHBand="0" w:noVBand="1" w:val="04A0"/>
        <w:tblW w:w="9639" w:type="dxa"/>
        <w:tblLayout w:type="fixed"/>
      </w:tblPr>
      <w:tblGrid>
        <w:gridCol w:w="2154"/>
        <w:gridCol w:w="4535"/>
        <w:gridCol w:w="2948"/>
      </w:tblGrid>
      <w:tr>
        <w:trPr>
          <w:cantSplit/>
          <w:tblHeader/>
        </w:trPr>
        <w:tc>
          <w:tcPr>
            <w:tcW w:type="dxa" w:w="215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Layer</w:t>
            </w:r>
          </w:p>
        </w:tc>
        <w:tc>
          <w:tcPr>
            <w:tcW w:type="dxa" w:w="45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Captures</w:t>
            </w:r>
          </w:p>
        </w:tc>
        <w:tc>
          <w:tcPr>
            <w:tcW w:type="dxa" w:w="294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Covers</w:t>
            </w:r>
          </w:p>
        </w:tc>
      </w:tr>
      <w:tr>
        <w:trPr>
          <w:cantSplit/>
        </w:trPr>
        <w:tc>
          <w:tcPr>
            <w:tcW w:type="dxa" w:w="215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Gateway access log</w:t>
            </w:r>
          </w:p>
        </w:tc>
        <w:tc>
          <w:tcPr>
            <w:tcW w:type="dxa" w:w="45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Every request: caller, scope, endpoint, status, correlation id</w:t>
            </w:r>
          </w:p>
        </w:tc>
        <w:tc>
          <w:tcPr>
            <w:tcW w:type="dxa" w:w="294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Calls that never reach the application</w:t>
            </w:r>
          </w:p>
        </w:tc>
      </w:tr>
      <w:tr>
        <w:trPr>
          <w:cantSplit/>
        </w:trPr>
        <w:tc>
          <w:tcPr>
            <w:tcW w:type="dxa" w:w="215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Application interceptor</w:t>
            </w:r>
          </w:p>
        </w:tc>
        <w:tc>
          <w:tcPr>
            <w:tcW w:type="dxa" w:w="45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Every read or write of health data: user, role, patient, resource, purpose of use, consent basis, outcome</w:t>
            </w:r>
          </w:p>
        </w:tc>
        <w:tc>
          <w:tcPr>
            <w:tcW w:type="dxa" w:w="294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Why the access happened</w:t>
            </w:r>
          </w:p>
        </w:tc>
      </w:tr>
      <w:tr>
        <w:trPr>
          <w:cantSplit/>
        </w:trPr>
        <w:tc>
          <w:tcPr>
            <w:tcW w:type="dxa" w:w="215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Database audit (pgAudit)</w:t>
            </w:r>
          </w:p>
        </w:tc>
        <w:tc>
          <w:tcPr>
            <w:tcW w:type="dxa" w:w="45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SELECT, INSERT, UPDATE, DELETE on sensitive tables, by every role</w:t>
            </w:r>
          </w:p>
        </w:tc>
        <w:tc>
          <w:tcPr>
            <w:tcW w:type="dxa" w:w="294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Administrators and tools going around the application</w:t>
            </w:r>
          </w:p>
        </w:tc>
      </w:tr>
      <w:tr>
        <w:trPr>
          <w:cantSplit/>
        </w:trPr>
        <w:tc>
          <w:tcPr>
            <w:tcW w:type="dxa" w:w="215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EMR and sync audit</w:t>
            </w:r>
          </w:p>
        </w:tc>
        <w:tc>
          <w:tcPr>
            <w:tcW w:type="dxa" w:w="45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eBuzima document versions, OpenMRS audit, AuditEvent for sync</w:t>
            </w:r>
          </w:p>
        </w:tc>
        <w:tc>
          <w:tcPr>
            <w:tcW w:type="dxa" w:w="294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Records moving between systems</w:t>
            </w:r>
          </w:p>
        </w:tc>
      </w:tr>
      <w:tr>
        <w:trPr>
          <w:cantSplit/>
        </w:trPr>
        <w:tc>
          <w:tcPr>
            <w:tcW w:type="dxa" w:w="215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Break-glass</w:t>
            </w:r>
          </w:p>
        </w:tc>
        <w:tc>
          <w:tcPr>
            <w:tcW w:type="dxa" w:w="45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Emergency access with a mandatory reason, an alert and review within 24 hours</w:t>
            </w:r>
          </w:p>
        </w:tc>
        <w:tc>
          <w:tcPr>
            <w:tcW w:type="dxa" w:w="294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Legitimate overrides</w:t>
            </w:r>
          </w:p>
        </w:tc>
      </w:tr>
    </w:tbl>
    <w:p>
      <w:pPr>
        <w:spacing w:before="0" w:after="80"/>
      </w:pPr>
    </w:p>
    <w:p>
      <w:pPr>
        <w:spacing w:before="0" w:after="120" w:line="276" w:lineRule="auto"/>
      </w:pPr>
      <w:r>
        <w:rPr>
          <w:rFonts w:ascii="Arial" w:hAnsi="Arial" w:cs="Arial" w:eastAsia="Arial"/>
          <w:b w:val="0"/>
          <w:i w:val="0"/>
          <w:sz w:val="20"/>
        </w:rPr>
        <w:t>The audit writer numbers each entry and chains it to the hash of the previous one; a daily signed checkpoint goes to write-once storage and the chain is re-verified on a schedule. The audit store has its own administrators, the application cannot update or delete, and patients see who accessed their record. Clinical reads need an X-Purpose-Of-Use header and consent, or they are refused with 403. Measured: a DBA's query in psql reached the trail in about a second; a row edited by hand was named by the chain check, attributed through pgAudit, and alerted on about 10 s later.</w:t>
      </w:r>
    </w:p>
    <w:p>
      <w:pPr>
        <w:spacing w:before="0" w:after="120" w:line="276" w:lineRule="auto"/>
      </w:pPr>
      <w:r>
        <w:rPr>
          <w:rFonts w:ascii="Arial" w:hAnsi="Arial" w:cs="Arial" w:eastAsia="Arial"/>
          <w:b w:val="0"/>
          <w:i w:val="0"/>
          <w:sz w:val="20"/>
        </w:rPr>
        <w:t>Around this: network zones with default deny and mTLS between services, MFA for staff, secrets in OpenBao, hardened images with SBOMs and signatures, Wazuh and Falco for detection, and an AI zone with no internet egress.</w:t>
      </w:r>
    </w:p>
    <w:p>
      <w:pPr>
        <w:sectPr>
          <w:pgSz w:w="11906" w:h="16838"/>
          <w:pgMar w:top="1000" w:right="1134" w:bottom="1000" w:left="1134" w:header="708" w:footer="500" w:gutter="0"/>
          <w:pgNumType/>
          <w:docGrid w:linePitch="360"/>
        </w:sectPr>
      </w:pPr>
    </w:p>
    <w:p>
      <w:pPr>
        <w:keepNext/>
        <w:spacing w:before="40" w:after="0"/>
        <w:jc w:val="center"/>
      </w:pPr>
      <w:r>
        <w:drawing>
          <wp:inline xmlns:a="http://schemas.openxmlformats.org/drawingml/2006/main" xmlns:pic="http://schemas.openxmlformats.org/drawingml/2006/picture">
            <wp:extent cx="8461328" cy="5544000"/>
            <wp:docPr id="10" name="Picture 1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8461328" cy="5544000"/>
                    </a:xfrm>
                    <a:prstGeom prst="rect"/>
                  </pic:spPr>
                </pic:pic>
              </a:graphicData>
            </a:graphic>
          </wp:inline>
        </w:drawing>
      </w:r>
    </w:p>
    <w:p>
      <w:pPr>
        <w:spacing w:before="80" w:after="200"/>
        <w:jc w:val="center"/>
      </w:pPr>
      <w:r>
        <w:rPr>
          <w:rFonts w:ascii="Arial" w:hAnsi="Arial" w:cs="Arial" w:eastAsia="Arial"/>
          <w:b w:val="0"/>
          <w:i/>
          <w:color w:val="4A5568"/>
          <w:sz w:val="18"/>
        </w:rPr>
        <w:t>Figure 10. High availability on three fault domains; the third can be a small witness site.</w:t>
      </w:r>
    </w:p>
    <w:p>
      <w:pPr>
        <w:spacing w:before="0" w:after="0"/>
      </w:pPr>
      <w:r>
        <w:br w:type="page"/>
      </w:r>
    </w:p>
    <w:p>
      <w:pPr>
        <w:keepNext/>
        <w:spacing w:before="40" w:after="0"/>
        <w:jc w:val="center"/>
      </w:pPr>
      <w:r>
        <w:drawing>
          <wp:inline xmlns:a="http://schemas.openxmlformats.org/drawingml/2006/main" xmlns:pic="http://schemas.openxmlformats.org/drawingml/2006/picture">
            <wp:extent cx="9216000" cy="2684272"/>
            <wp:docPr id="11" name="Picture 11"/>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9216000" cy="2684272"/>
                    </a:xfrm>
                    <a:prstGeom prst="rect"/>
                  </pic:spPr>
                </pic:pic>
              </a:graphicData>
            </a:graphic>
          </wp:inline>
        </w:drawing>
      </w:r>
    </w:p>
    <w:p>
      <w:pPr>
        <w:spacing w:before="80" w:after="200"/>
        <w:jc w:val="center"/>
      </w:pPr>
      <w:r>
        <w:rPr>
          <w:rFonts w:ascii="Arial" w:hAnsi="Arial" w:cs="Arial" w:eastAsia="Arial"/>
          <w:b w:val="0"/>
          <w:i/>
          <w:color w:val="4A5568"/>
          <w:sz w:val="18"/>
        </w:rPr>
        <w:t>Figure 11. Behaviour during a 2 to 1 network partition.</w:t>
      </w:r>
    </w:p>
    <w:p>
      <w:pPr>
        <w:spacing w:before="0" w:after="0"/>
      </w:pPr>
      <w:r>
        <w:br w:type="page"/>
      </w:r>
    </w:p>
    <w:p>
      <w:pPr>
        <w:keepNext/>
        <w:spacing w:before="40" w:after="0"/>
        <w:jc w:val="center"/>
      </w:pPr>
      <w:r>
        <w:drawing>
          <wp:inline xmlns:a="http://schemas.openxmlformats.org/drawingml/2006/main" xmlns:pic="http://schemas.openxmlformats.org/drawingml/2006/picture">
            <wp:extent cx="9216000" cy="3443056"/>
            <wp:docPr id="12" name="Picture 1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9216000" cy="3443056"/>
                    </a:xfrm>
                    <a:prstGeom prst="rect"/>
                  </pic:spPr>
                </pic:pic>
              </a:graphicData>
            </a:graphic>
          </wp:inline>
        </w:drawing>
      </w:r>
    </w:p>
    <w:p>
      <w:pPr>
        <w:spacing w:before="80" w:after="200"/>
        <w:jc w:val="center"/>
      </w:pPr>
      <w:r>
        <w:rPr>
          <w:rFonts w:ascii="Arial" w:hAnsi="Arial" w:cs="Arial" w:eastAsia="Arial"/>
          <w:b w:val="0"/>
          <w:i/>
          <w:color w:val="4A5568"/>
          <w:sz w:val="18"/>
        </w:rPr>
        <w:t>Figure 12. Blue/green release through HAProxy and Keepalived, with SLO gates and automatic rollback.</w:t>
      </w:r>
    </w:p>
    <w:p>
      <w:pPr>
        <w:spacing w:before="0" w:after="0"/>
      </w:pPr>
      <w:r>
        <w:br w:type="page"/>
      </w:r>
    </w:p>
    <w:p>
      <w:pPr>
        <w:keepNext/>
        <w:spacing w:before="40" w:after="0"/>
        <w:jc w:val="center"/>
      </w:pPr>
      <w:r>
        <w:drawing>
          <wp:inline xmlns:a="http://schemas.openxmlformats.org/drawingml/2006/main" xmlns:pic="http://schemas.openxmlformats.org/drawingml/2006/picture">
            <wp:extent cx="8083324" cy="5544000"/>
            <wp:docPr id="13" name="Picture 1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8083324" cy="5544000"/>
                    </a:xfrm>
                    <a:prstGeom prst="rect"/>
                  </pic:spPr>
                </pic:pic>
              </a:graphicData>
            </a:graphic>
          </wp:inline>
        </w:drawing>
      </w:r>
    </w:p>
    <w:p>
      <w:pPr>
        <w:spacing w:before="80" w:after="200"/>
        <w:jc w:val="center"/>
      </w:pPr>
      <w:r>
        <w:rPr>
          <w:rFonts w:ascii="Arial" w:hAnsi="Arial" w:cs="Arial" w:eastAsia="Arial"/>
          <w:b w:val="0"/>
          <w:i/>
          <w:color w:val="4A5568"/>
          <w:sz w:val="18"/>
        </w:rPr>
        <w:t>Figure 13. Three audit layers feeding a hash-chained, write-once, searchable store.</w:t>
      </w:r>
    </w:p>
    <w:p>
      <w:pPr>
        <w:sectPr>
          <w:pgSz w:w="16838" w:h="11906" w:orient="landscape"/>
          <w:pgMar w:top="1000" w:right="1134" w:bottom="1000" w:left="1134" w:header="708" w:footer="500" w:gutter="0"/>
          <w:pgNumType/>
          <w:docGrid w:linePitch="360"/>
        </w:sectPr>
      </w:pPr>
    </w:p>
    <w:p>
      <w:pPr>
        <w:pStyle w:val="Heading1"/>
        <w:keepNext/>
        <w:spacing w:before="320" w:after="160"/>
        <w:pBdr>
          <w:bottom w:val="single" w:sz="8" w:space="4" w:color="0B5CC0"/>
        </w:pBdr>
      </w:pPr>
      <w:r>
        <w:rPr>
          <w:rFonts w:ascii="Arial" w:hAnsi="Arial" w:cs="Arial" w:eastAsia="Arial"/>
          <w:b/>
          <w:i w:val="0"/>
          <w:color w:val="0B3C7A"/>
          <w:sz w:val="32"/>
        </w:rPr>
        <w:t>6  Task 4: AI triage and clinical decision support</w:t>
      </w:r>
    </w:p>
    <w:p>
      <w:pPr>
        <w:pStyle w:val="Heading2"/>
        <w:keepNext/>
        <w:spacing w:before="240" w:after="100"/>
      </w:pPr>
      <w:r>
        <w:rPr>
          <w:rFonts w:ascii="Arial" w:hAnsi="Arial" w:cs="Arial" w:eastAsia="Arial"/>
          <w:b/>
          <w:i w:val="0"/>
          <w:color w:val="0B3C7A"/>
          <w:sz w:val="24"/>
        </w:rPr>
        <w:t>6.1  Synchronous or asynchronous inference?</w:t>
      </w:r>
    </w:p>
    <w:p>
      <w:pPr>
        <w:spacing w:before="0" w:after="120" w:line="276" w:lineRule="auto"/>
      </w:pPr>
      <w:r>
        <w:rPr>
          <w:rFonts w:ascii="Arial" w:hAnsi="Arial" w:cs="Arial" w:eastAsia="Arial"/>
          <w:b w:val="0"/>
          <w:i w:val="0"/>
          <w:sz w:val="20"/>
        </w:rPr>
        <w:t>Both, for different jobs (Figure 14). Deterministic red-flag rules from the national protocol run inside the session and always give a safe floor. The model runs afterwards and can only raise urgency.</w:t>
      </w:r>
    </w:p>
    <w:tbl>
      <w:tblPr>
        <w:tblW w:type="auto" w:w="0"/>
        <w:tblLayout w:type="fixed"/>
        <w:tblLook w:firstColumn="1" w:firstRow="1" w:lastColumn="0" w:lastRow="0" w:noHBand="0" w:noVBand="1" w:val="04A0"/>
        <w:tblW w:w="9639" w:type="dxa"/>
        <w:tblLayout w:type="fixed"/>
      </w:tblPr>
      <w:tblGrid>
        <w:gridCol w:w="2041"/>
        <w:gridCol w:w="3628"/>
        <w:gridCol w:w="2721"/>
        <w:gridCol w:w="1247"/>
      </w:tblGrid>
      <w:tr>
        <w:trPr>
          <w:cantSplit/>
          <w:tblHeader/>
        </w:trPr>
        <w:tc>
          <w:tcPr>
            <w:tcW w:type="dxa" w:w="2041"/>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Option</w:t>
            </w:r>
          </w:p>
        </w:tc>
        <w:tc>
          <w:tcPr>
            <w:tcW w:type="dxa" w:w="362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Fit for USSD</w:t>
            </w:r>
          </w:p>
        </w:tc>
        <w:tc>
          <w:tcPr>
            <w:tcW w:type="dxa" w:w="2721"/>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Safety</w:t>
            </w:r>
          </w:p>
        </w:tc>
        <w:tc>
          <w:tcPr>
            <w:tcW w:type="dxa" w:w="1247"/>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Verdict</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Model inside the session</w:t>
            </w:r>
          </w:p>
        </w:tc>
        <w:tc>
          <w:tcPr>
            <w:tcW w:type="dxa" w:w="36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Poor: a USSD step must answer in about a second, and model latency varies with load and cold starts. A model outage would break the channel.</w:t>
            </w:r>
          </w:p>
        </w:tc>
        <w:tc>
          <w:tcPr>
            <w:tcW w:type="dxa" w:w="272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The patient may act on an unreviewed AI answer</w:t>
            </w:r>
          </w:p>
        </w:tc>
        <w:tc>
          <w:tcPr>
            <w:tcW w:type="dxa" w:w="124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Rejected</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Model only, afterwards</w:t>
            </w:r>
          </w:p>
        </w:tc>
        <w:tc>
          <w:tcPr>
            <w:tcW w:type="dxa" w:w="362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Good</w:t>
            </w:r>
          </w:p>
        </w:tc>
        <w:tc>
          <w:tcPr>
            <w:tcW w:type="dxa" w:w="272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Emergencies wait for the model</w:t>
            </w:r>
          </w:p>
        </w:tc>
        <w:tc>
          <w:tcPr>
            <w:tcW w:type="dxa" w:w="1247"/>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Rejected alone</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Rules in session, model afterwards</w:t>
            </w:r>
          </w:p>
        </w:tc>
        <w:tc>
          <w:tcPr>
            <w:tcW w:type="dxa" w:w="36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Good: rules answer in under 100 ms</w:t>
            </w:r>
          </w:p>
        </w:tc>
        <w:tc>
          <w:tcPr>
            <w:tcW w:type="dxa" w:w="272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Emergencies get advice at once; the model adds nuance for the clinician</w:t>
            </w:r>
          </w:p>
        </w:tc>
        <w:tc>
          <w:tcPr>
            <w:tcW w:type="dxa" w:w="1247"/>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Chosen</w:t>
            </w:r>
          </w:p>
        </w:tc>
      </w:tr>
    </w:tbl>
    <w:p>
      <w:pPr>
        <w:spacing w:before="0" w:after="80"/>
      </w:pPr>
    </w:p>
    <w:p>
      <w:pPr>
        <w:spacing w:before="0" w:after="120" w:line="276" w:lineRule="auto"/>
      </w:pPr>
      <w:r>
        <w:rPr>
          <w:rFonts w:ascii="Arial" w:hAnsi="Arial" w:cs="Arial" w:eastAsia="Arial"/>
          <w:b w:val="0"/>
          <w:i w:val="0"/>
          <w:sz w:val="20"/>
        </w:rPr>
        <w:t>The 1.5 s step budget is mostly network between the aggregator and the gateway (200 to 400 ms); session lookup, rules, the database write and rendering take under 200 ms together, leaving room for retries. The patient never sees an AI result; advice comes only from the approved rules.</w:t>
      </w:r>
    </w:p>
    <w:p>
      <w:pPr>
        <w:pStyle w:val="Heading2"/>
        <w:keepNext/>
        <w:spacing w:before="240" w:after="100"/>
      </w:pPr>
      <w:r>
        <w:rPr>
          <w:rFonts w:ascii="Arial" w:hAnsi="Arial" w:cs="Arial" w:eastAsia="Arial"/>
          <w:b/>
          <w:i w:val="0"/>
          <w:color w:val="0B3C7A"/>
          <w:sz w:val="24"/>
        </w:rPr>
        <w:t>6.2  Keeping identity away from the model</w:t>
      </w:r>
    </w:p>
    <w:p>
      <w:pPr>
        <w:spacing w:before="0" w:after="120" w:line="276" w:lineRule="auto"/>
      </w:pPr>
      <w:r>
        <w:rPr>
          <w:rFonts w:ascii="Arial" w:hAnsi="Arial" w:cs="Arial" w:eastAsia="Arial"/>
          <w:b w:val="0"/>
          <w:i w:val="0"/>
          <w:sz w:val="20"/>
        </w:rPr>
        <w:t>Removing names is not enough: phone numbers, IDs, places and free text all identify people. The anonymization gateway stacks independent layers, so one failure does not expose anyone:</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An allowlist sends only what the model needs: age band, sex, coded symptoms, vitals, duration, pregnancy flag.</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Identifiers never enter the payload; they become random tokens, and only the core can map them back, after inference, through a pseudonym vault with KMS-wrapped keys.</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Free text, where a channel allows it, goes through Presidio with recognizers for national IDs, +250 numbers and Kinyarwanda, French and English names. USSD accepts no free text.</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Rare combinations are generalised; model output is scanned for identifiers; the AI zone has no internet egress and does not log payloads.</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A PII test suite and planted canary tokens run on every release, and a miss blocks it.</w:t>
      </w:r>
    </w:p>
    <w:p>
      <w:pPr>
        <w:pStyle w:val="Heading2"/>
        <w:keepNext/>
        <w:spacing w:before="240" w:after="100"/>
      </w:pPr>
      <w:r>
        <w:rPr>
          <w:rFonts w:ascii="Arial" w:hAnsi="Arial" w:cs="Arial" w:eastAsia="Arial"/>
          <w:b/>
          <w:i w:val="0"/>
          <w:color w:val="0B3C7A"/>
          <w:sz w:val="24"/>
        </w:rPr>
        <w:t>6.3  Human in the loop</w:t>
      </w:r>
    </w:p>
    <w:p>
      <w:pPr>
        <w:spacing w:before="0" w:after="120" w:line="276" w:lineRule="auto"/>
      </w:pPr>
      <w:r>
        <w:rPr>
          <w:rFonts w:ascii="Arial" w:hAnsi="Arial" w:cs="Arial" w:eastAsia="Arial"/>
          <w:b w:val="0"/>
          <w:i w:val="0"/>
          <w:sz w:val="20"/>
        </w:rPr>
        <w:t>The gate is in the domain model, not just the screen, so no code path can skip it (Figure 15). A case moves through RULES_ONLY or AI_PROPOSED, UNDER_REVIEW, CONFIRMED or OVERRIDDEN, and FINAL. The policy engine allows orders, referrals and prescriptions only in FINAL. Before review, urgency is the higher of the rules and the model. The clinician sees both side by side with the model's contributing factors, signs a confirmation or gives a reason to override, and both are stored as Provenance and AuditEvent. A case past its SLA goes to a supervisor with the rules urgency still in force. If the model is down, off or returns nonsense, the case simply continues as rules-only.</w:t>
      </w:r>
    </w:p>
    <w:p>
      <w:pPr>
        <w:pStyle w:val="Heading2"/>
        <w:keepNext/>
        <w:spacing w:before="240" w:after="100"/>
      </w:pPr>
      <w:r>
        <w:rPr>
          <w:rFonts w:ascii="Arial" w:hAnsi="Arial" w:cs="Arial" w:eastAsia="Arial"/>
          <w:b/>
          <w:i w:val="0"/>
          <w:color w:val="0B3C7A"/>
          <w:sz w:val="24"/>
        </w:rPr>
        <w:t>6.4  Safety and model operations</w:t>
      </w:r>
    </w:p>
    <w:tbl>
      <w:tblPr>
        <w:tblW w:type="auto" w:w="0"/>
        <w:tblLayout w:type="fixed"/>
        <w:tblLook w:firstColumn="1" w:firstRow="1" w:lastColumn="0" w:lastRow="0" w:noHBand="0" w:noVBand="1" w:val="04A0"/>
        <w:tblW w:w="9639" w:type="dxa"/>
        <w:tblLayout w:type="fixed"/>
      </w:tblPr>
      <w:tblGrid>
        <w:gridCol w:w="3402"/>
        <w:gridCol w:w="6236"/>
      </w:tblGrid>
      <w:tr>
        <w:trPr>
          <w:cantSplit/>
          <w:tblHeader/>
        </w:trPr>
        <w:tc>
          <w:tcPr>
            <w:tcW w:type="dxa" w:w="3402"/>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Hazard</w:t>
            </w:r>
          </w:p>
        </w:tc>
        <w:tc>
          <w:tcPr>
            <w:tcW w:type="dxa" w:w="6236"/>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Controls</w:t>
            </w:r>
          </w:p>
        </w:tc>
      </w:tr>
      <w:tr>
        <w:trPr>
          <w:cantSplit/>
        </w:trPr>
        <w:tc>
          <w:tcPr>
            <w:tcW w:type="dxa" w:w="340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Under-triage: an urgent case looks routine</w:t>
            </w:r>
          </w:p>
        </w:tc>
        <w:tc>
          <w:tcPr>
            <w:tcW w:type="dxa" w:w="6236"/>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Rules floor, escalate-only merge, clinician review, outcome monitoring, kill switch</w:t>
            </w:r>
          </w:p>
        </w:tc>
      </w:tr>
      <w:tr>
        <w:trPr>
          <w:cantSplit/>
        </w:trPr>
        <w:tc>
          <w:tcPr>
            <w:tcW w:type="dxa" w:w="340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Automation bias: clinicians rubber-stamp</w:t>
            </w:r>
          </w:p>
        </w:tc>
        <w:tc>
          <w:tcPr>
            <w:tcW w:type="dxa" w:w="6236"/>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Rules and model shown side by side, a reason required on overrides, random audits</w:t>
            </w:r>
          </w:p>
        </w:tc>
      </w:tr>
      <w:tr>
        <w:trPr>
          <w:cantSplit/>
        </w:trPr>
        <w:tc>
          <w:tcPr>
            <w:tcW w:type="dxa" w:w="340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Uneven performance by language, age or region</w:t>
            </w:r>
          </w:p>
        </w:tc>
        <w:tc>
          <w:tcPr>
            <w:tcW w:type="dxa" w:w="6236"/>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Stratified evaluation before release and in production</w:t>
            </w:r>
          </w:p>
        </w:tc>
      </w:tr>
      <w:tr>
        <w:trPr>
          <w:cantSplit/>
        </w:trPr>
        <w:tc>
          <w:tcPr>
            <w:tcW w:type="dxa" w:w="340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Identity reaches the model</w:t>
            </w:r>
          </w:p>
        </w:tc>
        <w:tc>
          <w:tcPr>
            <w:tcW w:type="dxa" w:w="6236"/>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Layered anonymization, no egress, output checks, canary tests</w:t>
            </w:r>
          </w:p>
        </w:tc>
      </w:tr>
      <w:tr>
        <w:trPr>
          <w:cantSplit/>
        </w:trPr>
        <w:tc>
          <w:tcPr>
            <w:tcW w:type="dxa" w:w="340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Unapproved model change</w:t>
            </w:r>
          </w:p>
        </w:tc>
        <w:tc>
          <w:tcPr>
            <w:tcW w:type="dxa" w:w="6236"/>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Signed models, a registry with approval, change control</w:t>
            </w:r>
          </w:p>
        </w:tc>
      </w:tr>
    </w:tbl>
    <w:p>
      <w:pPr>
        <w:spacing w:before="0" w:after="80"/>
      </w:pPr>
    </w:p>
    <w:p>
      <w:pPr>
        <w:spacing w:before="0" w:after="120" w:line="276" w:lineRule="auto"/>
      </w:pPr>
      <w:r>
        <w:rPr>
          <w:rFonts w:ascii="Arial" w:hAnsi="Arial" w:cs="Arial" w:eastAsia="Arial"/>
          <w:b w:val="0"/>
          <w:i w:val="0"/>
          <w:sz w:val="20"/>
        </w:rPr>
        <w:t>Models are trained on de-identified data inside the AI zone, registered with their data window and metrics (MLflow), shipped as signed ONNX files, and released like code: offline evaluation, shadow mode, a canary share of cases, then active, each step with exit criteria agreed with clinical leadership. Drift, clinician agreement and latency are watched, and the kill switch is one call. Measured with a demo model (synthetic data, not clinically valid): under-triage 0.032 against a gate of 0.10, urgent-case recall 0.97 to 0.99 in every age group and sex; 10 of 10 identifiers removed and none in the AI zone's logs; orders refused until a clinician decided; the kill switch made new cases rules-only at once.</w:t>
      </w:r>
    </w:p>
    <w:p>
      <w:pPr>
        <w:keepNext/>
        <w:spacing w:before="40" w:after="0"/>
        <w:jc w:val="center"/>
      </w:pPr>
      <w:r>
        <w:drawing>
          <wp:inline xmlns:a="http://schemas.openxmlformats.org/drawingml/2006/main" xmlns:pic="http://schemas.openxmlformats.org/drawingml/2006/picture">
            <wp:extent cx="5063396" cy="7199999"/>
            <wp:docPr id="14" name="Picture 1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063396" cy="7199999"/>
                    </a:xfrm>
                    <a:prstGeom prst="rect"/>
                  </pic:spPr>
                </pic:pic>
              </a:graphicData>
            </a:graphic>
          </wp:inline>
        </w:drawing>
      </w:r>
    </w:p>
    <w:p>
      <w:pPr>
        <w:spacing w:before="80" w:after="200"/>
        <w:jc w:val="center"/>
      </w:pPr>
      <w:r>
        <w:rPr>
          <w:rFonts w:ascii="Arial" w:hAnsi="Arial" w:cs="Arial" w:eastAsia="Arial"/>
          <w:b w:val="0"/>
          <w:i/>
          <w:color w:val="4A5568"/>
          <w:sz w:val="18"/>
        </w:rPr>
        <w:t>Figure 14. AI triage pipeline: rules in session, the model asynchronous in an isolated zone, an escalate-only merge and human review.</w:t>
      </w:r>
    </w:p>
    <w:p>
      <w:pPr>
        <w:keepNext/>
        <w:spacing w:before="40" w:after="0"/>
        <w:jc w:val="center"/>
      </w:pPr>
      <w:r>
        <w:drawing>
          <wp:inline xmlns:a="http://schemas.openxmlformats.org/drawingml/2006/main" xmlns:pic="http://schemas.openxmlformats.org/drawingml/2006/picture">
            <wp:extent cx="2836345" cy="6119999"/>
            <wp:docPr id="15" name="Picture 1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836345" cy="6119999"/>
                    </a:xfrm>
                    <a:prstGeom prst="rect"/>
                  </pic:spPr>
                </pic:pic>
              </a:graphicData>
            </a:graphic>
          </wp:inline>
        </w:drawing>
      </w:r>
    </w:p>
    <w:p>
      <w:pPr>
        <w:spacing w:before="80" w:after="200"/>
        <w:jc w:val="center"/>
      </w:pPr>
      <w:r>
        <w:rPr>
          <w:rFonts w:ascii="Arial" w:hAnsi="Arial" w:cs="Arial" w:eastAsia="Arial"/>
          <w:b w:val="0"/>
          <w:i/>
          <w:color w:val="4A5568"/>
          <w:sz w:val="18"/>
        </w:rPr>
        <w:t>Figure 15. Triage states. An AI proposal unlocks no clinical action until a clinician confirms or overrides it.</w:t>
      </w:r>
    </w:p>
    <w:p>
      <w:pPr>
        <w:pStyle w:val="Heading1"/>
        <w:keepNext/>
        <w:spacing w:before="320" w:after="160"/>
        <w:pBdr>
          <w:bottom w:val="single" w:sz="8" w:space="4" w:color="0B5CC0"/>
        </w:pBdr>
      </w:pPr>
      <w:r>
        <w:rPr>
          <w:rFonts w:ascii="Arial" w:hAnsi="Arial" w:cs="Arial" w:eastAsia="Arial"/>
          <w:b/>
          <w:i w:val="0"/>
          <w:color w:val="0B3C7A"/>
          <w:sz w:val="32"/>
        </w:rPr>
        <w:t>7  Trade-off analysis</w:t>
      </w:r>
    </w:p>
    <w:p>
      <w:pPr>
        <w:spacing w:before="0" w:after="120" w:line="276" w:lineRule="auto"/>
      </w:pPr>
      <w:r>
        <w:rPr>
          <w:rFonts w:ascii="Arial" w:hAnsi="Arial" w:cs="Arial" w:eastAsia="Arial"/>
          <w:b w:val="0"/>
          <w:i w:val="0"/>
          <w:sz w:val="20"/>
        </w:rPr>
        <w:t>The main choices, what I chose them over, and what each one costs.</w:t>
      </w:r>
    </w:p>
    <w:tbl>
      <w:tblPr>
        <w:tblW w:type="auto" w:w="0"/>
        <w:tblLayout w:type="fixed"/>
        <w:tblLook w:firstColumn="1" w:firstRow="1" w:lastColumn="0" w:lastRow="0" w:noHBand="0" w:noVBand="1" w:val="04A0"/>
        <w:tblW w:w="9639" w:type="dxa"/>
        <w:tblLayout w:type="fixed"/>
      </w:tblPr>
      <w:tblGrid>
        <w:gridCol w:w="2041"/>
        <w:gridCol w:w="1984"/>
        <w:gridCol w:w="3175"/>
        <w:gridCol w:w="2438"/>
      </w:tblGrid>
      <w:tr>
        <w:trPr>
          <w:cantSplit/>
          <w:tblHeader/>
        </w:trPr>
        <w:tc>
          <w:tcPr>
            <w:tcW w:type="dxa" w:w="2041"/>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6"/>
              </w:rPr>
              <w:t>Decision</w:t>
            </w:r>
          </w:p>
        </w:tc>
        <w:tc>
          <w:tcPr>
            <w:tcW w:type="dxa" w:w="198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6"/>
              </w:rPr>
              <w:t>Instead of</w:t>
            </w:r>
          </w:p>
        </w:tc>
        <w:tc>
          <w:tcPr>
            <w:tcW w:type="dxa" w:w="317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6"/>
              </w:rPr>
              <w:t>Why</w:t>
            </w:r>
          </w:p>
        </w:tc>
        <w:tc>
          <w:tcPr>
            <w:tcW w:type="dxa" w:w="243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6"/>
              </w:rPr>
              <w:t>What it costs</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Modular monolith plus 5 services</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Full microservices; one monolith</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Lowest on-premise operating cost, with real seams to extract later</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The core scales as one unit; module discipline must be enforced</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Saga with compensations</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Two-phase commit across the core and IremboPay</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IremboPay cannot join a database transaction, and 2PC blocks when its coordinator fails</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Intermediate states (PENDING_PAYMENT, REFUND_PENDING) to monitor and reconcile</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Transactional outbox</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Write, then publish in code</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The change and its event commit together, so money is never taken without the event</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An outbox to run; consumers must tolerate duplicates</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Orchestrated saga in the core</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Choreography across services</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One place shows where every case is</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The orchestrator is critical, but lives in the redundant core</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Kafka in KRaft mode</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RabbitMQ; a database queue</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A replayable log for audit and many consumers; explicit partition behaviour</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More skill to operate; three brokers</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PostgreSQL with Patroni and etcd</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repmgr; multi-master; distributed SQL</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Mature, one writer, split-brain prevented by consensus</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Write scaling is vertical, then by region</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Synchronous replica, non-strict</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Async only; strict sync</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Committed data on two nodes, writable with one replica lost</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A short single-copy window in a double failure</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Relational core with a FHIR facade</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A FHIR-native store</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Fast operational queries; FHIR changes contained in one module</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Mapping code to test; two representations</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FHIR R4, IPS, local profiles</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R5; no local profiles</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Widest EMR and tool support, including OpenMRS; ICD-10 and LOINC bindings Rwanda needs</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Some newer features only back-ported</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OpenFn as the sync gateway</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A custom Java service; Mirth</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Ready adaptors, run history and replay, maintainable by a small team; kept off the USSD path</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Another platform to run</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Home-facility routing: eBuzima for centres, OpenMRS for hospitals</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An integration per facility; the shared record only</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Matches how Rwanda deploys EMRs; one connection reaches every centre</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The home facility must stay current</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Link, never merge</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Exact ID only; destructive merge</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National IDs are often missing; links are reversible</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A review queue to staff</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HAProxy and Keepalived blue/green</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DNS switching; a service mesh</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Small, proven, rollback in seconds, no cloud dependency</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Needs a layer-2 network for VRRP</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Containers now, Kubernetes for the stateless tier later</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Kubernetes for everything on day one</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Same images either way; stateful tier stays simple</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Two deployment styles for a while</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Rules in session, model asynchronous</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Model in the session</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USSD latency and a safety floor for emergencies</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The model never shapes immediate advice</w:t>
            </w:r>
          </w:p>
        </w:tc>
      </w:tr>
      <w:tr>
        <w:trPr>
          <w:cantSplit/>
        </w:trPr>
        <w:tc>
          <w:tcPr>
            <w:tcW w:type="dxa" w:w="204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Tokenisation and minimisation</w:t>
            </w:r>
          </w:p>
        </w:tc>
        <w:tc>
          <w:tcPr>
            <w:tcW w:type="dxa" w:w="198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Raw data to an internal model; differential privacy</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Simple, testable, reversible only in the core</w:t>
            </w:r>
          </w:p>
        </w:tc>
        <w:tc>
          <w:tcPr>
            <w:tcW w:type="dxa" w:w="243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Residual risk from quasi-identifiers, reduced by generalisation</w:t>
            </w:r>
          </w:p>
        </w:tc>
      </w:tr>
      <w:tr>
        <w:trPr>
          <w:cantSplit/>
        </w:trPr>
        <w:tc>
          <w:tcPr>
            <w:tcW w:type="dxa" w:w="204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Hash-chained audit with write-once archive</w:t>
            </w:r>
          </w:p>
        </w:tc>
        <w:tc>
          <w:tcPr>
            <w:tcW w:type="dxa" w:w="198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A distributed ledger</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Tamper evidence with tools the team already runs</w:t>
            </w:r>
          </w:p>
        </w:tc>
        <w:tc>
          <w:tcPr>
            <w:tcW w:type="dxa" w:w="243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The signed checkpoint's custody is the trust anchor</w:t>
            </w:r>
          </w:p>
        </w:tc>
      </w:tr>
    </w:tbl>
    <w:p>
      <w:pPr>
        <w:spacing w:before="0" w:after="80"/>
      </w:pPr>
    </w:p>
    <w:p>
      <w:pPr>
        <w:pStyle w:val="Heading1"/>
        <w:keepNext/>
        <w:spacing w:before="320" w:after="160"/>
        <w:pBdr>
          <w:bottom w:val="single" w:sz="8" w:space="4" w:color="0B5CC0"/>
        </w:pBdr>
      </w:pPr>
      <w:r>
        <w:rPr>
          <w:rFonts w:ascii="Arial" w:hAnsi="Arial" w:cs="Arial" w:eastAsia="Arial"/>
          <w:b/>
          <w:i w:val="0"/>
          <w:color w:val="0B3C7A"/>
          <w:sz w:val="32"/>
        </w:rPr>
        <w:t>8  API specifications</w:t>
      </w:r>
    </w:p>
    <w:p>
      <w:pPr>
        <w:spacing w:before="0" w:after="120" w:line="276" w:lineRule="auto"/>
      </w:pPr>
      <w:r>
        <w:rPr>
          <w:rFonts w:ascii="Arial" w:hAnsi="Arial" w:cs="Arial" w:eastAsia="Arial"/>
          <w:b w:val="0"/>
          <w:i w:val="0"/>
          <w:sz w:val="20"/>
        </w:rPr>
        <w:t>Two OpenAPI 3.1 documents define the interfaces, both validated: the Interoperability and Sync API and the AI Triage API. The full YAML is in the repository (api/teleclinic-interop-api.yaml and api/teleclinic-triage-api.yaml) and contract tests run against it. Every endpoint shares the same rules: IremboAccount tokens or mTLS, SMART-style scopes, a policy check on role, consent and purpose of use (X-Purpose-Of-Use is mandatory on clinical reads), an Idempotency-Key on every command, ETag and If-Match on updates (409 on conflict), OperationOutcome errors, and a correlation id from the gateway.</w:t>
      </w:r>
    </w:p>
    <w:tbl>
      <w:tblPr>
        <w:tblW w:type="auto" w:w="0"/>
        <w:tblLayout w:type="fixed"/>
        <w:tblLook w:firstColumn="1" w:firstRow="1" w:lastColumn="0" w:lastRow="0" w:noHBand="0" w:noVBand="1" w:val="04A0"/>
        <w:tblW w:w="9639" w:type="dxa"/>
        <w:tblLayout w:type="fixed"/>
      </w:tblPr>
      <w:tblGrid>
        <w:gridCol w:w="4819"/>
        <w:gridCol w:w="4819"/>
      </w:tblGrid>
      <w:tr>
        <w:trPr>
          <w:cantSplit/>
          <w:tblHeader/>
        </w:trPr>
        <w:tc>
          <w:tcPr>
            <w:tcW w:type="dxa" w:w="4819"/>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Interoperability and Sync API</w:t>
            </w:r>
          </w:p>
        </w:tc>
        <w:tc>
          <w:tcPr>
            <w:tcW w:type="dxa" w:w="4819"/>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Purpose</w:t>
            </w:r>
          </w:p>
        </w:tc>
      </w:tr>
      <w:tr>
        <w:trPr>
          <w:cantSplit/>
        </w:trPr>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POST /fhir/Patient/$match</w:t>
            </w:r>
          </w:p>
        </w:tc>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Candidates with scores and match grades; never merges</w:t>
            </w:r>
          </w:p>
        </w:tc>
      </w:tr>
      <w:tr>
        <w:trPr>
          <w:cantSplit/>
        </w:trPr>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GET /fhir/Patient, /Encounter, /Observation</w:t>
            </w:r>
          </w:p>
        </w:tc>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Read and search, with purpose of use and consent enforced</w:t>
            </w:r>
          </w:p>
        </w:tc>
      </w:tr>
      <w:tr>
        <w:trPr>
          <w:cantSplit/>
        </w:trPr>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POST /fhir</w:t>
            </w:r>
          </w:p>
        </w:tc>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Transaction Bundle with conditional create</w:t>
            </w:r>
          </w:p>
        </w:tc>
      </w:tr>
      <w:tr>
        <w:trPr>
          <w:cantSplit/>
        </w:trPr>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GET /fhir/AuditEvent</w:t>
            </w:r>
          </w:p>
        </w:tc>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Who accessed or changed a patient's data</w:t>
            </w:r>
          </w:p>
        </w:tc>
      </w:tr>
      <w:tr>
        <w:trPr>
          <w:cantSplit/>
        </w:trPr>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POST /identity/links, DELETE /identity/links/{id}; GET /identity/review-queue</w:t>
            </w:r>
          </w:p>
        </w:tc>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Link, unlink and review identity decisions</w:t>
            </w:r>
          </w:p>
        </w:tc>
      </w:tr>
      <w:tr>
        <w:trPr>
          <w:cantSplit/>
        </w:trPr>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GET /sync/ledger/{type}/{id}; POST /sync/inbound; GET and POST /sync/conflicts</w:t>
            </w:r>
          </w:p>
        </w:tc>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Ledger entries, inbound changes (echoes dropped), conflict resolution</w:t>
            </w:r>
          </w:p>
        </w:tc>
      </w:tr>
    </w:tbl>
    <w:p>
      <w:pPr>
        <w:spacing w:before="0" w:after="80"/>
      </w:pPr>
    </w:p>
    <w:tbl>
      <w:tblPr>
        <w:tblW w:type="auto" w:w="0"/>
        <w:tblLayout w:type="fixed"/>
        <w:tblLook w:firstColumn="1" w:firstRow="1" w:lastColumn="0" w:lastRow="0" w:noHBand="0" w:noVBand="1" w:val="04A0"/>
        <w:tblW w:w="9639" w:type="dxa"/>
        <w:tblLayout w:type="fixed"/>
      </w:tblPr>
      <w:tblGrid>
        <w:gridCol w:w="4819"/>
        <w:gridCol w:w="4819"/>
      </w:tblGrid>
      <w:tr>
        <w:trPr>
          <w:cantSplit/>
          <w:tblHeader/>
        </w:trPr>
        <w:tc>
          <w:tcPr>
            <w:tcW w:type="dxa" w:w="4819"/>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AI Triage API</w:t>
            </w:r>
          </w:p>
        </w:tc>
        <w:tc>
          <w:tcPr>
            <w:tcW w:type="dxa" w:w="4819"/>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Purpose</w:t>
            </w:r>
          </w:p>
        </w:tc>
      </w:tr>
      <w:tr>
        <w:trPr>
          <w:cantSplit/>
        </w:trPr>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POST /rules/evaluate</w:t>
            </w:r>
          </w:p>
        </w:tc>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Synchronous red-flag rules, p95 under 100 ms: urgency, red flags, a patient message under 160 characters, rule set version</w:t>
            </w:r>
          </w:p>
        </w:tc>
      </w:tr>
      <w:tr>
        <w:trPr>
          <w:cantSplit/>
        </w:trPr>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POST /cases/{id}/inference; GET /cases/{id}/suggestion</w:t>
            </w:r>
          </w:p>
        </w:tc>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Queue anonymised features (202); read the suggestion and its state</w:t>
            </w:r>
          </w:p>
        </w:tc>
      </w:tr>
      <w:tr>
        <w:trPr>
          <w:cantSplit/>
        </w:trPr>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POST /cases/{id}/review</w:t>
            </w:r>
          </w:p>
        </w:tc>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Clinician confirms or overrides; an override needs a reason</w:t>
            </w:r>
          </w:p>
        </w:tc>
      </w:tr>
      <w:tr>
        <w:trPr>
          <w:cantSplit/>
        </w:trPr>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GET /models/active; POST /models/kill-switch</w:t>
            </w:r>
          </w:p>
        </w:tc>
        <w:tc>
          <w:tcPr>
            <w:tcW w:type="dxa" w:w="4819"/>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Active model, metrics and mode; switch to rules-only at once</w:t>
            </w:r>
          </w:p>
        </w:tc>
      </w:tr>
      <w:tr>
        <w:trPr>
          <w:cantSplit/>
        </w:trPr>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POST /anonymize (mTLS only)</w:t>
            </w:r>
          </w:p>
        </w:tc>
        <w:tc>
          <w:tcPr>
            <w:tcW w:type="dxa" w:w="4819"/>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Model-safe features plus a redaction report</w:t>
            </w:r>
          </w:p>
        </w:tc>
      </w:tr>
    </w:tbl>
    <w:p>
      <w:pPr>
        <w:spacing w:before="0" w:after="80"/>
      </w:pPr>
    </w:p>
    <w:p>
      <w:pPr>
        <w:pStyle w:val="Heading1"/>
        <w:keepNext/>
        <w:spacing w:before="320" w:after="160"/>
        <w:pBdr>
          <w:bottom w:val="single" w:sz="8" w:space="4" w:color="0B5CC0"/>
        </w:pBdr>
      </w:pPr>
      <w:r>
        <w:rPr>
          <w:rFonts w:ascii="Arial" w:hAnsi="Arial" w:cs="Arial" w:eastAsia="Arial"/>
          <w:b/>
          <w:i w:val="0"/>
          <w:color w:val="0B3C7A"/>
          <w:sz w:val="32"/>
        </w:rPr>
        <w:t>9  Operational roadmap</w:t>
      </w:r>
    </w:p>
    <w:p>
      <w:pPr>
        <w:pStyle w:val="Heading2"/>
        <w:keepNext/>
        <w:spacing w:before="240" w:after="100"/>
      </w:pPr>
      <w:r>
        <w:rPr>
          <w:rFonts w:ascii="Arial" w:hAnsi="Arial" w:cs="Arial" w:eastAsia="Arial"/>
          <w:b/>
          <w:i w:val="0"/>
          <w:color w:val="0B3C7A"/>
          <w:sz w:val="24"/>
        </w:rPr>
        <w:t>9.1  Monitoring and alerting</w:t>
      </w:r>
    </w:p>
    <w:p>
      <w:pPr>
        <w:spacing w:before="0" w:after="120" w:line="276" w:lineRule="auto"/>
      </w:pPr>
      <w:r>
        <w:rPr>
          <w:rFonts w:ascii="Arial" w:hAnsi="Arial" w:cs="Arial" w:eastAsia="Arial"/>
          <w:b w:val="0"/>
          <w:i w:val="0"/>
          <w:sz w:val="20"/>
        </w:rPr>
        <w:t>Alerts follow what users feel (errors, latency, stuck cases), use multi-window error-budget burn rates to cut noise, and each one links to a runbook with the first checks to make. Pages go by SMS and voice, not only chat, because that is what works in the field. Synthetic probes dial the USSD code, sign in, make a sandbox payment and round-trip a FHIR record. Figure 16 shows the stack.</w:t>
      </w:r>
    </w:p>
    <w:tbl>
      <w:tblPr>
        <w:tblW w:type="auto" w:w="0"/>
        <w:tblLayout w:type="fixed"/>
        <w:tblLook w:firstColumn="1" w:firstRow="1" w:lastColumn="0" w:lastRow="0" w:noHBand="0" w:noVBand="1" w:val="04A0"/>
        <w:tblW w:w="9639" w:type="dxa"/>
        <w:tblLayout w:type="fixed"/>
      </w:tblPr>
      <w:tblGrid>
        <w:gridCol w:w="2608"/>
        <w:gridCol w:w="3175"/>
        <w:gridCol w:w="3855"/>
      </w:tblGrid>
      <w:tr>
        <w:trPr>
          <w:cantSplit/>
          <w:tblHeader/>
        </w:trPr>
        <w:tc>
          <w:tcPr>
            <w:tcW w:type="dxa" w:w="260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Signal</w:t>
            </w:r>
          </w:p>
        </w:tc>
        <w:tc>
          <w:tcPr>
            <w:tcW w:type="dxa" w:w="317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Objective</w:t>
            </w:r>
          </w:p>
        </w:tc>
        <w:tc>
          <w:tcPr>
            <w:tcW w:type="dxa" w:w="385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Alert</w:t>
            </w:r>
          </w:p>
        </w:tc>
      </w:tr>
      <w:tr>
        <w:trPr>
          <w:cantSplit/>
        </w:trPr>
        <w:tc>
          <w:tcPr>
            <w:tcW w:type="dxa" w:w="260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Booking and consultation success</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99.95% a month</w:t>
            </w:r>
          </w:p>
        </w:tc>
        <w:tc>
          <w:tcPr>
            <w:tcW w:type="dxa" w:w="385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Page on fast budget burn; ticket on slow burn</w:t>
            </w:r>
          </w:p>
        </w:tc>
      </w:tr>
      <w:tr>
        <w:trPr>
          <w:cantSplit/>
        </w:trPr>
        <w:tc>
          <w:tcPr>
            <w:tcW w:type="dxa" w:w="260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USSD step latency</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p95 under 1.5 s</w:t>
            </w:r>
          </w:p>
        </w:tc>
        <w:tc>
          <w:tcPr>
            <w:tcW w:type="dxa" w:w="385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Page after 5 minutes above</w:t>
            </w:r>
          </w:p>
        </w:tc>
      </w:tr>
      <w:tr>
        <w:trPr>
          <w:cantSplit/>
        </w:trPr>
        <w:tc>
          <w:tcPr>
            <w:tcW w:type="dxa" w:w="260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Payment created to PAID</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p95 under 30 s after the processor confirms</w:t>
            </w:r>
          </w:p>
        </w:tc>
        <w:tc>
          <w:tcPr>
            <w:tcW w:type="dxa" w:w="385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Page on a growing PENDING_PAYMENT count</w:t>
            </w:r>
          </w:p>
        </w:tc>
      </w:tr>
      <w:tr>
        <w:trPr>
          <w:cantSplit/>
        </w:trPr>
        <w:tc>
          <w:tcPr>
            <w:tcW w:type="dxa" w:w="260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EMR sync</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p95 under 5 s outbound</w:t>
            </w:r>
          </w:p>
        </w:tc>
        <w:tc>
          <w:tcPr>
            <w:tcW w:type="dxa" w:w="385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Page if a facility is stale for 15 minutes</w:t>
            </w:r>
          </w:p>
        </w:tc>
      </w:tr>
      <w:tr>
        <w:trPr>
          <w:cantSplit/>
        </w:trPr>
        <w:tc>
          <w:tcPr>
            <w:tcW w:type="dxa" w:w="260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Database and Kafka</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Failover under 60 s; no under-replicated partitions</w:t>
            </w:r>
          </w:p>
        </w:tc>
        <w:tc>
          <w:tcPr>
            <w:tcW w:type="dxa" w:w="385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Page on leader change, lost replica or ISR breach</w:t>
            </w:r>
          </w:p>
        </w:tc>
      </w:tr>
      <w:tr>
        <w:trPr>
          <w:cantSplit/>
        </w:trPr>
        <w:tc>
          <w:tcPr>
            <w:tcW w:type="dxa" w:w="260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Audit pipeline</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Lag under 10 s; chain verifies</w:t>
            </w:r>
          </w:p>
        </w:tc>
        <w:tc>
          <w:tcPr>
            <w:tcW w:type="dxa" w:w="385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Page on a broken chain</w:t>
            </w:r>
          </w:p>
        </w:tc>
      </w:tr>
      <w:tr>
        <w:trPr>
          <w:cantSplit/>
        </w:trPr>
        <w:tc>
          <w:tcPr>
            <w:tcW w:type="dxa" w:w="260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Triage queue and model</w:t>
            </w:r>
          </w:p>
        </w:tc>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 case past its SLA; drift within bands</w:t>
            </w:r>
          </w:p>
        </w:tc>
        <w:tc>
          <w:tcPr>
            <w:tcW w:type="dxa" w:w="385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Escalate to a supervisor; review the kill switch</w:t>
            </w:r>
          </w:p>
        </w:tc>
      </w:tr>
      <w:tr>
        <w:trPr>
          <w:cantSplit/>
        </w:trPr>
        <w:tc>
          <w:tcPr>
            <w:tcW w:type="dxa" w:w="260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Backups</w:t>
            </w:r>
          </w:p>
        </w:tc>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All succeed; monthly restore passes</w:t>
            </w:r>
          </w:p>
        </w:tc>
        <w:tc>
          <w:tcPr>
            <w:tcW w:type="dxa" w:w="385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Page on failure</w:t>
            </w:r>
          </w:p>
        </w:tc>
      </w:tr>
    </w:tbl>
    <w:p>
      <w:pPr>
        <w:spacing w:before="0" w:after="80"/>
      </w:pPr>
    </w:p>
    <w:p>
      <w:pPr>
        <w:spacing w:before="0" w:after="120" w:line="276" w:lineRule="auto"/>
      </w:pPr>
      <w:r>
        <w:rPr>
          <w:rFonts w:ascii="Arial" w:hAnsi="Arial" w:cs="Arial" w:eastAsia="Arial"/>
          <w:b w:val="0"/>
          <w:i w:val="0"/>
          <w:sz w:val="20"/>
        </w:rPr>
        <w:t>Measured: Grafana with an SLO dashboard and eight alert rules, each with a runbook. Killing the database leader raised the first alert 13 s later, and it cleared on its own after the new leader took over.</w:t>
      </w:r>
    </w:p>
    <w:p>
      <w:pPr>
        <w:pStyle w:val="Heading2"/>
        <w:keepNext/>
        <w:spacing w:before="240" w:after="100"/>
      </w:pPr>
      <w:r>
        <w:rPr>
          <w:rFonts w:ascii="Arial" w:hAnsi="Arial" w:cs="Arial" w:eastAsia="Arial"/>
          <w:b/>
          <w:i w:val="0"/>
          <w:color w:val="0B3C7A"/>
          <w:sz w:val="24"/>
        </w:rPr>
        <w:t>9.2  Deployment, testing and operations</w:t>
      </w:r>
    </w:p>
    <w:p>
      <w:pPr>
        <w:spacing w:before="0" w:after="120" w:line="276" w:lineRule="auto"/>
      </w:pPr>
      <w:r>
        <w:rPr>
          <w:rFonts w:ascii="Arial" w:hAnsi="Arial" w:cs="Arial" w:eastAsia="Arial"/>
          <w:b w:val="0"/>
          <w:i w:val="0"/>
          <w:sz w:val="20"/>
        </w:rPr>
        <w:t>Every change passes the same pipeline: unit and module-boundary tests, an image with an SBOM, a vulnerability scan and a signature, contract tests against both OpenAPI documents, FHIR profile validation and the PII suite, staging with a production-like topology and load test, then the gated blue/green release of Section 5.3. Hosts, Patroni, Kafka and HAProxy are configured with Ansible, and images come from an internal registry so releases do not depend on internet speed. Models and clinical rules go through the same pipeline with clinical sign-off and start in shadow mode. Operations run as three levels (service desk, platform on-call of at least three people, engineering), with a named clinical safety lead and a security and data protection lead.</w:t>
      </w:r>
    </w:p>
    <w:tbl>
      <w:tblPr>
        <w:tblW w:type="auto" w:w="0"/>
        <w:tblLayout w:type="fixed"/>
        <w:tblLook w:firstColumn="1" w:firstRow="1" w:lastColumn="0" w:lastRow="0" w:noHBand="0" w:noVBand="1" w:val="04A0"/>
        <w:tblW w:w="9639" w:type="dxa"/>
        <w:tblLayout w:type="fixed"/>
      </w:tblPr>
      <w:tblGrid>
        <w:gridCol w:w="3175"/>
        <w:gridCol w:w="2721"/>
        <w:gridCol w:w="3742"/>
      </w:tblGrid>
      <w:tr>
        <w:trPr>
          <w:cantSplit/>
          <w:tblHeader/>
        </w:trPr>
        <w:tc>
          <w:tcPr>
            <w:tcW w:type="dxa" w:w="317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Game day (quarterly unless noted)</w:t>
            </w:r>
          </w:p>
        </w:tc>
        <w:tc>
          <w:tcPr>
            <w:tcW w:type="dxa" w:w="2721"/>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Pass criteria</w:t>
            </w:r>
          </w:p>
        </w:tc>
        <w:tc>
          <w:tcPr>
            <w:tcW w:type="dxa" w:w="3742"/>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Measured in the reference implementation</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Kill the database leader under load</w:t>
            </w:r>
          </w:p>
        </w:tc>
        <w:tc>
          <w:tcPr>
            <w:tcW w:type="dxa" w:w="272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Failover under 60 s, no lost commits</w:t>
            </w:r>
          </w:p>
        </w:tc>
        <w:tc>
          <w:tcPr>
            <w:tcW w:type="dxa" w:w="374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16.8 to 21.3 s, 0 lost</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Partition the cluster 2 to 1</w:t>
            </w:r>
          </w:p>
        </w:tc>
        <w:tc>
          <w:tcPr>
            <w:tcW w:type="dxa" w:w="272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Minority stops; clean rejoin</w:t>
            </w:r>
          </w:p>
        </w:tc>
        <w:tc>
          <w:tcPr>
            <w:tcW w:type="dxa" w:w="374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Stopped after 4 to 7 s; never two leaders</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Lose a Kafka broker</w:t>
            </w:r>
          </w:p>
        </w:tc>
        <w:tc>
          <w:tcPr>
            <w:tcW w:type="dxa" w:w="272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 impact</w:t>
            </w:r>
          </w:p>
        </w:tc>
        <w:tc>
          <w:tcPr>
            <w:tcW w:type="dxa" w:w="374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50 of 50 messages written</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EMR offline, then back</w:t>
            </w:r>
          </w:p>
        </w:tc>
        <w:tc>
          <w:tcPr>
            <w:tcW w:type="dxa" w:w="272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Queued, replayed once, in order</w:t>
            </w:r>
          </w:p>
        </w:tc>
        <w:tc>
          <w:tcPr>
            <w:tcW w:type="dxa" w:w="374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Each write arrived once, in order</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Duplicate and forged webhooks (every release)</w:t>
            </w:r>
          </w:p>
        </w:tc>
        <w:tc>
          <w:tcPr>
            <w:tcW w:type="dxa" w:w="272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 double charge</w:t>
            </w:r>
          </w:p>
        </w:tc>
        <w:tc>
          <w:tcPr>
            <w:tcW w:type="dxa" w:w="374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2 duplicates ignored, 1 forged rejected</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Model failure and kill switch</w:t>
            </w:r>
          </w:p>
        </w:tc>
        <w:tc>
          <w:tcPr>
            <w:tcW w:type="dxa" w:w="272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Cases continue on rules</w:t>
            </w:r>
          </w:p>
        </w:tc>
        <w:tc>
          <w:tcPr>
            <w:tcW w:type="dxa" w:w="374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Rules-only at once; banner shown</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PII canary test (every release)</w:t>
            </w:r>
          </w:p>
        </w:tc>
        <w:tc>
          <w:tcPr>
            <w:tcW w:type="dxa" w:w="2721"/>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No canary reaches the model</w:t>
            </w:r>
          </w:p>
        </w:tc>
        <w:tc>
          <w:tcPr>
            <w:tcW w:type="dxa" w:w="3742"/>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10 of 10 removed; 0 in logs</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Restore from backup (monthly); DR failover (twice a year)</w:t>
            </w:r>
          </w:p>
        </w:tc>
        <w:tc>
          <w:tcPr>
            <w:tcW w:type="dxa" w:w="2721"/>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Within RTO and RPO</w:t>
            </w:r>
          </w:p>
        </w:tc>
        <w:tc>
          <w:tcPr>
            <w:tcW w:type="dxa" w:w="3742"/>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Not exercised</w:t>
            </w:r>
          </w:p>
        </w:tc>
      </w:tr>
    </w:tbl>
    <w:p>
      <w:pPr>
        <w:spacing w:before="0" w:after="80"/>
      </w:pPr>
    </w:p>
    <w:p>
      <w:pPr>
        <w:pStyle w:val="Heading2"/>
        <w:keepNext/>
        <w:spacing w:before="240" w:after="100"/>
      </w:pPr>
      <w:r>
        <w:rPr>
          <w:rFonts w:ascii="Arial" w:hAnsi="Arial" w:cs="Arial" w:eastAsia="Arial"/>
          <w:b/>
          <w:i w:val="0"/>
          <w:color w:val="0B3C7A"/>
          <w:sz w:val="24"/>
        </w:rPr>
        <w:t>9.3  Capacity and phases</w:t>
      </w:r>
    </w:p>
    <w:p>
      <w:pPr>
        <w:spacing w:before="0" w:after="120" w:line="276" w:lineRule="auto"/>
      </w:pPr>
      <w:r>
        <w:rPr>
          <w:rFonts w:ascii="Arial" w:hAnsi="Arial" w:cs="Arial" w:eastAsia="Arial"/>
          <w:b w:val="0"/>
          <w:i w:val="0"/>
          <w:sz w:val="20"/>
        </w:rPr>
        <w:t>At 10 million citizens and 100,000 consultations a day, with 15% in the peak hour and about 12 requests per journey, the peak is roughly 50 requests a second; I size for 500, and for 2,000 concurrent USSD sessions. That is about 70 times the rate of the earlier Babyl service in Rwanda (3.5 million consultations in seven years). Three data nodes (16 cores, 128 GB), three application nodes, an edge pair, two AI nodes on CPU and two operations nodes per site are enough to start, with dual power, UPS and redundant links because outages are expected. Scaling goes vertical first, then more instances, then read replicas, then regional partitioning, each triggered by an SLO or saturation alert.</w:t>
      </w:r>
    </w:p>
    <w:tbl>
      <w:tblPr>
        <w:tblW w:type="auto" w:w="0"/>
        <w:tblLayout w:type="fixed"/>
        <w:tblLook w:firstColumn="1" w:firstRow="1" w:lastColumn="0" w:lastRow="0" w:noHBand="0" w:noVBand="1" w:val="04A0"/>
        <w:tblW w:w="9639" w:type="dxa"/>
        <w:tblLayout w:type="fixed"/>
      </w:tblPr>
      <w:tblGrid>
        <w:gridCol w:w="1474"/>
        <w:gridCol w:w="1474"/>
        <w:gridCol w:w="4535"/>
        <w:gridCol w:w="2154"/>
      </w:tblGrid>
      <w:tr>
        <w:trPr>
          <w:cantSplit/>
          <w:tblHeader/>
        </w:trPr>
        <w:tc>
          <w:tcPr>
            <w:tcW w:type="dxa" w:w="147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Phase</w:t>
            </w:r>
          </w:p>
        </w:tc>
        <w:tc>
          <w:tcPr>
            <w:tcW w:type="dxa" w:w="147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When</w:t>
            </w:r>
          </w:p>
        </w:tc>
        <w:tc>
          <w:tcPr>
            <w:tcW w:type="dxa" w:w="45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Scope</w:t>
            </w:r>
          </w:p>
        </w:tc>
        <w:tc>
          <w:tcPr>
            <w:tcW w:type="dxa" w:w="2154"/>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7"/>
              </w:rPr>
              <w:t>Exit</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0 Foundations</w:t>
            </w:r>
          </w:p>
        </w:tc>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Weeks 0 to 6</w:t>
            </w:r>
          </w:p>
        </w:tc>
        <w:tc>
          <w:tcPr>
            <w:tcW w:type="dxa" w:w="45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Environments, pipeline, HA data tier, observability, IremboAccount and IremboPay sandboxes, profiles</w:t>
            </w:r>
          </w:p>
        </w:tc>
        <w:tc>
          <w:tcPr>
            <w:tcW w:type="dxa" w:w="215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Failover and restore game days pass</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1 Pilot</w:t>
            </w:r>
          </w:p>
        </w:tc>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Weeks 6 to 16</w:t>
            </w:r>
          </w:p>
        </w:tc>
        <w:tc>
          <w:tcPr>
            <w:tcW w:type="dxa" w:w="45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Web and USSD, rules triage, pilot health centres on eBuzima and their district hospital's OpenMRS, audit</w:t>
            </w:r>
          </w:p>
        </w:tc>
        <w:tc>
          <w:tcPr>
            <w:tcW w:type="dxa" w:w="215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SLOs met four weeks running</w:t>
            </w:r>
          </w:p>
        </w:tc>
      </w:tr>
      <w:tr>
        <w:trPr>
          <w:cantSplit/>
        </w:trPr>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7"/>
              </w:rPr>
              <w:t>2 Regional</w:t>
            </w:r>
          </w:p>
        </w:tc>
        <w:tc>
          <w:tcPr>
            <w:tcW w:type="dxa" w:w="147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Months 4 to 9</w:t>
            </w:r>
          </w:p>
        </w:tc>
        <w:tc>
          <w:tcPr>
            <w:tcW w:type="dxa" w:w="45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More facilities, identity matching at scale, reconciliation, AI in shadow mode</w:t>
            </w:r>
          </w:p>
        </w:tc>
        <w:tc>
          <w:tcPr>
            <w:tcW w:type="dxa" w:w="2154"/>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7"/>
              </w:rPr>
              <w:t>Match precision above 99.9%</w:t>
            </w:r>
          </w:p>
        </w:tc>
      </w:tr>
      <w:tr>
        <w:trPr>
          <w:cantSplit/>
        </w:trPr>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7"/>
              </w:rPr>
              <w:t>3 National</w:t>
            </w:r>
          </w:p>
        </w:tc>
        <w:tc>
          <w:tcPr>
            <w:tcW w:type="dxa" w:w="147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Months 9 to 15</w:t>
            </w:r>
          </w:p>
        </w:tc>
        <w:tc>
          <w:tcPr>
            <w:tcW w:type="dxa" w:w="45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Full capacity, live DR site, AI pilot with human review, stateless tier on Kubernetes when ready</w:t>
            </w:r>
          </w:p>
        </w:tc>
        <w:tc>
          <w:tcPr>
            <w:tcW w:type="dxa" w:w="2154"/>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7"/>
              </w:rPr>
              <w:t>Clinical sign-off on AI gates; DR meets targets</w:t>
            </w:r>
          </w:p>
        </w:tc>
      </w:tr>
    </w:tbl>
    <w:p>
      <w:pPr>
        <w:spacing w:before="0" w:after="80"/>
      </w:pPr>
    </w:p>
    <w:p>
      <w:pPr>
        <w:sectPr>
          <w:pgSz w:w="11906" w:h="16838"/>
          <w:pgMar w:top="1000" w:right="1134" w:bottom="1000" w:left="1134" w:header="708" w:footer="500" w:gutter="0"/>
          <w:pgNumType/>
          <w:docGrid w:linePitch="360"/>
        </w:sectPr>
      </w:pPr>
    </w:p>
    <w:p>
      <w:pPr>
        <w:keepNext/>
        <w:spacing w:before="40" w:after="0"/>
        <w:jc w:val="center"/>
      </w:pPr>
      <w:r>
        <w:drawing>
          <wp:inline xmlns:a="http://schemas.openxmlformats.org/drawingml/2006/main" xmlns:pic="http://schemas.openxmlformats.org/drawingml/2006/picture">
            <wp:extent cx="8454915" cy="5544000"/>
            <wp:docPr id="16" name="Picture 1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8454915" cy="5544000"/>
                    </a:xfrm>
                    <a:prstGeom prst="rect"/>
                  </pic:spPr>
                </pic:pic>
              </a:graphicData>
            </a:graphic>
          </wp:inline>
        </w:drawing>
      </w:r>
    </w:p>
    <w:p>
      <w:pPr>
        <w:spacing w:before="80" w:after="200"/>
        <w:jc w:val="center"/>
      </w:pPr>
      <w:r>
        <w:rPr>
          <w:rFonts w:ascii="Arial" w:hAnsi="Arial" w:cs="Arial" w:eastAsia="Arial"/>
          <w:b w:val="0"/>
          <w:i/>
          <w:color w:val="4A5568"/>
          <w:sz w:val="18"/>
        </w:rPr>
        <w:t>Figure 16. Observability and alerting.</w:t>
      </w:r>
    </w:p>
    <w:p>
      <w:pPr>
        <w:sectPr>
          <w:pgSz w:w="16838" w:h="11906" w:orient="landscape"/>
          <w:pgMar w:top="1000" w:right="1134" w:bottom="1000" w:left="1134" w:header="708" w:footer="500" w:gutter="0"/>
          <w:pgNumType/>
          <w:docGrid w:linePitch="360"/>
        </w:sectPr>
      </w:pPr>
    </w:p>
    <w:p>
      <w:pPr>
        <w:pStyle w:val="Heading1"/>
        <w:keepNext/>
        <w:spacing w:before="320" w:after="160"/>
        <w:pBdr>
          <w:bottom w:val="single" w:sz="8" w:space="4" w:color="0B5CC0"/>
        </w:pBdr>
      </w:pPr>
      <w:r>
        <w:rPr>
          <w:rFonts w:ascii="Arial" w:hAnsi="Arial" w:cs="Arial" w:eastAsia="Arial"/>
          <w:b/>
          <w:i w:val="0"/>
          <w:color w:val="0B3C7A"/>
          <w:sz w:val="32"/>
        </w:rPr>
        <w:t>10  Open questions for Irembo</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Do IremboAccount and IremboPay offer the interfaces in A1 and A2, and how does a new service onboard to IremboHub?</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Can TeleClinic get eBuzima API access, a sandbox and a data-sharing agreement, and which hospitals run OpenMRS?</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Which national FHIR profiles and identifier systems apply, and can TeleClinic join the exchange as an OpenHIM client?</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Does the data center offer three fault domains or a witness site?</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Which triage protocol is approved, and who is the clinical safety owner?</w:t>
      </w:r>
    </w:p>
    <w:p>
      <w:pPr>
        <w:spacing w:before="0" w:after="60" w:line="276" w:lineRule="auto"/>
        <w:ind w:left="340" w:hanging="227"/>
      </w:pPr>
      <w:r>
        <w:rPr>
          <w:rFonts w:ascii="Arial" w:hAnsi="Arial" w:cs="Arial" w:eastAsia="Arial"/>
          <w:b w:val="0"/>
          <w:i w:val="0"/>
          <w:sz w:val="20"/>
        </w:rPr>
        <w:t xml:space="preserve">•  </w:t>
      </w:r>
      <w:r>
        <w:rPr>
          <w:rFonts w:ascii="Arial" w:hAnsi="Arial" w:cs="Arial" w:eastAsia="Arial"/>
          <w:b w:val="0"/>
          <w:i w:val="0"/>
          <w:sz w:val="20"/>
        </w:rPr>
        <w:t>How should TeleClinic bookings relate to appointments in the eBuzima patient app?</w:t>
      </w:r>
    </w:p>
    <w:p>
      <w:pPr>
        <w:pStyle w:val="Heading1"/>
        <w:keepNext/>
        <w:spacing w:before="320" w:after="160"/>
        <w:pBdr>
          <w:bottom w:val="single" w:sz="8" w:space="4" w:color="0B5CC0"/>
        </w:pBdr>
      </w:pPr>
      <w:r>
        <w:rPr>
          <w:rFonts w:ascii="Arial" w:hAnsi="Arial" w:cs="Arial" w:eastAsia="Arial"/>
          <w:b/>
          <w:i w:val="0"/>
          <w:color w:val="0B3C7A"/>
          <w:sz w:val="32"/>
        </w:rPr>
        <w:t>Appendix A  What was built and measured</w:t>
      </w:r>
    </w:p>
    <w:p>
      <w:pPr>
        <w:spacing w:before="0" w:after="120" w:line="276" w:lineRule="auto"/>
      </w:pPr>
      <w:r>
        <w:rPr>
          <w:rFonts w:ascii="Arial" w:hAnsi="Arial" w:cs="Arial" w:eastAsia="Arial"/>
          <w:b w:val="0"/>
          <w:i w:val="0"/>
          <w:sz w:val="20"/>
        </w:rPr>
        <w:t>A reference implementation runs this design with Docker Compose on one machine, and the same stack is online at https://app.teleclinic-demo.dev for review. Each scene is a script that passes or fails and prints what it measured; all data is synthetic. Real components: the core (Java 21, Spring Boot 3, Spring Modulith), HAProxy, APISIX, PostgreSQL 16 with Patroni and three etcd members, Kafka KRaft with three brokers, Valkey, the USSD gateway, OpenFn Lightning, OpenMRS O3, Presidio, ONNX Runtime, pgAudit, Prometheus and Grafana. eBuzima is represented by its public stack (ERPNext with the Frappe Healthcare app, a tenant per health centre), not the Ministry's instance. Stand-ins, labelled as such: Keycloak for IremboAccount, a mock for IremboPay and the insurance check, and a simulator for the phone, USSD aggregator, mobile money and SMS.</w:t>
      </w:r>
    </w:p>
    <w:tbl>
      <w:tblPr>
        <w:tblW w:type="auto" w:w="0"/>
        <w:tblLayout w:type="fixed"/>
        <w:tblLook w:firstColumn="1" w:firstRow="1" w:lastColumn="0" w:lastRow="0" w:noHBand="0" w:noVBand="1" w:val="04A0"/>
        <w:tblW w:w="9639" w:type="dxa"/>
        <w:tblLayout w:type="fixed"/>
      </w:tblPr>
      <w:tblGrid>
        <w:gridCol w:w="3175"/>
        <w:gridCol w:w="2835"/>
        <w:gridCol w:w="3628"/>
      </w:tblGrid>
      <w:tr>
        <w:trPr>
          <w:cantSplit/>
          <w:tblHeader/>
        </w:trPr>
        <w:tc>
          <w:tcPr>
            <w:tcW w:type="dxa" w:w="317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6"/>
              </w:rPr>
              <w:t>Scene</w:t>
            </w:r>
          </w:p>
        </w:tc>
        <w:tc>
          <w:tcPr>
            <w:tcW w:type="dxa" w:w="2835"/>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6"/>
              </w:rPr>
              <w:t>Command</w:t>
            </w:r>
          </w:p>
        </w:tc>
        <w:tc>
          <w:tcPr>
            <w:tcW w:type="dxa" w:w="3628"/>
            <w:tcBorders>
              <w:top w:val="single" w:sz="4" w:color="C5CBD3"/>
              <w:left w:val="single" w:sz="4" w:color="C5CBD3"/>
              <w:bottom w:val="single" w:sz="4" w:color="C5CBD3"/>
              <w:right w:val="single" w:sz="4" w:color="C5CBD3"/>
            </w:tcBorders>
            <w:shd w:val="clear" w:color="auto" w:fill="0B5CC0"/>
            <w:tcMar>
              <w:top w:w="50" w:type="dxa"/>
              <w:left w:w="90" w:type="dxa"/>
              <w:bottom w:w="50" w:type="dxa"/>
              <w:right w:w="90" w:type="dxa"/>
            </w:tcMar>
          </w:tcPr>
          <w:p>
            <w:pPr>
              <w:spacing w:before="0" w:after="20" w:line="240" w:lineRule="auto"/>
            </w:pPr>
            <w:r>
              <w:rPr>
                <w:rFonts w:ascii="Arial" w:hAnsi="Arial" w:cs="Arial" w:eastAsia="Arial"/>
                <w:b/>
                <w:i w:val="0"/>
                <w:color w:val="FFFFFF"/>
                <w:sz w:val="16"/>
              </w:rPr>
              <w:t>Result</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Web and USSD booking, guardian for a child, co-payment, SMS</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make journey; make ussd</w:t>
            </w:r>
          </w:p>
        </w:tc>
        <w:tc>
          <w:tcPr>
            <w:tcW w:type="dxa" w:w="36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Slowest USSD step 176 ms; longest screen 130 of 182 characters</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Webhook replayed twice and forged once</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make scenario-webhooks</w:t>
            </w:r>
          </w:p>
        </w:tc>
        <w:tc>
          <w:tcPr>
            <w:tcW w:type="dxa" w:w="362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One payment; forged webhook rejected (401)</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Clinician gate, kill switch, PII removal</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make clinician</w:t>
            </w:r>
          </w:p>
        </w:tc>
        <w:tc>
          <w:tcPr>
            <w:tcW w:type="dxa" w:w="36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Orders refused until review; 0 identifiers in AI-zone logs</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Leader killed; leader partitioned</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make scenario-kill-db-leader; make scenario-partition</w:t>
            </w:r>
          </w:p>
        </w:tc>
        <w:tc>
          <w:tcPr>
            <w:tcW w:type="dxa" w:w="362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16.8 to 21.3 s, 0 lost; never two leaders</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Sync with eBuzima and OpenMRS; EMR offline</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make scenario-sync; make scenario-emr-offline</w:t>
            </w:r>
          </w:p>
        </w:tc>
        <w:tc>
          <w:tcPr>
            <w:tcW w:type="dxa" w:w="36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p95 3.8 s and 2.3 s; echoes dropped; writes arrived once, in order</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Identity review, link, unlink, block, auto-link</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make scenario-identity</w:t>
            </w:r>
          </w:p>
        </w:tc>
        <w:tc>
          <w:tcPr>
            <w:tcW w:type="dxa" w:w="362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Bands as designed; write-back and its removal audited</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Release under load; bad build</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make release; make release-bad</w:t>
            </w:r>
          </w:p>
        </w:tc>
        <w:tc>
          <w:tcPr>
            <w:tcW w:type="dxa" w:w="36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1,181 requests, 0 failed; bad build rolled back</w:t>
            </w:r>
          </w:p>
        </w:tc>
      </w:tr>
      <w:tr>
        <w:trPr>
          <w:cantSplit/>
        </w:trPr>
        <w:tc>
          <w:tcPr>
            <w:tcW w:type="dxa" w:w="317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i w:val="0"/>
                <w:sz w:val="16"/>
              </w:rPr>
              <w:t>Purpose of use, consent, tamper check</w:t>
            </w:r>
          </w:p>
        </w:tc>
        <w:tc>
          <w:tcPr>
            <w:tcW w:type="dxa" w:w="2835"/>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make audit; make scenario-tamper</w:t>
            </w:r>
          </w:p>
        </w:tc>
        <w:tc>
          <w:tcPr>
            <w:tcW w:type="dxa" w:w="3628"/>
            <w:tcBorders>
              <w:top w:val="single" w:sz="4" w:color="C5CBD3"/>
              <w:left w:val="single" w:sz="4" w:color="C5CBD3"/>
              <w:bottom w:val="single" w:sz="4" w:color="C5CBD3"/>
              <w:right w:val="single" w:sz="4" w:color="C5CBD3"/>
            </w:tcBorders>
            <w:shd w:val="clear" w:color="auto" w:fill="F4F7FB"/>
            <w:tcMar>
              <w:top w:w="50" w:type="dxa"/>
              <w:left w:w="90" w:type="dxa"/>
              <w:bottom w:w="50" w:type="dxa"/>
              <w:right w:w="90" w:type="dxa"/>
            </w:tcMar>
          </w:tcPr>
          <w:p>
            <w:pPr>
              <w:spacing w:before="0" w:after="20" w:line="240" w:lineRule="auto"/>
            </w:pPr>
            <w:r>
              <w:rPr>
                <w:rFonts w:ascii="Arial" w:hAnsi="Arial" w:cs="Arial" w:eastAsia="Arial"/>
                <w:b w:val="0"/>
                <w:i w:val="0"/>
                <w:sz w:val="16"/>
              </w:rPr>
              <w:t>Edited entry found and attributed; alert after about 10 s</w:t>
            </w:r>
          </w:p>
        </w:tc>
      </w:tr>
      <w:tr>
        <w:trPr>
          <w:cantSplit/>
        </w:trPr>
        <w:tc>
          <w:tcPr>
            <w:tcW w:type="dxa" w:w="317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i w:val="0"/>
                <w:sz w:val="16"/>
              </w:rPr>
              <w:t>Capacity and a noisy client</w:t>
            </w:r>
          </w:p>
        </w:tc>
        <w:tc>
          <w:tcPr>
            <w:tcW w:type="dxa" w:w="2835"/>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make capacity</w:t>
            </w:r>
          </w:p>
        </w:tc>
        <w:tc>
          <w:tcPr>
            <w:tcW w:type="dxa" w:w="3628"/>
            <w:tcBorders>
              <w:top w:val="single" w:sz="4" w:color="C5CBD3"/>
              <w:left w:val="single" w:sz="4" w:color="C5CBD3"/>
              <w:bottom w:val="single" w:sz="4" w:color="C5CBD3"/>
              <w:right w:val="single" w:sz="4" w:color="C5CBD3"/>
            </w:tcBorders>
            <w:tcMar>
              <w:top w:w="50" w:type="dxa"/>
              <w:left w:w="90" w:type="dxa"/>
              <w:bottom w:w="50" w:type="dxa"/>
              <w:right w:w="90" w:type="dxa"/>
            </w:tcMar>
          </w:tcPr>
          <w:p>
            <w:pPr>
              <w:spacing w:before="0" w:after="20" w:line="240" w:lineRule="auto"/>
            </w:pPr>
            <w:r>
              <w:rPr>
                <w:rFonts w:ascii="Arial" w:hAnsi="Arial" w:cs="Arial" w:eastAsia="Arial"/>
                <w:b w:val="0"/>
                <w:i w:val="0"/>
                <w:sz w:val="16"/>
              </w:rPr>
              <w:t>100 intakes/s + 4 USSD sessions/s, 0 failed; noisy client held to its quota</w:t>
            </w:r>
          </w:p>
        </w:tc>
      </w:tr>
    </w:tbl>
    <w:p>
      <w:pPr>
        <w:spacing w:before="0" w:after="80"/>
      </w:pPr>
    </w:p>
    <w:p>
      <w:pPr>
        <w:spacing w:before="0" w:after="120" w:line="276" w:lineRule="auto"/>
      </w:pPr>
      <w:r>
        <w:rPr>
          <w:rFonts w:ascii="Arial" w:hAnsi="Arial" w:cs="Arial" w:eastAsia="Arial"/>
          <w:b w:val="0"/>
          <w:i w:val="0"/>
          <w:sz w:val="19"/>
        </w:rPr>
        <w:t>Differences from production: one machine instead of three fault domains, PostgreSQL 16 instead of 17, one Valkey node, no Keepalived, metrics without log and trace stores, and no write-once archive. Only what runs is claimed as built; everything else is design.</w:t>
      </w:r>
    </w:p>
    <w:p>
      <w:pPr>
        <w:pStyle w:val="Heading1"/>
        <w:keepNext/>
        <w:spacing w:before="320" w:after="160"/>
        <w:pBdr>
          <w:bottom w:val="single" w:sz="8" w:space="4" w:color="0B5CC0"/>
        </w:pBdr>
      </w:pPr>
      <w:r>
        <w:rPr>
          <w:rFonts w:ascii="Arial" w:hAnsi="Arial" w:cs="Arial" w:eastAsia="Arial"/>
          <w:b/>
          <w:i w:val="0"/>
          <w:color w:val="0B3C7A"/>
          <w:sz w:val="32"/>
        </w:rPr>
        <w:t>Appendix B  Sources on the Rwandan context</w:t>
      </w:r>
    </w:p>
    <w:p>
      <w:pPr>
        <w:spacing w:before="0" w:after="60" w:line="276" w:lineRule="auto"/>
      </w:pPr>
      <w:r>
        <w:rPr>
          <w:rFonts w:ascii="Arial" w:hAnsi="Arial" w:cs="Arial" w:eastAsia="Arial"/>
          <w:b w:val="0"/>
          <w:i w:val="0"/>
          <w:sz w:val="18"/>
        </w:rPr>
        <w:t>Rwanda Biomedical Centre at ICAP CQUIN, April 2026: Rwanda's Digital Health Transformation: the eBuzima EMR System.</w:t>
      </w:r>
    </w:p>
    <w:p>
      <w:pPr>
        <w:spacing w:before="0" w:after="60" w:line="276" w:lineRule="auto"/>
      </w:pPr>
      <w:r>
        <w:rPr>
          <w:rFonts w:ascii="Arial" w:hAnsi="Arial" w:cs="Arial" w:eastAsia="Arial"/>
          <w:b w:val="0"/>
          <w:i w:val="0"/>
          <w:sz w:val="18"/>
        </w:rPr>
        <w:t>Resolve to Save Lives, July 2026: How Rwanda is delivering better health outcomes with digital tools (eBuzima in about 70% of roughly 500 health centres).</w:t>
      </w:r>
    </w:p>
    <w:p>
      <w:pPr>
        <w:spacing w:before="0" w:after="60" w:line="276" w:lineRule="auto"/>
      </w:pPr>
      <w:r>
        <w:rPr>
          <w:rFonts w:ascii="Arial" w:hAnsi="Arial" w:cs="Arial" w:eastAsia="Arial"/>
          <w:b w:val="0"/>
          <w:i w:val="0"/>
          <w:sz w:val="18"/>
        </w:rPr>
        <w:t>TechCabal, April 2025: Rwanda hopes to ditch paper health records with e-Ubuzima rollout.</w:t>
      </w:r>
    </w:p>
    <w:p>
      <w:pPr>
        <w:spacing w:before="0" w:after="60" w:line="276" w:lineRule="auto"/>
      </w:pPr>
      <w:r>
        <w:rPr>
          <w:rFonts w:ascii="Arial" w:hAnsi="Arial" w:cs="Arial" w:eastAsia="Arial"/>
          <w:b w:val="0"/>
          <w:i w:val="0"/>
          <w:sz w:val="18"/>
        </w:rPr>
        <w:t>OpenHIE and Regenstrief Institute: Connecting the dots: Rwanda's digital healthcare revolution (OpenHIM, shared health record, NIDA, CRVS, UPI).</w:t>
      </w:r>
    </w:p>
    <w:p>
      <w:pPr>
        <w:spacing w:before="0" w:after="60" w:line="276" w:lineRule="auto"/>
      </w:pPr>
      <w:r>
        <w:rPr>
          <w:rFonts w:ascii="Arial" w:hAnsi="Arial" w:cs="Arial" w:eastAsia="Arial"/>
          <w:b w:val="0"/>
          <w:i w:val="0"/>
          <w:sz w:val="18"/>
        </w:rPr>
        <w:t>RHIES client registry documentation: the HAPI FHIR client registry of the Rwanda health information exchange.</w:t>
      </w:r>
    </w:p>
    <w:sectPr>
      <w:pgSz w:w="11906" w:h="16838"/>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