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Arial" w:cs="Arial" w:eastAsia="Arial" w:hAnsi="Arial"/>
          <w:b/>
          <w:bCs/>
          <w:color w:val="1F4E79"/>
          <w:sz w:val="48"/>
          <w:szCs w:val="48"/>
        </w:rPr>
        <w:t xml:space="preserve">RTDL v2.4/v2.5 Critical Review</w:t>
      </w:r>
    </w:p>
    <w:p>
      <w:pPr>
        <w:spacing w:after="80" w:before="0"/>
      </w:pPr>
      <w:r>
        <w:rPr>
          <w:rFonts w:ascii="Arial" w:cs="Arial" w:eastAsia="Arial" w:hAnsi="Arial"/>
          <w:i/>
          <w:iCs/>
          <w:color w:val="444444"/>
          <w:sz w:val="26"/>
          <w:szCs w:val="26"/>
        </w:rPr>
        <w:t xml:space="preserve">Goal2684 — Independent Architecture Review</w:t>
      </w:r>
    </w:p>
    <w:p>
      <w:pPr>
        <w:spacing w:after="320" w:before="0"/>
      </w:pPr>
      <w:r>
        <w:rPr>
          <w:rFonts w:ascii="Courier New" w:cs="Courier New" w:eastAsia="Courier New" w:hAnsi="Courier New"/>
          <w:color w:val="555555"/>
          <w:sz w:val="18"/>
          <w:szCs w:val="18"/>
        </w:rPr>
        <w:t xml:space="preserve">Reviewed commit: 121431432d414ece1dd4e7b95f5e9faa6f80eab5   ·   Date: 2026-05-28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Verdict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55A11"/>
                <w:sz w:val="20"/>
                <w:szCs w:val="20"/>
              </w:rPr>
              <w:t xml:space="preserve">ACCEPT WITH FIXES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Blocking issues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Non-blocking issues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7030A0"/>
                <w:sz w:val="20"/>
                <w:szCs w:val="20"/>
              </w:rPr>
              <w:t xml:space="preserve">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Goal2684 direction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CORRECT — proceed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Public speedup claim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NOT AUTHORIZED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Release tag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00000"/>
                <w:sz w:val="20"/>
                <w:szCs w:val="20"/>
              </w:rPr>
              <w:t xml:space="preserve">NOT AUTHORIZED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GPU validation (Goal2683)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75623"/>
                <w:sz w:val="20"/>
                <w:szCs w:val="20"/>
              </w:rPr>
              <w:t xml:space="preserve">Correctness PASS on NVIDIA L4</w:t>
            </w:r>
          </w:p>
        </w:tc>
      </w:tr>
    </w:tbl>
    <w:p>
      <w:pPr>
        <w:spacing w:after="240" w:before="0"/>
      </w:pPr>
    </w:p>
    <w:p>
      <w:pPr>
        <w:pStyle w:val="Heading1"/>
        <w:spacing w:after="160" w:before="320"/>
      </w:pPr>
      <w:r>
        <w:rPr>
          <w:rFonts w:ascii="Arial" w:cs="Arial" w:eastAsia="Arial" w:hAnsi="Arial"/>
          <w:b/>
          <w:bCs/>
          <w:sz w:val="32"/>
          <w:szCs w:val="32"/>
        </w:rPr>
        <w:t xml:space="preserve">1. Verdict</w:t>
      </w:r>
    </w:p>
    <w:p>
      <w:pPr>
        <w:shd w:fill="FFF9E6" w:val="clear"/>
        <w:spacing w:after="160" w:before="160"/>
      </w:pPr>
      <w:r>
        <w:rPr>
          <w:rFonts w:ascii="Arial" w:cs="Arial" w:eastAsia="Arial" w:hAnsi="Arial"/>
          <w:b/>
          <w:bCs/>
          <w:color w:val="C55A11"/>
          <w:sz w:val="28"/>
          <w:szCs w:val="28"/>
        </w:rPr>
        <w:t xml:space="preserve">VERDICT: </w:t>
      </w:r>
      <w:r>
        <w:rPr>
          <w:rFonts w:ascii="Arial" w:cs="Arial" w:eastAsia="Arial" w:hAnsi="Arial"/>
          <w:b/>
          <w:bCs/>
          <w:color w:val="C55A11"/>
          <w:sz w:val="28"/>
          <w:szCs w:val="28"/>
        </w:rPr>
        <w:t xml:space="preserve">accept_with_fixes</w:t>
      </w:r>
    </w:p>
    <w:p>
      <w:pPr>
        <w:spacing w:after="80" w:before="80"/>
      </w:pPr>
      <w:r>
        <w:rPr>
          <w:rFonts w:ascii="Arial" w:cs="Arial" w:eastAsia="Arial" w:hAnsi="Arial"/>
          <w:sz w:val="22"/>
          <w:szCs w:val="22"/>
        </w:rPr>
        <w:t xml:space="preserve">The v2.4/v2.5 work is architecturally sound on its principal axes: RT traversal stays native, Triton owns post-RT continuation, and app semantics are kept outside the engine. The contract machinery (RtdlBufferDescriptor, RtdlPreparedSessionDescriptor, RtdlPartnerContinuationSpec) is well-guarded, the forbidden-vocab enforcement is active, and the GPU evidence is honest about performance. Two blocking issues must be resolved before continuing to Goal2684. Six non-blocking issues should be addressed but are not stoppers.</w:t>
      </w:r>
    </w:p>
    <w:p>
      <w:pPr>
        <w:pStyle w:val="Heading1"/>
        <w:spacing w:after="160" w:before="320"/>
      </w:pPr>
      <w:r>
        <w:rPr>
          <w:rFonts w:ascii="Arial" w:cs="Arial" w:eastAsia="Arial" w:hAnsi="Arial"/>
          <w:b/>
          <w:bCs/>
          <w:sz w:val="32"/>
          <w:szCs w:val="32"/>
        </w:rPr>
        <w:t xml:space="preserve">2. Blocking Issues</w:t>
      </w:r>
    </w:p>
    <w:p>
      <w:pPr>
        <w:pStyle w:val="Heading2"/>
        <w:spacing w:after="120" w:before="240"/>
      </w:pPr>
      <w:r>
        <w:rPr>
          <w:rFonts w:ascii="Arial" w:cs="Arial" w:eastAsia="Arial" w:hAnsi="Arial"/>
          <w:b/>
          <w:bCs/>
          <w:sz w:val="28"/>
          <w:szCs w:val="28"/>
        </w:rPr>
        <w:t xml:space="preserve">B1 — Stale V2_5_PREVIEW_CUDA_EXECUTION_VALIDATED Flag</w:t>
      </w:r>
    </w:p>
    <w:p>
      <w:pPr>
        <w:spacing w:after="80" w:before="80"/>
      </w:pPr>
      <w:r>
        <w:rPr>
          <w:rFonts w:ascii="Arial" w:cs="Arial" w:eastAsia="Arial" w:hAnsi="Arial"/>
          <w:sz w:val="22"/>
          <w:szCs w:val="22"/>
        </w:rPr>
        <w:t xml:space="preserve">File: src/rtdsl/partner_continuation_protocol.py, line 45</w:t>
      </w:r>
    </w:p>
    <w:p>
      <w:pPr>
        <w:spacing w:after="60" w:before="60"/>
        <w:ind w:left="360"/>
      </w:pPr>
      <w:r>
        <w:rPr>
          <w:rFonts w:ascii="Courier New" w:cs="Courier New" w:eastAsia="Courier New" w:hAnsi="Courier New"/>
          <w:color w:val="1A1A1A"/>
          <w:sz w:val="20"/>
          <w:szCs w:val="20"/>
          <w:shd w:fill="F2F2F2" w:val="clear"/>
        </w:rPr>
        <w:t xml:space="preserve">V2_5_PREVIEW_CUDA_EXECUTION_VALIDATED = False</w:t>
      </w:r>
    </w:p>
    <w:p>
      <w:pPr>
        <w:spacing w:after="80" w:before="80"/>
      </w:pPr>
      <w:r>
        <w:rPr>
          <w:rFonts w:ascii="Arial" w:cs="Arial" w:eastAsia="Arial" w:hAnsi="Arial"/>
          <w:sz w:val="22"/>
          <w:szCs w:val="22"/>
        </w:rPr>
        <w:t xml:space="preserve">Goal2683 ran all seven generic continuation operations on an NVIDIA L4 and returned correctness=pass. The flag still reads False. This is not a nitpick: the flag is consumed by v2_5_partner_preview_gate() and validate_v2_5_partner_preview_gate(), which checks it at line 327:</w:t>
      </w:r>
    </w:p>
    <w:p>
      <w:pPr>
        <w:spacing w:after="60" w:before="60"/>
        <w:ind w:left="360"/>
      </w:pPr>
      <w:r>
        <w:rPr>
          <w:rFonts w:ascii="Courier New" w:cs="Courier New" w:eastAsia="Courier New" w:hAnsi="Courier New"/>
          <w:color w:val="1A1A1A"/>
          <w:sz w:val="20"/>
          <w:szCs w:val="20"/>
          <w:shd w:fill="F2F2F2" w:val="clear"/>
        </w:rPr>
        <w:t xml:space="preserve">if gate.get("cuda_execution_validated") is not False:</w:t>
      </w:r>
    </w:p>
    <w:p>
      <w:pPr>
        <w:spacing w:after="60" w:before="60"/>
        <w:ind w:left="360"/>
      </w:pPr>
      <w:r>
        <w:rPr>
          <w:rFonts w:ascii="Courier New" w:cs="Courier New" w:eastAsia="Courier New" w:hAnsi="Courier New"/>
          <w:color w:val="1A1A1A"/>
          <w:sz w:val="20"/>
          <w:szCs w:val="20"/>
          <w:shd w:fill="F2F2F2" w:val="clear"/>
        </w:rPr>
        <w:t xml:space="preserve">    errors.append("local preview must not claim CUDA execution validation")</w:t>
      </w:r>
    </w:p>
    <w:p>
      <w:pPr>
        <w:spacing w:after="80" w:before="80"/>
      </w:pPr>
      <w:r>
        <w:rPr>
          <w:rFonts w:ascii="Arial" w:cs="Arial" w:eastAsia="Arial" w:hAnsi="Arial"/>
          <w:sz w:val="22"/>
          <w:szCs w:val="22"/>
        </w:rPr>
        <w:t xml:space="preserve">The validator is now actively asserting something false: that CUDA execution has NOT been validated. Any downstream gate that reads validate_v2_5_partner_preview_gate() will report an incorrect internal state. Either split the flag into cuda_execution_validated (now True, set by Goal2683) and benchmark_integration_validated (still False), or add a new constant V2_5_GOAL2683_CUDA_VALIDATION_COMPLETE = True and update the gate. Do not simply flip the existing flag without splitting it, because the benchmark integration genuinely remains incomplete.</w:t>
      </w:r>
    </w:p>
    <w:p>
      <w:pPr>
        <w:spacing w:after="80" w:before="80"/>
      </w:pPr>
      <w:r>
        <w:rPr>
          <w:rFonts w:ascii="Arial" w:cs="Arial" w:eastAsia="Arial" w:hAnsi="Arial"/>
          <w:sz w:val="22"/>
          <w:szCs w:val="22"/>
        </w:rPr>
        <w:t xml:space="preserve">Required fix: split the concept, update the gate, add a test that the Goal2683 pod result can be imported and validates correctly.</w:t>
      </w:r>
    </w:p>
    <w:p>
      <w:pPr>
        <w:pStyle w:val="Heading2"/>
        <w:spacing w:after="120" w:before="240"/>
      </w:pPr>
      <w:r>
        <w:rPr>
          <w:rFonts w:ascii="Arial" w:cs="Arial" w:eastAsia="Arial" w:hAnsi="Arial"/>
          <w:b/>
          <w:bCs/>
          <w:sz w:val="28"/>
          <w:szCs w:val="28"/>
        </w:rPr>
        <w:t xml:space="preserve">B2 — Undocumented Triton/Reference Semantics Divergence for Out-of-Bounds group_ids</w:t>
      </w:r>
    </w:p>
    <w:p>
      <w:pPr>
        <w:spacing w:after="80" w:before="80"/>
      </w:pPr>
      <w:r>
        <w:rPr>
          <w:rFonts w:ascii="Arial" w:cs="Arial" w:eastAsia="Arial" w:hAnsi="Arial"/>
          <w:sz w:val="22"/>
          <w:szCs w:val="22"/>
        </w:rPr>
        <w:t xml:space="preserve">Files: src/rtdsl/triton_partner_continuation.py (all kernels), src/rtdsl/partner_continuation_protocol.py (execute_v2_5_partner_continuation_reference)</w:t>
      </w:r>
    </w:p>
    <w:p>
      <w:pPr>
        <w:spacing w:after="80" w:before="80"/>
      </w:pPr>
      <w:r>
        <w:rPr>
          <w:rFonts w:ascii="Arial" w:cs="Arial" w:eastAsia="Arial" w:hAnsi="Arial"/>
          <w:sz w:val="22"/>
          <w:szCs w:val="22"/>
        </w:rPr>
        <w:t xml:space="preserve">The Python reference implementation calls _validate_group_id for every row, which raises ValueError when a group_id is negative or &gt;= group_count. Every Triton kernel silently drops out-of-bounds rows via a valid mask:</w:t>
      </w:r>
    </w:p>
    <w:p>
      <w:pPr>
        <w:spacing w:after="60" w:before="60"/>
        <w:ind w:left="360"/>
      </w:pPr>
      <w:r>
        <w:rPr>
          <w:rFonts w:ascii="Courier New" w:cs="Courier New" w:eastAsia="Courier New" w:hAnsi="Courier New"/>
          <w:color w:val="1A1A1A"/>
          <w:sz w:val="20"/>
          <w:szCs w:val="20"/>
          <w:shd w:fill="F2F2F2" w:val="clear"/>
        </w:rPr>
        <w:t xml:space="preserve">valid = mask &amp; (groups &gt;= 0) &amp; (groups &lt; group_count)</w:t>
      </w:r>
    </w:p>
    <w:p>
      <w:pPr>
        <w:spacing w:after="80" w:before="80"/>
      </w:pPr>
      <w:r>
        <w:rPr>
          <w:rFonts w:ascii="Arial" w:cs="Arial" w:eastAsia="Arial" w:hAnsi="Arial"/>
          <w:sz w:val="22"/>
          <w:szCs w:val="22"/>
        </w:rPr>
        <w:t xml:space="preserve">Silent discard is correct behavior for a GPU kernel (you cannot raise from inside a Triton kernel), but it is an undocumented contract divergence. A caller who sees ValueError from the reference in their test suite will receive silently wrong results from the Triton path in production if their group_ids have boundary issues.</w:t>
      </w:r>
    </w:p>
    <w:p>
      <w:pPr>
        <w:spacing w:after="80" w:before="80"/>
      </w:pPr>
      <w:r>
        <w:rPr>
          <w:rFonts w:ascii="Arial" w:cs="Arial" w:eastAsia="Arial" w:hAnsi="Arial"/>
          <w:sz w:val="22"/>
          <w:szCs w:val="22"/>
        </w:rPr>
        <w:t xml:space="preserve">This is a blocking contract correctness issue, not a style concern. The divergence is also present in run_triton_bounded_collect_finalize_i64: the pre-check (torch.any((group_ids &lt; 0) | (group_ids &gt;= group_count))) is done in _validate_group_run_shape, which would raise ValueError before the kernel runs. So bounded_collect already has consistent behavior. The gap is in segmented_count_i64, segmented_sum_f64, segmented_min_f64, segmented_max_f64, compact_mask_i64, and grouped_argmin_f64.</w:t>
      </w:r>
    </w:p>
    <w:p>
      <w:pPr>
        <w:spacing w:after="80" w:before="80"/>
      </w:pPr>
      <w:r>
        <w:rPr>
          <w:rFonts w:ascii="Arial" w:cs="Arial" w:eastAsia="Arial" w:hAnsi="Arial"/>
          <w:sz w:val="22"/>
          <w:szCs w:val="22"/>
        </w:rPr>
        <w:t xml:space="preserve">Required fix: document the Triton out-of-bounds contract explicitly in partner_continuation_protocol.py (add a contract note to each operation's behavior string or a module-level docstring), and add a test in tests/goal2662_v2_5_partner_continuation_contract_test.py that asserts the documented behavior for each backend.</w:t>
      </w:r>
    </w:p>
    <w:p>
      <w:pPr>
        <w:pStyle w:val="Heading1"/>
        <w:spacing w:after="160" w:before="320"/>
      </w:pPr>
      <w:r>
        <w:rPr>
          <w:rFonts w:ascii="Arial" w:cs="Arial" w:eastAsia="Arial" w:hAnsi="Arial"/>
          <w:b/>
          <w:bCs/>
          <w:sz w:val="32"/>
          <w:szCs w:val="32"/>
        </w:rPr>
        <w:t xml:space="preserve">3. Non-Blocking Issues</w:t>
      </w:r>
    </w:p>
    <w:p>
      <w:pPr>
        <w:pStyle w:val="Heading2"/>
        <w:spacing w:after="120" w:before="240"/>
      </w:pPr>
      <w:r>
        <w:rPr>
          <w:rFonts w:ascii="Arial" w:cs="Arial" w:eastAsia="Arial" w:hAnsi="Arial"/>
          <w:b/>
          <w:bCs/>
          <w:sz w:val="28"/>
          <w:szCs w:val="28"/>
        </w:rPr>
        <w:t xml:space="preserve">NB1 — grouped_argmin_f64 Two-Pass Tie-Break Race</w:t>
      </w:r>
    </w:p>
    <w:p>
      <w:pPr>
        <w:spacing w:after="80" w:before="80"/>
      </w:pPr>
      <w:r>
        <w:rPr>
          <w:rFonts w:ascii="Arial" w:cs="Arial" w:eastAsia="Arial" w:hAnsi="Arial"/>
          <w:sz w:val="22"/>
          <w:szCs w:val="22"/>
        </w:rPr>
        <w:t xml:space="preserve">File: src/rtdsl/triton_partner_continuation.py, run_triton_grouped_argmin_f64</w:t>
      </w:r>
    </w:p>
    <w:p>
      <w:pPr>
        <w:spacing w:after="80" w:before="80"/>
      </w:pPr>
      <w:r>
        <w:rPr>
          <w:rFonts w:ascii="Arial" w:cs="Arial" w:eastAsia="Arial" w:hAnsi="Arial"/>
          <w:sz w:val="22"/>
          <w:szCs w:val="22"/>
        </w:rPr>
        <w:t xml:space="preserve">The implementation uses two sequential Triton kernels: first kernel writes the best score per group via atomic_min, second kernel does a second pass to atomic_min the item_id for rows whose score == dense_scores[group]. Float equality comparison after two separate atomic passes is fragile. If thread scheduling produces an interleaving where the second kernel's load of dense_scores sees a partially updated state, or if two rows have exactly equal floating-point scores and race on atomic_min, the tie-break item_id could be non-deterministic.</w:t>
      </w:r>
    </w:p>
    <w:p>
      <w:pPr>
        <w:spacing w:after="80" w:before="80"/>
      </w:pPr>
      <w:r>
        <w:rPr>
          <w:rFonts w:ascii="Arial" w:cs="Arial" w:eastAsia="Arial" w:hAnsi="Arial"/>
          <w:sz w:val="22"/>
          <w:szCs w:val="22"/>
        </w:rPr>
        <w:t xml:space="preserve">The reference implementation uses Python tuple comparison (score, item_id) which is deterministic and total-ordered. The tie-break is documented as 'lowest_score_then_lowest_item_id' in both the descriptor and result metadata, so callers may depend on it.</w:t>
      </w:r>
    </w:p>
    <w:p>
      <w:pPr>
        <w:spacing w:after="80" w:before="80"/>
      </w:pPr>
      <w:r>
        <w:rPr>
          <w:rFonts w:ascii="Arial" w:cs="Arial" w:eastAsia="Arial" w:hAnsi="Arial"/>
          <w:sz w:val="22"/>
          <w:szCs w:val="22"/>
        </w:rPr>
        <w:t xml:space="preserve">Required: add a test case with deliberate equal scores across multiple groups to verify deterministic item_id selection on CUDA. Flag this as a known race in the code comment.</w:t>
      </w:r>
    </w:p>
    <w:p>
      <w:pPr>
        <w:pStyle w:val="Heading2"/>
        <w:spacing w:after="120" w:before="240"/>
      </w:pPr>
      <w:r>
        <w:rPr>
          <w:rFonts w:ascii="Arial" w:cs="Arial" w:eastAsia="Arial" w:hAnsi="Arial"/>
          <w:b/>
          <w:bCs/>
          <w:sz w:val="28"/>
          <w:szCs w:val="28"/>
        </w:rPr>
        <w:t xml:space="preserve">NB2 — grouped_argmin_f64 and bounded_collect_finalize_i64 Have No Public Adapter Front Door</w:t>
      </w:r>
    </w:p>
    <w:p>
      <w:pPr>
        <w:spacing w:after="80" w:before="80"/>
      </w:pPr>
      <w:r>
        <w:rPr>
          <w:rFonts w:ascii="Arial" w:cs="Arial" w:eastAsia="Arial" w:hAnsi="Arial"/>
          <w:sz w:val="22"/>
          <w:szCs w:val="22"/>
        </w:rPr>
        <w:t xml:space="preserve">File: src/rtdsl/partner_adapters.py</w:t>
      </w:r>
    </w:p>
    <w:p>
      <w:pPr>
        <w:spacing w:after="80" w:before="80"/>
      </w:pPr>
      <w:r>
        <w:rPr>
          <w:rFonts w:ascii="Arial" w:cs="Arial" w:eastAsia="Arial" w:hAnsi="Arial"/>
          <w:sz w:val="22"/>
          <w:szCs w:val="22"/>
        </w:rPr>
        <w:t xml:space="preserve">Five operations have public adapter front doors: segmented_count_i64, segmented_sum_f64, segmented_min_f64, segmented_max_f64, compact_mask_i64. Two do not: grouped_argmin_f64, bounded_collect_finalize_i64. Six of ten benchmark apps need at least one of these two operations (Hausdorff, RT-DBSCAN, RTNN, Barnes-Hut, Robot collision, Contact manifold). Those six apps are classified as dispatcher_ready_app_wiring_required, meaning app developers must use run_triton_partner_continuation() directly, bypassing the public API layer.</w:t>
      </w:r>
    </w:p>
    <w:p>
      <w:pPr>
        <w:spacing w:after="80" w:before="80"/>
      </w:pPr>
      <w:r>
        <w:rPr>
          <w:rFonts w:ascii="Arial" w:cs="Arial" w:eastAsia="Arial" w:hAnsi="Arial"/>
          <w:sz w:val="22"/>
          <w:szCs w:val="22"/>
        </w:rPr>
        <w:t xml:space="preserve">This is not a correctness issue, but it creates a two-tier access model that is not reflected in the documentation boundary. If Goal2684 wires the RT hit-stream handoff and then tries to route through partner='triton' adapters, it will hit this gap for the six affected apps.</w:t>
      </w:r>
    </w:p>
    <w:p>
      <w:pPr>
        <w:spacing w:after="80" w:before="80"/>
      </w:pPr>
      <w:r>
        <w:rPr>
          <w:rFonts w:ascii="Arial" w:cs="Arial" w:eastAsia="Arial" w:hAnsi="Arial"/>
          <w:sz w:val="22"/>
          <w:szCs w:val="22"/>
        </w:rPr>
        <w:t xml:space="preserve">Recommended: add partner_grouped_argmin_f64() and partner_bounded_collect_finalize_i64() public adapter functions before or during Goal2684, or explicitly document that these operations remain low-level-only in the current slice.</w:t>
      </w:r>
    </w:p>
    <w:p>
      <w:pPr>
        <w:pStyle w:val="Heading2"/>
        <w:spacing w:after="120" w:before="240"/>
      </w:pPr>
      <w:r>
        <w:rPr>
          <w:rFonts w:ascii="Arial" w:cs="Arial" w:eastAsia="Arial" w:hAnsi="Arial"/>
          <w:b/>
          <w:bCs/>
          <w:sz w:val="28"/>
          <w:szCs w:val="28"/>
        </w:rPr>
        <w:t xml:space="preserve">NB3 — Triton Timing Includes Non-Triton Torch Work for min/max/argmin/compact</w:t>
      </w:r>
    </w:p>
    <w:p>
      <w:pPr>
        <w:spacing w:after="80" w:before="80"/>
      </w:pPr>
      <w:r>
        <w:rPr>
          <w:rFonts w:ascii="Arial" w:cs="Arial" w:eastAsia="Arial" w:hAnsi="Arial"/>
          <w:sz w:val="22"/>
          <w:szCs w:val="22"/>
        </w:rPr>
        <w:t xml:space="preserve">Files: src/rtdsl/triton_partner_continuation.py (_run_triton_segmented_minmax_f64, run_triton_grouped_argmin_f64, run_triton_compact_mask_i64)</w:t>
      </w:r>
    </w:p>
    <w:p>
      <w:pPr>
        <w:spacing w:after="80" w:before="80"/>
      </w:pPr>
      <w:r>
        <w:rPr>
          <w:rFonts w:ascii="Arial" w:cs="Arial" w:eastAsia="Arial" w:hAnsi="Arial"/>
          <w:sz w:val="22"/>
          <w:szCs w:val="22"/>
        </w:rPr>
        <w:t xml:space="preserve">The perf_counter timing region wraps Triton kernel dispatch plus subsequent torch.nonzero / boolean indexing / torch.cumsum operations. For example, _run_triton_segmented_minmax_f64 does:</w:t>
      </w:r>
    </w:p>
    <w:p>
      <w:pPr>
        <w:spacing w:after="60" w:before="60"/>
        <w:ind w:left="360"/>
      </w:pPr>
      <w:r>
        <w:rPr>
          <w:rFonts w:ascii="Courier New" w:cs="Courier New" w:eastAsia="Courier New" w:hAnsi="Courier New"/>
          <w:color w:val="1A1A1A"/>
          <w:sz w:val="20"/>
          <w:szCs w:val="20"/>
          <w:shd w:fill="F2F2F2" w:val="clear"/>
        </w:rPr>
        <w:t xml:space="preserve">present_mask = counts &gt; 0</w:t>
      </w:r>
    </w:p>
    <w:p>
      <w:pPr>
        <w:spacing w:after="60" w:before="60"/>
        <w:ind w:left="360"/>
      </w:pPr>
      <w:r>
        <w:rPr>
          <w:rFonts w:ascii="Courier New" w:cs="Courier New" w:eastAsia="Courier New" w:hAnsi="Courier New"/>
          <w:color w:val="1A1A1A"/>
          <w:sz w:val="20"/>
          <w:szCs w:val="20"/>
          <w:shd w:fill="F2F2F2" w:val="clear"/>
        </w:rPr>
        <w:t xml:space="preserve">present_group_ids = torch.nonzero(present_mask, as_tuple=False)...</w:t>
      </w:r>
    </w:p>
    <w:p>
      <w:pPr>
        <w:spacing w:after="60" w:before="60"/>
        <w:ind w:left="360"/>
      </w:pPr>
      <w:r>
        <w:rPr>
          <w:rFonts w:ascii="Courier New" w:cs="Courier New" w:eastAsia="Courier New" w:hAnsi="Courier New"/>
          <w:color w:val="1A1A1A"/>
          <w:sz w:val="20"/>
          <w:szCs w:val="20"/>
          <w:shd w:fill="F2F2F2" w:val="clear"/>
        </w:rPr>
        <w:t xml:space="preserve">compact_values = dense_values[present_mask]</w:t>
      </w:r>
    </w:p>
    <w:p>
      <w:pPr>
        <w:spacing w:after="80" w:before="80"/>
      </w:pPr>
      <w:r>
        <w:rPr>
          <w:rFonts w:ascii="Arial" w:cs="Arial" w:eastAsia="Arial" w:hAnsi="Arial"/>
          <w:sz w:val="22"/>
          <w:szCs w:val="22"/>
        </w:rPr>
        <w:t xml:space="preserve">These are genuine torch GPU operations that contribute meaningfully to latency at small group counts. The result metadata carries tensor_carrier_compaction_used: True, which is honest, but the claim_boundary string says 'Triton executes only a generic post-RT continuation.' The timing does not distinguish Triton kernel time from Torch post-processing time. This is acceptable for a preview but must be resolved before performance-path evidence is generated for Goal2684.</w:t>
      </w:r>
    </w:p>
    <w:p>
      <w:pPr>
        <w:pStyle w:val="Heading2"/>
        <w:spacing w:after="120" w:before="240"/>
      </w:pPr>
      <w:r>
        <w:rPr>
          <w:rFonts w:ascii="Arial" w:cs="Arial" w:eastAsia="Arial" w:hAnsi="Arial"/>
          <w:b/>
          <w:bCs/>
          <w:sz w:val="28"/>
          <w:szCs w:val="28"/>
        </w:rPr>
        <w:t xml:space="preserve">NB4 — Numba Coverage Gap: Only count and sum Implemented</w:t>
      </w:r>
    </w:p>
    <w:p>
      <w:pPr>
        <w:spacing w:after="80" w:before="80"/>
      </w:pPr>
      <w:r>
        <w:rPr>
          <w:rFonts w:ascii="Arial" w:cs="Arial" w:eastAsia="Arial" w:hAnsi="Arial"/>
          <w:sz w:val="22"/>
          <w:szCs w:val="22"/>
        </w:rPr>
        <w:t xml:space="preserve">File: src/rtdsl/numba_partner_continuation.py</w:t>
      </w:r>
    </w:p>
    <w:p>
      <w:pPr>
        <w:spacing w:after="80" w:before="80"/>
      </w:pPr>
      <w:r>
        <w:rPr>
          <w:rFonts w:ascii="Arial" w:cs="Arial" w:eastAsia="Arial" w:hAnsi="Arial"/>
          <w:sz w:val="22"/>
          <w:szCs w:val="22"/>
        </w:rPr>
        <w:t xml:space="preserve">Numba has run_numba_segmented_count_i64 and run_numba_segmented_sum_f64 only. The other five operations (min, max, compact, grouped_argmin, bounded_collect) are Triton-only. The v2.5 contract advertises Triton-first with Numba fallback, but fallback is only meaningful for two of seven operations.</w:t>
      </w:r>
    </w:p>
    <w:p>
      <w:pPr>
        <w:spacing w:after="80" w:before="80"/>
      </w:pPr>
      <w:r>
        <w:rPr>
          <w:rFonts w:ascii="Arial" w:cs="Arial" w:eastAsia="Arial" w:hAnsi="Arial"/>
          <w:sz w:val="22"/>
          <w:szCs w:val="22"/>
        </w:rPr>
        <w:t xml:space="preserve">This is not a blocking issue because Numba is explicitly secondary and was unavailable on the Goal2683 pod. However, the plan_v2_5_partner_continuation planner will select Numba for segmented_min_f64 / segmented_max_f64 if triton is unavailable and numba is available, but then run_triton_partner_continuation (called from the Numba fallback path via allow_reference_fallback=False) will raise ValueError. This should either be documented or patched to fall through to the reference.</w:t>
      </w:r>
    </w:p>
    <w:p>
      <w:pPr>
        <w:pStyle w:val="Heading2"/>
        <w:spacing w:after="120" w:before="240"/>
      </w:pPr>
      <w:r>
        <w:rPr>
          <w:rFonts w:ascii="Arial" w:cs="Arial" w:eastAsia="Arial" w:hAnsi="Arial"/>
          <w:b/>
          <w:bCs/>
          <w:sz w:val="28"/>
          <w:szCs w:val="28"/>
        </w:rPr>
        <w:t xml:space="preserve">NB5 — Artifact Commit Mismatch</w:t>
      </w:r>
    </w:p>
    <w:p>
      <w:pPr>
        <w:spacing w:after="80" w:before="80"/>
      </w:pPr>
      <w:r>
        <w:rPr>
          <w:rFonts w:ascii="Arial" w:cs="Arial" w:eastAsia="Arial" w:hAnsi="Arial"/>
          <w:sz w:val="22"/>
          <w:szCs w:val="22"/>
        </w:rPr>
        <w:t xml:space="preserve">Files: docs/reports/artifacts/goal2683_*.json, docs/reports/goal2683_v2_5_triton_partner_gpu_validation_2026-05-28.md</w:t>
      </w:r>
    </w:p>
    <w:p>
      <w:pPr>
        <w:spacing w:after="80" w:before="80"/>
      </w:pPr>
      <w:r>
        <w:rPr>
          <w:rFonts w:ascii="Arial" w:cs="Arial" w:eastAsia="Arial" w:hAnsi="Arial"/>
          <w:sz w:val="22"/>
          <w:szCs w:val="22"/>
        </w:rPr>
        <w:t xml:space="preserve">The JSON artifacts record git_head = 74d7ecc36fa5008b8e7336988cd2fc9242a59093 (the pod run commit). The review target is 121431432d414ece1dd4e7b95f5e9faa6f80eab5. The diff between these two commits is documentation-only (zero source changes). The artifacts are therefore valid for the reviewed code, but any future reader checking commit lineage will find a mismatch.</w:t>
      </w:r>
    </w:p>
    <w:p>
      <w:pPr>
        <w:spacing w:after="80" w:before="80"/>
      </w:pPr>
      <w:r>
        <w:rPr>
          <w:rFonts w:ascii="Arial" w:cs="Arial" w:eastAsia="Arial" w:hAnsi="Arial"/>
          <w:sz w:val="22"/>
          <w:szCs w:val="22"/>
        </w:rPr>
        <w:t xml:space="preserve">Required: add a note to the GPU validation report stating that the diff between pod commit and doc commit is docs-only and the artifacts remain valid for the review target.</w:t>
      </w:r>
    </w:p>
    <w:p>
      <w:pPr>
        <w:pStyle w:val="Heading2"/>
        <w:spacing w:after="120" w:before="240"/>
      </w:pPr>
      <w:r>
        <w:rPr>
          <w:rFonts w:ascii="Arial" w:cs="Arial" w:eastAsia="Arial" w:hAnsi="Arial"/>
          <w:b/>
          <w:bCs/>
          <w:sz w:val="28"/>
          <w:szCs w:val="28"/>
        </w:rPr>
        <w:t xml:space="preserve">NB6 — RayDB app forces partner='triton' with no fallback</w:t>
      </w:r>
    </w:p>
    <w:p>
      <w:pPr>
        <w:spacing w:after="80" w:before="80"/>
      </w:pPr>
      <w:r>
        <w:rPr>
          <w:rFonts w:ascii="Arial" w:cs="Arial" w:eastAsia="Arial" w:hAnsi="Arial"/>
          <w:sz w:val="22"/>
          <w:szCs w:val="22"/>
        </w:rPr>
        <w:t xml:space="preserve">File: examples/v2_0/research_benchmarks/raydb_style/rtdl_raydb_style_benchmark_app.py, run_raydb_v2_5_partner_continuation_preview, line ~1106</w:t>
      </w:r>
    </w:p>
    <w:p>
      <w:pPr>
        <w:spacing w:after="60" w:before="60"/>
        <w:ind w:left="360"/>
      </w:pPr>
      <w:r>
        <w:rPr>
          <w:rFonts w:ascii="Courier New" w:cs="Courier New" w:eastAsia="Courier New" w:hAnsi="Courier New"/>
          <w:color w:val="1A1A1A"/>
          <w:sz w:val="20"/>
          <w:szCs w:val="20"/>
          <w:shd w:fill="F2F2F2" w:val="clear"/>
        </w:rPr>
        <w:t xml:space="preserve">if partner != "triton":</w:t>
      </w:r>
    </w:p>
    <w:p>
      <w:pPr>
        <w:spacing w:after="60" w:before="60"/>
        <w:ind w:left="360"/>
      </w:pPr>
      <w:r>
        <w:rPr>
          <w:rFonts w:ascii="Courier New" w:cs="Courier New" w:eastAsia="Courier New" w:hAnsi="Courier New"/>
          <w:color w:val="1A1A1A"/>
          <w:sz w:val="20"/>
          <w:szCs w:val="20"/>
          <w:shd w:fill="F2F2F2" w:val="clear"/>
        </w:rPr>
        <w:t xml:space="preserve">    raise ValueError("RayDB v2.5 continuation preview is Triton-first; use partner='triton'"</w:t>
      </w:r>
    </w:p>
    <w:p>
      <w:pPr>
        <w:spacing w:after="80" w:before="80"/>
      </w:pPr>
      <w:r>
        <w:rPr>
          <w:rFonts w:ascii="Arial" w:cs="Arial" w:eastAsia="Arial" w:hAnsi="Arial"/>
          <w:sz w:val="22"/>
          <w:szCs w:val="22"/>
        </w:rPr>
        <w:t xml:space="preserve">This hardcodes the preview as Triton-exclusive with no Numba or reference fallback. This is app code so it does not violate the engine boundary, but it makes the RayDB preview harder to test on non-CUDA machines and contradicts the v2.5 Triton-first-with-Numba-fallback policy at the app layer. The allow_reference_fallback=True path exists but only routes through the Triton dispatcher fallback, not through a separate partner='numba' or partner='python_reference' branch. At minimum, add a comment explaining the design choice.</w:t>
      </w:r>
    </w:p>
    <w:p>
      <w:pPr>
        <w:pStyle w:val="Heading1"/>
        <w:spacing w:after="160" w:before="320"/>
      </w:pPr>
      <w:r>
        <w:rPr>
          <w:rFonts w:ascii="Arial" w:cs="Arial" w:eastAsia="Arial" w:hAnsi="Arial"/>
          <w:b/>
          <w:bCs/>
          <w:sz w:val="32"/>
          <w:szCs w:val="32"/>
        </w:rPr>
        <w:t xml:space="preserve">4. Required Fixes Before Continuing to Goal2684</w:t>
      </w:r>
    </w:p>
    <w:p>
      <w:pPr>
        <w:spacing w:after="80" w:before="80"/>
      </w:pPr>
      <w:r>
        <w:rPr>
          <w:rFonts w:ascii="Arial" w:cs="Arial" w:eastAsia="Arial" w:hAnsi="Arial"/>
          <w:sz w:val="22"/>
          <w:szCs w:val="22"/>
        </w:rPr>
        <w:t xml:space="preserve">The following must be resolved before starting Goal2684 work:</w:t>
      </w:r>
    </w:p>
    <w:p>
      <w:pPr>
        <w:pStyle w:val="ListParagraph"/>
        <w:numPr>
          <w:ilvl w:val="0"/>
          <w:numId w:val="2"/>
        </w:numPr>
        <w:spacing w:after="80" w:before="80"/>
      </w:pPr>
      <w:r>
        <w:rPr>
          <w:rFonts w:ascii="Arial" w:cs="Arial" w:eastAsia="Arial" w:hAnsi="Arial"/>
          <w:sz w:val="22"/>
          <w:szCs w:val="22"/>
        </w:rPr>
        <w:t xml:space="preserve">[B1] Split V2_5_PREVIEW_CUDA_EXECUTION_VALIDATED into cuda_execution_validated (now True per Goal2683) and benchmark_integration_validated (still False). Update v2_5_partner_preview_gate() and its validator. Add a test.</w:t>
      </w:r>
    </w:p>
    <w:p>
      <w:pPr>
        <w:pStyle w:val="ListParagraph"/>
        <w:numPr>
          <w:ilvl w:val="0"/>
          <w:numId w:val="2"/>
        </w:numPr>
        <w:spacing w:after="80" w:before="80"/>
      </w:pPr>
      <w:r>
        <w:rPr>
          <w:rFonts w:ascii="Arial" w:cs="Arial" w:eastAsia="Arial" w:hAnsi="Arial"/>
          <w:sz w:val="22"/>
          <w:szCs w:val="22"/>
        </w:rPr>
        <w:t xml:space="preserve">[B2] Document the Triton silent-discard behavior for out-of-bounds group_ids in the partner_continuation_protocol.py operation table. Add explicit contract notes. Add tests covering the divergence in both reference and Triton paths.</w:t>
      </w:r>
    </w:p>
    <w:p>
      <w:pPr>
        <w:pStyle w:val="ListParagraph"/>
        <w:numPr>
          <w:ilvl w:val="0"/>
          <w:numId w:val="2"/>
        </w:numPr>
        <w:spacing w:after="80" w:before="80"/>
      </w:pPr>
      <w:r>
        <w:rPr>
          <w:rFonts w:ascii="Arial" w:cs="Arial" w:eastAsia="Arial" w:hAnsi="Arial"/>
          <w:sz w:val="22"/>
          <w:szCs w:val="22"/>
        </w:rPr>
        <w:t xml:space="preserve">[NB1] Add a tie-break correctness test for grouped_argmin_f64 with identical scores. Run it on CUDA if available, skip if not.</w:t>
      </w:r>
    </w:p>
    <w:p>
      <w:pPr>
        <w:pStyle w:val="ListParagraph"/>
        <w:numPr>
          <w:ilvl w:val="0"/>
          <w:numId w:val="2"/>
        </w:numPr>
        <w:spacing w:after="80" w:before="80"/>
      </w:pPr>
      <w:r>
        <w:rPr>
          <w:rFonts w:ascii="Arial" w:cs="Arial" w:eastAsia="Arial" w:hAnsi="Arial"/>
          <w:sz w:val="22"/>
          <w:szCs w:val="22"/>
        </w:rPr>
        <w:t xml:space="preserve">[NB5] Add a one-line note to the Goal2683 GPU validation report explaining the pod commit vs. doc commit discrepancy.</w:t>
      </w:r>
    </w:p>
    <w:p>
      <w:pPr>
        <w:pStyle w:val="Heading1"/>
        <w:spacing w:after="160" w:before="320"/>
      </w:pPr>
      <w:r>
        <w:rPr>
          <w:rFonts w:ascii="Arial" w:cs="Arial" w:eastAsia="Arial" w:hAnsi="Arial"/>
          <w:b/>
          <w:bCs/>
          <w:sz w:val="32"/>
          <w:szCs w:val="32"/>
        </w:rPr>
        <w:t xml:space="preserve">5. Specific Question Assessments</w:t>
      </w:r>
    </w:p>
    <w:p>
      <w:pPr>
        <w:pStyle w:val="Heading2"/>
        <w:spacing w:after="120" w:before="240"/>
      </w:pPr>
      <w:r>
        <w:rPr>
          <w:rFonts w:ascii="Arial" w:cs="Arial" w:eastAsia="Arial" w:hAnsi="Arial"/>
          <w:b/>
          <w:bCs/>
          <w:sz w:val="28"/>
          <w:szCs w:val="28"/>
        </w:rPr>
        <w:t xml:space="preserve">Q1: Architecture Boundary</w:t>
      </w:r>
    </w:p>
    <w:p>
      <w:pPr>
        <w:spacing w:after="80" w:before="80"/>
      </w:pPr>
      <w:r>
        <w:rPr>
          <w:rFonts w:ascii="Arial" w:cs="Arial" w:eastAsia="Arial" w:hAnsi="Arial"/>
          <w:sz w:val="22"/>
          <w:szCs w:val="22"/>
        </w:rPr>
        <w:t xml:space="preserve">Sound. RT traversal stays inside RTDL/Embree/OptiX. The replaces_rt_traversal field is enforced in RtdlPartnerContinuationSpec.__post_init__ and in _triton_run_result metadata. The claim_boundary string is consistent across all Triton descriptor functions. No code path routes RT traversal through Triton or Numba. The native engine boundary V2_4_NATIVE_ENGINE_BOUNDARY = 'app_agnostic_native_engine' is checked in the completion gate validator.</w:t>
      </w:r>
    </w:p>
    <w:p>
      <w:pPr>
        <w:spacing w:after="80" w:before="80"/>
      </w:pPr>
      <w:r>
        <w:rPr>
          <w:rFonts w:ascii="Arial" w:cs="Arial" w:eastAsia="Arial" w:hAnsi="Arial"/>
          <w:sz w:val="22"/>
          <w:szCs w:val="22"/>
        </w:rPr>
        <w:t xml:space="preserve">Minor note: the segmented min/max and grouped_argmin Triton implementations use torch.nonzero / boolean indexing for post-kernel compaction. This happens after the Triton kernel completes and is labeled tensor_carrier_compaction_used: True. It does not violate the architecture boundary, but it means the Triton-vs-Torch performance comparison is not a clean apples-to-apples comparison of equivalent kernel work (see NB3).</w:t>
      </w:r>
    </w:p>
    <w:p>
      <w:pPr>
        <w:pStyle w:val="Heading2"/>
        <w:spacing w:after="120" w:before="240"/>
      </w:pPr>
      <w:r>
        <w:rPr>
          <w:rFonts w:ascii="Arial" w:cs="Arial" w:eastAsia="Arial" w:hAnsi="Arial"/>
          <w:b/>
          <w:bCs/>
          <w:sz w:val="28"/>
          <w:szCs w:val="28"/>
        </w:rPr>
        <w:t xml:space="preserve">Q2: App-Specific Leakage</w:t>
      </w:r>
    </w:p>
    <w:p>
      <w:pPr>
        <w:spacing w:after="80" w:before="80"/>
      </w:pPr>
      <w:r>
        <w:rPr>
          <w:rFonts w:ascii="Arial" w:cs="Arial" w:eastAsia="Arial" w:hAnsi="Arial"/>
          <w:sz w:val="22"/>
          <w:szCs w:val="22"/>
        </w:rPr>
        <w:t xml:space="preserve">Clean. The V2_4_FORBIDDEN_NATIVE_APP_TOKENS tuple (‘barnes’, ‘dbscan’, ‘raydb’, ‘contact’, ‘collision’, ‘robot’, ‘librts’, ‘rtnn’, ‘hausdorff’, ‘triangle_counting’) is enforced in _validate_no_app_native_vocab, which is called on primitive names, native symbols, and operation names. All seven generic operations have app-agnostic names. RayDB-specific logic (table encoding, predicate lowering, region_id / ship_year / revenue columns) lives entirely in the examples/ directory benchmark app.</w:t>
      </w:r>
    </w:p>
    <w:p>
      <w:pPr>
        <w:spacing w:after="80" w:before="80"/>
      </w:pPr>
      <w:r>
        <w:rPr>
          <w:rFonts w:ascii="Arial" w:cs="Arial" w:eastAsia="Arial" w:hAnsi="Arial"/>
          <w:sz w:val="22"/>
          <w:szCs w:val="22"/>
        </w:rPr>
        <w:t xml:space="preserve">The generic RT primitive symbol GENERIC_RAY_TRIANGLE_GROUPED_REDUCTION_3D_SYMBOL = 'generic_ray_triangle_primitive_grouped_i64_reduction_3d' is used in the benchmark app, not in the engine. This is correct placement.</w:t>
      </w:r>
    </w:p>
    <w:p>
      <w:pPr>
        <w:pStyle w:val="Heading2"/>
        <w:spacing w:after="120" w:before="240"/>
      </w:pPr>
      <w:r>
        <w:rPr>
          <w:rFonts w:ascii="Arial" w:cs="Arial" w:eastAsia="Arial" w:hAnsi="Arial"/>
          <w:b/>
          <w:bCs/>
          <w:sz w:val="28"/>
          <w:szCs w:val="28"/>
        </w:rPr>
        <w:t xml:space="preserve">Q3: Primitive Quality</w:t>
      </w:r>
    </w:p>
    <w:p>
      <w:pPr>
        <w:spacing w:after="80" w:before="80"/>
      </w:pPr>
      <w:r>
        <w:rPr>
          <w:rFonts w:ascii="Arial" w:cs="Arial" w:eastAsia="Arial" w:hAnsi="Arial"/>
          <w:sz w:val="22"/>
          <w:szCs w:val="22"/>
        </w:rPr>
        <w:t xml:space="preserve">The seven operations are genuinely generic. segmented_count_i64 and segmented_sum_f64 map to any grouped aggregation. compact_mask_i64 is a standard stream-compaction primitive. bounded_collect_finalize_i64 is a bounded-capacity gather with fail-closed overflow, which is application-domain-neutral. grouped_argmin_f64 selects the minimum-score item per group with deterministic tie-break; this is a generic ranked-summary primitive useful for RTNN, Hausdorff, and other nearest-winner workloads without encoding domain semantics.</w:t>
      </w:r>
    </w:p>
    <w:p>
      <w:pPr>
        <w:spacing w:after="80" w:before="80"/>
      </w:pPr>
      <w:r>
        <w:rPr>
          <w:rFonts w:ascii="Arial" w:cs="Arial" w:eastAsia="Arial" w:hAnsi="Arial"/>
          <w:sz w:val="22"/>
          <w:szCs w:val="22"/>
        </w:rPr>
        <w:t xml:space="preserve">The app_specific_semantics_allowed: False contract field is enforced in both the spec constructor and the validator. No operation behavior string contains domain vocabulary.</w:t>
      </w:r>
    </w:p>
    <w:p>
      <w:pPr>
        <w:pStyle w:val="Heading2"/>
        <w:spacing w:after="120" w:before="240"/>
      </w:pPr>
      <w:r>
        <w:rPr>
          <w:rFonts w:ascii="Arial" w:cs="Arial" w:eastAsia="Arial" w:hAnsi="Arial"/>
          <w:b/>
          <w:bCs/>
          <w:sz w:val="28"/>
          <w:szCs w:val="28"/>
        </w:rPr>
        <w:t xml:space="preserve">Q4: Partner Boundary (Triton vs. Torch)</w:t>
      </w:r>
    </w:p>
    <w:p>
      <w:pPr>
        <w:spacing w:after="80" w:before="80"/>
      </w:pPr>
      <w:r>
        <w:rPr>
          <w:rFonts w:ascii="Arial" w:cs="Arial" w:eastAsia="Arial" w:hAnsi="Arial"/>
          <w:sz w:val="22"/>
          <w:szCs w:val="22"/>
        </w:rPr>
        <w:t xml:space="preserve">Mostly honest. TRITON_TENSOR_CARRIER = 'torch_cuda_tensor_for_triton_launch' and tensor_carrier_is_partner: False appear consistently in all Triton descriptors and result dicts. The _base_triton_descriptor function sets cupy_required: False and pytorch_partner_required: False. The adapter front-door test (goal2681) verifies that partner='triton' routes to run_triton_partner_continuation, not to torch native operations.</w:t>
      </w:r>
    </w:p>
    <w:p>
      <w:pPr>
        <w:spacing w:after="80" w:before="80"/>
      </w:pPr>
      <w:r>
        <w:rPr>
          <w:rFonts w:ascii="Arial" w:cs="Arial" w:eastAsia="Arial" w:hAnsi="Arial"/>
          <w:sz w:val="22"/>
          <w:szCs w:val="22"/>
        </w:rPr>
        <w:t xml:space="preserve">Qualification: partner_metric_table_reduce_by_key uses torch.sort and torch.searchsorted before calling the grouped reduction. This torch work is real computation (not just data transport) and contributes to the end-to-end time attributed to the 'Triton' path. This is not dishonest because metric_key mapping is preprocessing, but timing consumers need to be aware.</w:t>
      </w:r>
    </w:p>
    <w:p>
      <w:pPr>
        <w:pStyle w:val="Heading2"/>
        <w:spacing w:after="120" w:before="240"/>
      </w:pPr>
      <w:r>
        <w:rPr>
          <w:rFonts w:ascii="Arial" w:cs="Arial" w:eastAsia="Arial" w:hAnsi="Arial"/>
          <w:b/>
          <w:bCs/>
          <w:sz w:val="28"/>
          <w:szCs w:val="28"/>
        </w:rPr>
        <w:t xml:space="preserve">Q5: Performance Honesty</w:t>
      </w:r>
    </w:p>
    <w:p>
      <w:pPr>
        <w:spacing w:after="80" w:before="80"/>
      </w:pPr>
      <w:r>
        <w:rPr>
          <w:rFonts w:ascii="Arial" w:cs="Arial" w:eastAsia="Arial" w:hAnsi="Arial"/>
          <w:sz w:val="22"/>
          <w:szCs w:val="22"/>
        </w:rPr>
        <w:t xml:space="preserve">Fully honest and appropriately flagged. Goal2683 data at 1,048,576 rows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Operation</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Triton preview (s)</w:t>
            </w:r>
          </w:p>
        </w:tc>
        <w:tc>
          <w:tcPr>
            <w:tcW w:type="dxa" w:w="22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Torch CUDA (s)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Slowdown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segmented_count_i64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0.002638</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0.000121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~21.8x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segmented_sum_f64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0.002805</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~39.5x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segmented_min_f64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0.003193</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0.000173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~18.5x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segmented_max_f64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0.003151</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0.000174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~18.1x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compact_mask_i64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0.008322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0.000124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~67.1x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grouped_argmin_f64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0.006086</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0.000608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~10.0x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bounded_collect_finalize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0.006050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0.000659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~9.2x</w:t>
            </w:r>
          </w:p>
        </w:tc>
      </w:tr>
    </w:tbl>
    <w:p>
      <w:pPr>
        <w:spacing w:after="120" w:before="0"/>
      </w:pPr>
    </w:p>
    <w:p>
      <w:pPr>
        <w:spacing w:after="80" w:before="80"/>
      </w:pPr>
      <w:r>
        <w:rPr>
          <w:rFonts w:ascii="Arial" w:cs="Arial" w:eastAsia="Arial" w:hAnsi="Arial"/>
          <w:sz w:val="22"/>
          <w:szCs w:val="22"/>
        </w:rPr>
        <w:t xml:space="preserve">Every operation is an order of magnitude or more slower than the Torch CUDA baseline. preview_not_promoted is enforced at every layer. V2_5_PERFORMANCE_PATH_AUTHORIZED = False is validated. No performance wording appears in any report.</w:t>
      </w:r>
    </w:p>
    <w:p>
      <w:pPr>
        <w:spacing w:after="80" w:before="80"/>
      </w:pPr>
      <w:r>
        <w:rPr>
          <w:rFonts w:ascii="Arial" w:cs="Arial" w:eastAsia="Arial" w:hAnsi="Arial"/>
          <w:sz w:val="22"/>
          <w:szCs w:val="22"/>
        </w:rPr>
        <w:t xml:space="preserve">Observation for future work: the current Triton kernels use tl.atomic_add / tl.atomic_min for all scatter operations with a flat group_id array. At 4,096 groups and 1M rows, each group receives ~256 rows on average, producing severe contention on atomic operations. A sort-then-reduce or histogram approach would be required for competitive performance. The preview does not claim otherwise, but the kernel architecture would need to be redesigned, not just tuned, for performance promotion.</w:t>
      </w:r>
    </w:p>
    <w:p>
      <w:pPr>
        <w:pStyle w:val="Heading2"/>
        <w:spacing w:after="120" w:before="240"/>
      </w:pPr>
      <w:r>
        <w:rPr>
          <w:rFonts w:ascii="Arial" w:cs="Arial" w:eastAsia="Arial" w:hAnsi="Arial"/>
          <w:b/>
          <w:bCs/>
          <w:sz w:val="28"/>
          <w:szCs w:val="28"/>
        </w:rPr>
        <w:t xml:space="preserve">Q6: RayDB Integration</w:t>
      </w:r>
    </w:p>
    <w:p>
      <w:pPr>
        <w:spacing w:after="80" w:before="80"/>
      </w:pPr>
      <w:r>
        <w:rPr>
          <w:rFonts w:ascii="Arial" w:cs="Arial" w:eastAsia="Arial" w:hAnsi="Arial"/>
          <w:sz w:val="22"/>
          <w:szCs w:val="22"/>
        </w:rPr>
        <w:t xml:space="preserve">Meaningful as an API boundary proof but incomplete as a full RT+Triton path. The integration is honest about its scope.</w:t>
      </w:r>
    </w:p>
    <w:p>
      <w:pPr>
        <w:spacing w:after="80" w:before="80"/>
      </w:pPr>
      <w:r>
        <w:rPr>
          <w:rFonts w:ascii="Arial" w:cs="Arial" w:eastAsia="Arial" w:hAnsi="Arial"/>
          <w:sz w:val="22"/>
          <w:szCs w:val="22"/>
        </w:rPr>
        <w:t xml:space="preserve">What is done: RayDB's post-RT continuation (group_ids + revenue values → grouped count/sum/min/max/avg) is wired through partner_group_count_by_key(..., partner='triton') and sibling adapter functions. This validates the public front-door API with app-realistic inputs.</w:t>
      </w:r>
    </w:p>
    <w:p>
      <w:pPr>
        <w:spacing w:after="80" w:before="80"/>
      </w:pPr>
      <w:r>
        <w:rPr>
          <w:rFonts w:ascii="Arial" w:cs="Arial" w:eastAsia="Arial" w:hAnsi="Arial"/>
          <w:sz w:val="22"/>
          <w:szCs w:val="22"/>
        </w:rPr>
        <w:t xml:space="preserve">What is not done: the existing RayDB native RT path (paper_rt_optix / paper_rt_embree backends) performs grouped reduction inside the generic RT primitive via GENERIC_RAY_TRIANGLE_GROUPED_REDUCTION_3D_SYMBOL. The native primitive does not expose a raw hit stream of (group_id, value) rows. Without that stream, there is no way to assemble a same-contract full-path RT-traversal-then-Triton-continuation run. The Goal2683 RayDB benchmark app runner only tests the continuation half; the RT half is untouched.</w:t>
      </w:r>
    </w:p>
    <w:p>
      <w:pPr>
        <w:spacing w:after="80" w:before="80"/>
      </w:pPr>
      <w:r>
        <w:rPr>
          <w:rFonts w:ascii="Arial" w:cs="Arial" w:eastAsia="Arial" w:hAnsi="Arial"/>
          <w:sz w:val="22"/>
          <w:szCs w:val="22"/>
        </w:rPr>
        <w:t xml:space="preserve">The Goal2683 report is explicit about this in its 'RT+Triton Boundary' section. No misleading claims are made.</w:t>
      </w:r>
    </w:p>
    <w:p>
      <w:pPr>
        <w:pStyle w:val="Heading2"/>
        <w:spacing w:after="120" w:before="240"/>
      </w:pPr>
      <w:r>
        <w:rPr>
          <w:rFonts w:ascii="Arial" w:cs="Arial" w:eastAsia="Arial" w:hAnsi="Arial"/>
          <w:b/>
          <w:bCs/>
          <w:sz w:val="28"/>
          <w:szCs w:val="28"/>
        </w:rPr>
        <w:t xml:space="preserve">Q7: Goal2684 Correctness as Next Step</w:t>
      </w:r>
    </w:p>
    <w:p>
      <w:pPr>
        <w:spacing w:after="80" w:before="80"/>
      </w:pPr>
      <w:r>
        <w:rPr>
          <w:rFonts w:ascii="Arial" w:cs="Arial" w:eastAsia="Arial" w:hAnsi="Arial"/>
          <w:sz w:val="22"/>
          <w:szCs w:val="22"/>
        </w:rPr>
        <w:t xml:space="preserve">Correct. A generic RT hit-stream handoff is the critical missing piece. Without it, no same-contract full-path comparison is possible, and the statement 'Triton is the partner' remains a continuation-only claim.</w:t>
      </w:r>
    </w:p>
    <w:p>
      <w:pPr>
        <w:spacing w:after="80" w:before="80"/>
      </w:pPr>
      <w:r>
        <w:rPr>
          <w:rFonts w:ascii="Arial" w:cs="Arial" w:eastAsia="Arial" w:hAnsi="Arial"/>
          <w:sz w:val="22"/>
          <w:szCs w:val="22"/>
        </w:rPr>
        <w:t xml:space="preserve">Suggested contract for Goal2684:</w:t>
      </w:r>
    </w:p>
    <w:p>
      <w:pPr>
        <w:pStyle w:val="ListParagraph"/>
        <w:numPr>
          <w:ilvl w:val="0"/>
          <w:numId w:val="2"/>
        </w:numPr>
        <w:spacing w:after="60" w:before="60"/>
      </w:pPr>
      <w:r>
        <w:rPr>
          <w:rFonts w:ascii="Arial" w:cs="Arial" w:eastAsia="Arial" w:hAnsi="Arial"/>
          <w:sz w:val="22"/>
          <w:szCs w:val="22"/>
        </w:rPr>
        <w:t xml:space="preserve">The RT primitive must be able to emit (group_id: int64, payload_value: float64) column pairs to device-resident typed buffers WITHOUT performing any reduction internally.</w:t>
      </w:r>
    </w:p>
    <w:p>
      <w:pPr>
        <w:pStyle w:val="ListParagraph"/>
        <w:numPr>
          <w:ilvl w:val="0"/>
          <w:numId w:val="2"/>
        </w:numPr>
        <w:spacing w:after="60" w:before="60"/>
      </w:pPr>
      <w:r>
        <w:rPr>
          <w:rFonts w:ascii="Arial" w:cs="Arial" w:eastAsia="Arial" w:hAnsi="Arial"/>
          <w:sz w:val="22"/>
          <w:szCs w:val="22"/>
        </w:rPr>
        <w:t xml:space="preserve">The output buffers must conform to RtdlBufferDescriptor with mutability='mutable', lifetime='caller_retained' or 'session_retained'.</w:t>
      </w:r>
    </w:p>
    <w:p>
      <w:pPr>
        <w:pStyle w:val="ListParagraph"/>
        <w:numPr>
          <w:ilvl w:val="0"/>
          <w:numId w:val="2"/>
        </w:numPr>
        <w:spacing w:after="60" w:before="60"/>
      </w:pPr>
      <w:r>
        <w:rPr>
          <w:rFonts w:ascii="Arial" w:cs="Arial" w:eastAsia="Arial" w:hAnsi="Arial"/>
          <w:sz w:val="22"/>
          <w:szCs w:val="22"/>
        </w:rPr>
        <w:t xml:space="preserve">The native primitive contract must use the generic symbol (no RayDB, RTNN, etc. vocabulary).</w:t>
      </w:r>
    </w:p>
    <w:p>
      <w:pPr>
        <w:pStyle w:val="ListParagraph"/>
        <w:numPr>
          <w:ilvl w:val="0"/>
          <w:numId w:val="2"/>
        </w:numPr>
        <w:spacing w:after="60" w:before="60"/>
      </w:pPr>
      <w:r>
        <w:rPr>
          <w:rFonts w:ascii="Arial" w:cs="Arial" w:eastAsia="Arial" w:hAnsi="Arial"/>
          <w:sz w:val="22"/>
          <w:szCs w:val="22"/>
        </w:rPr>
        <w:t xml:space="preserve">The phase split must be enforced: the 'rt_traversal' phase ends when the last hit row is written; the 'partner_continuation' phase begins when Triton reads the first row.</w:t>
      </w:r>
    </w:p>
    <w:p>
      <w:pPr>
        <w:pStyle w:val="ListParagraph"/>
        <w:numPr>
          <w:ilvl w:val="0"/>
          <w:numId w:val="2"/>
        </w:numPr>
        <w:spacing w:after="60" w:before="60"/>
      </w:pPr>
      <w:r>
        <w:rPr>
          <w:rFonts w:ascii="Arial" w:cs="Arial" w:eastAsia="Arial" w:hAnsi="Arial"/>
          <w:sz w:val="22"/>
          <w:szCs w:val="22"/>
        </w:rPr>
        <w:t xml:space="preserve">A same-contract baseline comparison must run: RT+native-reduction vs. RT+Triton-continuation, both using the same prepared scene and the same group/payload encoding.</w:t>
      </w:r>
    </w:p>
    <w:p>
      <w:pPr>
        <w:pStyle w:val="ListParagraph"/>
        <w:numPr>
          <w:ilvl w:val="0"/>
          <w:numId w:val="2"/>
        </w:numPr>
        <w:spacing w:after="60" w:before="60"/>
      </w:pPr>
      <w:r>
        <w:rPr>
          <w:rFonts w:ascii="Arial" w:cs="Arial" w:eastAsia="Arial" w:hAnsi="Arial"/>
          <w:sz w:val="22"/>
          <w:szCs w:val="22"/>
        </w:rPr>
        <w:t xml:space="preserve">Before Goal2684 can close, add public adapter front doors for grouped_argmin_f64 and bounded_collect_finalize_i64 to unblock the 6 apps currently at dispatcher_ready_app_wiring_required status.</w:t>
      </w:r>
    </w:p>
    <w:p>
      <w:pPr>
        <w:pStyle w:val="Heading2"/>
        <w:spacing w:after="120" w:before="240"/>
      </w:pPr>
      <w:r>
        <w:rPr>
          <w:rFonts w:ascii="Arial" w:cs="Arial" w:eastAsia="Arial" w:hAnsi="Arial"/>
          <w:b/>
          <w:bCs/>
          <w:sz w:val="28"/>
          <w:szCs w:val="28"/>
        </w:rPr>
        <w:t xml:space="preserve">Q8: Contract Completeness</w:t>
      </w:r>
    </w:p>
    <w:p>
      <w:pPr>
        <w:spacing w:after="80" w:before="80"/>
      </w:pPr>
      <w:r>
        <w:rPr>
          <w:rFonts w:ascii="Arial" w:cs="Arial" w:eastAsia="Arial" w:hAnsi="Arial"/>
          <w:sz w:val="22"/>
          <w:szCs w:val="22"/>
        </w:rPr>
        <w:t xml:space="preserve">The v2.4 typed-buffer and prepared-session contracts are well-specified: dtype, shape, device_type, device_id, access_mode (read/write/read_write), lifetime (caller_retained, session_retained, borrowed), mutability, and capacity_elements. The stream_handle is reserved-zero and enforced. Buffer uniqueness within sessions is validated.</w:t>
      </w:r>
    </w:p>
    <w:p>
      <w:pPr>
        <w:spacing w:after="80" w:before="80"/>
      </w:pPr>
      <w:r>
        <w:rPr>
          <w:rFonts w:ascii="Arial" w:cs="Arial" w:eastAsia="Arial" w:hAnsi="Arial"/>
          <w:sz w:val="22"/>
          <w:szCs w:val="22"/>
        </w:rPr>
        <w:t xml:space="preserve">The v2.5 continuation contract specifies all seven operations with input/output names, behavior strings, and determinism flags. The overflow/fail-closed contract for bounded_collect is complete and consistent between reference and Triton.</w:t>
      </w:r>
    </w:p>
    <w:p>
      <w:pPr>
        <w:spacing w:after="80" w:before="80"/>
      </w:pPr>
      <w:r>
        <w:rPr>
          <w:rFonts w:ascii="Arial" w:cs="Arial" w:eastAsia="Arial" w:hAnsi="Arial"/>
          <w:sz w:val="22"/>
          <w:szCs w:val="22"/>
        </w:rPr>
        <w:t xml:space="preserve">Gaps:</w:t>
      </w:r>
    </w:p>
    <w:p>
      <w:pPr>
        <w:pStyle w:val="ListParagraph"/>
        <w:numPr>
          <w:ilvl w:val="0"/>
          <w:numId w:val="2"/>
        </w:numPr>
        <w:spacing w:after="60" w:before="60"/>
      </w:pPr>
      <w:r>
        <w:rPr>
          <w:rFonts w:ascii="Arial" w:cs="Arial" w:eastAsia="Arial" w:hAnsi="Arial"/>
          <w:sz w:val="22"/>
          <w:szCs w:val="22"/>
        </w:rPr>
        <w:t xml:space="preserve">No specification for what happens when the same output buffer is aliased between input and output columns. The buffer name uniqueness check catches explicit duplicates, but aliased data_ptr values are not checked.</w:t>
      </w:r>
    </w:p>
    <w:p>
      <w:pPr>
        <w:pStyle w:val="ListParagraph"/>
        <w:numPr>
          <w:ilvl w:val="0"/>
          <w:numId w:val="2"/>
        </w:numPr>
        <w:spacing w:after="60" w:before="60"/>
      </w:pPr>
      <w:r>
        <w:rPr>
          <w:rFonts w:ascii="Arial" w:cs="Arial" w:eastAsia="Arial" w:hAnsi="Arial"/>
          <w:sz w:val="22"/>
          <w:szCs w:val="22"/>
        </w:rPr>
        <w:t xml:space="preserve">No cross-stream ownership rule exists yet. Since stream_handle is reserved-zero, this is not a current blocker.</w:t>
      </w:r>
    </w:p>
    <w:p>
      <w:pPr>
        <w:pStyle w:val="ListParagraph"/>
        <w:numPr>
          <w:ilvl w:val="0"/>
          <w:numId w:val="2"/>
        </w:numPr>
        <w:spacing w:after="60" w:before="60"/>
      </w:pPr>
      <w:r>
        <w:rPr>
          <w:rFonts w:ascii="Arial" w:cs="Arial" w:eastAsia="Arial" w:hAnsi="Arial"/>
          <w:sz w:val="22"/>
          <w:szCs w:val="22"/>
        </w:rPr>
        <w:t xml:space="preserve">The 'borrowed' lifetime semantics are not tested. It is unclear whether borrowed lifetimes create any additional invariants.</w:t>
      </w:r>
    </w:p>
    <w:p>
      <w:pPr>
        <w:pStyle w:val="Heading2"/>
        <w:spacing w:after="120" w:before="240"/>
      </w:pPr>
      <w:r>
        <w:rPr>
          <w:rFonts w:ascii="Arial" w:cs="Arial" w:eastAsia="Arial" w:hAnsi="Arial"/>
          <w:b/>
          <w:bCs/>
          <w:sz w:val="28"/>
          <w:szCs w:val="28"/>
        </w:rPr>
        <w:t xml:space="preserve">Q9: Failure Semantics</w:t>
      </w:r>
    </w:p>
    <w:p>
      <w:pPr>
        <w:spacing w:after="80" w:before="80"/>
      </w:pPr>
      <w:r>
        <w:rPr>
          <w:rFonts w:ascii="Arial" w:cs="Arial" w:eastAsia="Arial" w:hAnsi="Arial"/>
          <w:sz w:val="22"/>
          <w:szCs w:val="22"/>
        </w:rPr>
        <w:t xml:space="preserve">Mostly specified. The bounded_collect_finalize overflow contract is the strongest: PartnerContinuationOverflowError is raised fail-closed with no partial result, and this is consistent between reference and Triton (the Triton implementation does a pre-check before kernel dispatch). segmented_min/max NaN rejection is consistent between reference and Triton. Out-of-bounds group_id behavior is the documented gap (see Blocking Issue B2).</w:t>
      </w:r>
    </w:p>
    <w:p>
      <w:pPr>
        <w:spacing w:after="80" w:before="80"/>
      </w:pPr>
      <w:r>
        <w:rPr>
          <w:rFonts w:ascii="Arial" w:cs="Arial" w:eastAsia="Arial" w:hAnsi="Arial"/>
          <w:sz w:val="22"/>
          <w:szCs w:val="22"/>
        </w:rPr>
        <w:t xml:space="preserve">Row ordering within groups is documented as 'unspecified_nonsemantic' for bounded_collect_finalize, which is correct for GPU parallelism. The grouped_argmin tie-break is documented but has the race condition noted in NB1.</w:t>
      </w:r>
    </w:p>
    <w:p>
      <w:pPr>
        <w:spacing w:after="80" w:before="80"/>
      </w:pPr>
      <w:r>
        <w:rPr>
          <w:rFonts w:ascii="Arial" w:cs="Arial" w:eastAsia="Arial" w:hAnsi="Arial"/>
          <w:sz w:val="22"/>
          <w:szCs w:val="22"/>
        </w:rPr>
        <w:t xml:space="preserve">Missing: specification for what 'empty group' outputs look like for compact_mask_i64 (current behavior: empty output tensors, which is correct but not tested explicitly in the contract test). This is not a blocker.</w:t>
      </w:r>
    </w:p>
    <w:p>
      <w:pPr>
        <w:pStyle w:val="Heading2"/>
        <w:spacing w:after="120" w:before="240"/>
      </w:pPr>
      <w:r>
        <w:rPr>
          <w:rFonts w:ascii="Arial" w:cs="Arial" w:eastAsia="Arial" w:hAnsi="Arial"/>
          <w:b/>
          <w:bCs/>
          <w:sz w:val="28"/>
          <w:szCs w:val="28"/>
        </w:rPr>
        <w:t xml:space="preserve">Q10: Test Coverage</w:t>
      </w:r>
    </w:p>
    <w:p>
      <w:pPr>
        <w:spacing w:after="80" w:before="80"/>
      </w:pPr>
      <w:r>
        <w:rPr>
          <w:rFonts w:ascii="Arial" w:cs="Arial" w:eastAsia="Arial" w:hAnsi="Arial"/>
          <w:sz w:val="22"/>
          <w:szCs w:val="22"/>
        </w:rPr>
        <w:t xml:space="preserve">Local non-CUDA tests are comprehensive for contract validation (goal2658, goal2659, goal2661, goal2662), migration plan validation (goal2676), and public API coverage (goal2681). The GPU validation test (goal2683) only verifies the dry-run path locally.</w:t>
      </w:r>
    </w:p>
    <w:p>
      <w:pPr>
        <w:spacing w:after="80" w:before="80"/>
      </w:pPr>
      <w:r>
        <w:rPr>
          <w:rFonts w:ascii="Arial" w:cs="Arial" w:eastAsia="Arial" w:hAnsi="Arial"/>
          <w:sz w:val="22"/>
          <w:szCs w:val="22"/>
        </w:rPr>
        <w:t xml:space="preserve">Missing tests (in priority order):</w:t>
      </w:r>
    </w:p>
    <w:p>
      <w:pPr>
        <w:pStyle w:val="ListParagraph"/>
        <w:numPr>
          <w:ilvl w:val="0"/>
          <w:numId w:val="2"/>
        </w:numPr>
        <w:spacing w:after="60" w:before="60"/>
      </w:pPr>
      <w:r>
        <w:rPr>
          <w:rFonts w:ascii="Arial" w:cs="Arial" w:eastAsia="Arial" w:hAnsi="Arial"/>
          <w:sz w:val="22"/>
          <w:szCs w:val="22"/>
        </w:rPr>
        <w:t xml:space="preserve">[Local, required] Out-of-bounds group_id contract divergence: verify the documented behavior for both reference (raise) and Triton (skip if CUDA available).</w:t>
      </w:r>
    </w:p>
    <w:p>
      <w:pPr>
        <w:pStyle w:val="ListParagraph"/>
        <w:numPr>
          <w:ilvl w:val="0"/>
          <w:numId w:val="2"/>
        </w:numPr>
        <w:spacing w:after="60" w:before="60"/>
      </w:pPr>
      <w:r>
        <w:rPr>
          <w:rFonts w:ascii="Arial" w:cs="Arial" w:eastAsia="Arial" w:hAnsi="Arial"/>
          <w:sz w:val="22"/>
          <w:szCs w:val="22"/>
        </w:rPr>
        <w:t xml:space="preserve">[CUDA, required] grouped_argmin_f64 tie-break determinism: equal scores, verify lowest item_id wins.</w:t>
      </w:r>
    </w:p>
    <w:p>
      <w:pPr>
        <w:pStyle w:val="ListParagraph"/>
        <w:numPr>
          <w:ilvl w:val="0"/>
          <w:numId w:val="2"/>
        </w:numPr>
        <w:spacing w:after="60" w:before="60"/>
      </w:pPr>
      <w:r>
        <w:rPr>
          <w:rFonts w:ascii="Arial" w:cs="Arial" w:eastAsia="Arial" w:hAnsi="Arial"/>
          <w:sz w:val="22"/>
          <w:szCs w:val="22"/>
        </w:rPr>
        <w:t xml:space="preserve">[Local] compact_mask_i64 with all-False mask (empty output) and all-True mask (identity case).</w:t>
      </w:r>
    </w:p>
    <w:p>
      <w:pPr>
        <w:pStyle w:val="ListParagraph"/>
        <w:numPr>
          <w:ilvl w:val="0"/>
          <w:numId w:val="2"/>
        </w:numPr>
        <w:spacing w:after="60" w:before="60"/>
      </w:pPr>
      <w:r>
        <w:rPr>
          <w:rFonts w:ascii="Arial" w:cs="Arial" w:eastAsia="Arial" w:hAnsi="Arial"/>
          <w:sz w:val="22"/>
          <w:szCs w:val="22"/>
        </w:rPr>
        <w:t xml:space="preserve">[Local] plan_v2_5_partner_continuation selects reference when Numba is available but the operation has no Numba kernel (e.g., segmented_min_f64 with only numba in available_partners).</w:t>
      </w:r>
    </w:p>
    <w:p>
      <w:pPr>
        <w:pStyle w:val="ListParagraph"/>
        <w:numPr>
          <w:ilvl w:val="0"/>
          <w:numId w:val="2"/>
        </w:numPr>
        <w:spacing w:after="60" w:before="60"/>
      </w:pPr>
      <w:r>
        <w:rPr>
          <w:rFonts w:ascii="Arial" w:cs="Arial" w:eastAsia="Arial" w:hAnsi="Arial"/>
          <w:sz w:val="22"/>
          <w:szCs w:val="22"/>
        </w:rPr>
        <w:t xml:space="preserve">[CUDA, pod] bounded_collect_finalize_i64 output content parity against reference (same items, possibly different order within groups).</w:t>
      </w:r>
    </w:p>
    <w:p>
      <w:pPr>
        <w:pStyle w:val="Heading2"/>
        <w:spacing w:after="120" w:before="240"/>
      </w:pPr>
      <w:r>
        <w:rPr>
          <w:rFonts w:ascii="Arial" w:cs="Arial" w:eastAsia="Arial" w:hAnsi="Arial"/>
          <w:b/>
          <w:bCs/>
          <w:sz w:val="28"/>
          <w:szCs w:val="28"/>
        </w:rPr>
        <w:t xml:space="preserve">Q11: Documentation Consistency</w:t>
      </w:r>
    </w:p>
    <w:p>
      <w:pPr>
        <w:spacing w:after="80" w:before="80"/>
      </w:pPr>
      <w:r>
        <w:rPr>
          <w:rFonts w:ascii="Arial" w:cs="Arial" w:eastAsia="Arial" w:hAnsi="Arial"/>
          <w:sz w:val="22"/>
          <w:szCs w:val="22"/>
        </w:rPr>
        <w:t xml:space="preserve">The partner_acceleration_boundaries.md was updated in the review-target commit and accurately reflects the current v2.5 state including the Goal2683 outcome.</w:t>
      </w:r>
    </w:p>
    <w:p>
      <w:pPr>
        <w:spacing w:after="80" w:before="80"/>
      </w:pPr>
      <w:r>
        <w:rPr>
          <w:rFonts w:ascii="Arial" w:cs="Arial" w:eastAsia="Arial" w:hAnsi="Arial"/>
          <w:sz w:val="22"/>
          <w:szCs w:val="22"/>
        </w:rPr>
        <w:t xml:space="preserve">Issues:</w:t>
      </w:r>
    </w:p>
    <w:p>
      <w:pPr>
        <w:pStyle w:val="ListParagraph"/>
        <w:numPr>
          <w:ilvl w:val="0"/>
          <w:numId w:val="2"/>
        </w:numPr>
        <w:spacing w:after="60" w:before="60"/>
      </w:pPr>
      <w:r>
        <w:rPr>
          <w:rFonts w:ascii="Arial" w:cs="Arial" w:eastAsia="Arial" w:hAnsi="Arial"/>
          <w:sz w:val="22"/>
          <w:szCs w:val="22"/>
        </w:rPr>
        <w:t xml:space="preserve">V2_5_PREVIEW_CUDA_EXECUTION_VALIDATED = False in partner_continuation_protocol.py is stale (Blocking Issue B1).</w:t>
      </w:r>
    </w:p>
    <w:p>
      <w:pPr>
        <w:pStyle w:val="ListParagraph"/>
        <w:numPr>
          <w:ilvl w:val="0"/>
          <w:numId w:val="2"/>
        </w:numPr>
        <w:spacing w:after="60" w:before="60"/>
      </w:pPr>
      <w:r>
        <w:rPr>
          <w:rFonts w:ascii="Arial" w:cs="Arial" w:eastAsia="Arial" w:hAnsi="Arial"/>
          <w:sz w:val="22"/>
          <w:szCs w:val="22"/>
        </w:rPr>
        <w:t xml:space="preserve">The v2_5_partner_preview_gate() docstring says 'This gate intentionally does not close v2.5. It records what is ready for CUDA pod validation.' After Goal2683, this should say 'CUDA continuation correctness was validated by Goal2683; benchmark integration and RT hit-stream handoff remain required.'</w:t>
      </w:r>
    </w:p>
    <w:p>
      <w:pPr>
        <w:pStyle w:val="ListParagraph"/>
        <w:numPr>
          <w:ilvl w:val="0"/>
          <w:numId w:val="2"/>
        </w:numPr>
        <w:spacing w:after="60" w:before="60"/>
      </w:pPr>
      <w:r>
        <w:rPr>
          <w:rFonts w:ascii="Arial" w:cs="Arial" w:eastAsia="Arial" w:hAnsi="Arial"/>
          <w:sz w:val="22"/>
          <w:szCs w:val="22"/>
        </w:rPr>
        <w:t xml:space="preserve">goal2683_v2_5_triton_partner_gpu_validation_2026-05-28.md mentions the pod commit (74d7ecc3) without noting the doc-commit mismatch (NB5).</w:t>
      </w:r>
    </w:p>
    <w:p>
      <w:pPr>
        <w:pStyle w:val="ListParagraph"/>
        <w:numPr>
          <w:ilvl w:val="0"/>
          <w:numId w:val="2"/>
        </w:numPr>
        <w:spacing w:after="60" w:before="60"/>
      </w:pPr>
      <w:r>
        <w:rPr>
          <w:rFonts w:ascii="Arial" w:cs="Arial" w:eastAsia="Arial" w:hAnsi="Arial"/>
          <w:sz w:val="22"/>
          <w:szCs w:val="22"/>
        </w:rPr>
        <w:t xml:space="preserve">v2_5_triton_app_migration.py: raydb_style.current_hot_path_partner = 'triton_adapter_front_door_for_count_sum_min_max'. This accurately reflects that the adapter front door path was wired, but 'hot path' could be read as implying performance. Consider changing to 'preview_adapter_front_door_for_count_sum_min_max' to match the status naming convention used elsewhere.</w:t>
      </w:r>
    </w:p>
    <w:p>
      <w:pPr>
        <w:pStyle w:val="Heading2"/>
        <w:spacing w:after="120" w:before="240"/>
      </w:pPr>
      <w:r>
        <w:rPr>
          <w:rFonts w:ascii="Arial" w:cs="Arial" w:eastAsia="Arial" w:hAnsi="Arial"/>
          <w:b/>
          <w:bCs/>
          <w:sz w:val="28"/>
          <w:szCs w:val="28"/>
        </w:rPr>
        <w:t xml:space="preserve">Q12: Release/Public-Claim Gate</w:t>
      </w:r>
    </w:p>
    <w:p>
      <w:pPr>
        <w:spacing w:after="80" w:before="80"/>
      </w:pPr>
      <w:r>
        <w:rPr>
          <w:rFonts w:ascii="Arial" w:cs="Arial" w:eastAsia="Arial" w:hAnsi="Arial"/>
          <w:sz w:val="22"/>
          <w:szCs w:val="22"/>
        </w:rPr>
        <w:t xml:space="preserve">The gates are explicit and enforced. The following must ALL complete before any public statement about Triton partner readiness:</w:t>
      </w:r>
    </w:p>
    <w:p>
      <w:pPr>
        <w:pStyle w:val="ListParagraph"/>
        <w:numPr>
          <w:ilvl w:val="0"/>
          <w:numId w:val="2"/>
        </w:numPr>
        <w:spacing w:after="60" w:before="60"/>
      </w:pPr>
      <w:r>
        <w:rPr>
          <w:rFonts w:ascii="Arial" w:cs="Arial" w:eastAsia="Arial" w:hAnsi="Arial"/>
          <w:sz w:val="22"/>
          <w:szCs w:val="22"/>
        </w:rPr>
        <w:t xml:space="preserve">Goal2684: generic RT hit-stream handoff from OptiX/Embree to Triton continuation.</w:t>
      </w:r>
    </w:p>
    <w:p>
      <w:pPr>
        <w:pStyle w:val="ListParagraph"/>
        <w:numPr>
          <w:ilvl w:val="0"/>
          <w:numId w:val="2"/>
        </w:numPr>
        <w:spacing w:after="60" w:before="60"/>
      </w:pPr>
      <w:r>
        <w:rPr>
          <w:rFonts w:ascii="Arial" w:cs="Arial" w:eastAsia="Arial" w:hAnsi="Arial"/>
          <w:sz w:val="22"/>
          <w:szCs w:val="22"/>
        </w:rPr>
        <w:t xml:space="preserve">Same-contract full-path benchmark: RT traversal + Triton continuation compared to RT traversal + native reduction, for at least RayDB count and sum at the existing A5000 pod workload.</w:t>
      </w:r>
    </w:p>
    <w:p>
      <w:pPr>
        <w:pStyle w:val="ListParagraph"/>
        <w:numPr>
          <w:ilvl w:val="0"/>
          <w:numId w:val="2"/>
        </w:numPr>
        <w:spacing w:after="60" w:before="60"/>
      </w:pPr>
      <w:r>
        <w:rPr>
          <w:rFonts w:ascii="Arial" w:cs="Arial" w:eastAsia="Arial" w:hAnsi="Arial"/>
          <w:sz w:val="22"/>
          <w:szCs w:val="22"/>
        </w:rPr>
        <w:t xml:space="preserve">Optimized Triton kernels: the current kernels are ~10–70x slower than Torch CUDA baselines. Performance promotion requires kernel redesign (sort-then-reduce or histogram-based approaches), not tuning of the current atomic-scatter approach.</w:t>
      </w:r>
    </w:p>
    <w:p>
      <w:pPr>
        <w:pStyle w:val="ListParagraph"/>
        <w:numPr>
          <w:ilvl w:val="0"/>
          <w:numId w:val="2"/>
        </w:numPr>
        <w:spacing w:after="60" w:before="60"/>
      </w:pPr>
      <w:r>
        <w:rPr>
          <w:rFonts w:ascii="Arial" w:cs="Arial" w:eastAsia="Arial" w:hAnsi="Arial"/>
          <w:sz w:val="22"/>
          <w:szCs w:val="22"/>
        </w:rPr>
        <w:t xml:space="preserve">3-AI consensus review of the complete v2.5 path (current work has not passed external 3-AI review; Goal2662 consensus covered only the contract, not the GPU implementation).</w:t>
      </w:r>
    </w:p>
    <w:p>
      <w:pPr>
        <w:pStyle w:val="ListParagraph"/>
        <w:numPr>
          <w:ilvl w:val="0"/>
          <w:numId w:val="2"/>
        </w:numPr>
        <w:spacing w:after="60" w:before="60"/>
      </w:pPr>
      <w:r>
        <w:rPr>
          <w:rFonts w:ascii="Arial" w:cs="Arial" w:eastAsia="Arial" w:hAnsi="Arial"/>
          <w:sz w:val="22"/>
          <w:szCs w:val="22"/>
        </w:rPr>
        <w:t xml:space="preserve">Low-margin rows (Hausdorff 3.29x, Barnes-Hut 4.55x, Robot collision 5.29x): explicit protocol overhead audit required before these rows can be declared preserved under the Triton path.</w:t>
      </w:r>
    </w:p>
    <w:p>
      <w:pPr>
        <w:pStyle w:val="Heading1"/>
        <w:spacing w:after="160" w:before="320"/>
      </w:pPr>
      <w:r>
        <w:rPr>
          <w:rFonts w:ascii="Arial" w:cs="Arial" w:eastAsia="Arial" w:hAnsi="Arial"/>
          <w:b/>
          <w:bCs/>
          <w:sz w:val="32"/>
          <w:szCs w:val="32"/>
        </w:rPr>
        <w:t xml:space="preserve">6. Assessment of Known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Limitation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Accurately Described?</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Blocker?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Goal2683 validates correctness only, does not promote performance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Triton kernels are slower than Torch CUDA baselines on L4 continuation-only workloads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(expected for preview)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RayDB full RT+Triton path not complete; native RT path still reduces inside RTDL primitive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Goal2684 target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Numba is secondary and unavailable on Goal2683 pod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Some apps are only dispatcher_ready_app_wiring_required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 — tracked in v2_5_triton_front_door_coverage()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Partial — public adapter gap for grouped_argmin + bounded_collect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Current artifacts are internal evidence, not public release evidence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Yes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N/A</w:t>
            </w:r>
          </w:p>
        </w:tc>
      </w:tr>
    </w:tbl>
    <w:p>
      <w:pPr>
        <w:spacing w:after="240" w:before="0"/>
      </w:pPr>
    </w:p>
    <w:p>
      <w:pPr>
        <w:pStyle w:val="Heading1"/>
        <w:spacing w:after="160" w:before="320"/>
      </w:pPr>
      <w:r>
        <w:rPr>
          <w:rFonts w:ascii="Arial" w:cs="Arial" w:eastAsia="Arial" w:hAnsi="Arial"/>
          <w:b/>
          <w:bCs/>
          <w:sz w:val="32"/>
          <w:szCs w:val="32"/>
        </w:rPr>
        <w:t xml:space="preserve">7. Files and Tests That Must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3760"/>
      </w:tblGrid>
      <w:tr>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File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Priority</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18"/>
                <w:szCs w:val="18"/>
              </w:rPr>
              <w:t xml:space="preserve">Required Change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src/rtdsl/partner_continuation_protocol.py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Split V2_5_PREVIEW_CUDA_EXECUTION_VALIDATED; update gate and validator</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src/rtdsl/partner_continuation_protocol.py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Document out-of-bounds group_id contract per operation</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tests/goal2662_v2_5_partner_continuation_contract_test.py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test for out-of-bounds group_id behavior (reference raises, Triton skips)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tests/goal2679_v2_5_triton_grouped_argmin_preview_test.py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tie-break determinism test with equal scores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docs/reports/goal2683_*.md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Non-blocking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Note pod commit vs. doc commit discrepancy</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src/rtdsl/partner_continuation_protocol.py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Non-blocking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Update v2_5_partner_preview_gate() docstring to reflect Goal2683 result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src/rtdsl/v2_5_triton_app_migration.py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Non-blocking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Rename raydb_style.current_hot_path_partner to preview_adapter_front_door_*</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src/rtdsl/partner_adapters.py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Non-blocking / Goal2684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Add partner_grouped_argmin_f64 and partner_bounded_collect_finalize_i64 public adapters</w:t>
            </w:r>
          </w:p>
        </w:tc>
      </w:tr>
    </w:tbl>
    <w:p>
      <w:pPr>
        <w:spacing w:after="240" w:before="0"/>
      </w:pPr>
    </w:p>
    <w:p>
      <w:pPr>
        <w:pBdr>
          <w:top w:val="single" w:color="CCCCCC" w:sz="4" w:space="8"/>
        </w:pBdr>
        <w:spacing w:after="0" w:before="320"/>
      </w:pPr>
      <w:r>
        <w:rPr>
          <w:rFonts w:ascii="Arial" w:cs="Arial" w:eastAsia="Arial" w:hAnsi="Arial"/>
          <w:i/>
          <w:iCs/>
          <w:color w:val="777777"/>
          <w:sz w:val="18"/>
          <w:szCs w:val="18"/>
        </w:rPr>
        <w:t xml:space="preserve">Review date: 2026-05-28  ·  Target commit: 121431432  ·  Reviewer: Claude (Anthropic)</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2026-05-29T01:07:19.476Z</dcterms:created>
  <dcterms:modified xsi:type="dcterms:W3CDTF">2026-05-29T01:07:19.478Z</dcterms:modified>
</cp:coreProperties>
</file>

<file path=docProps/custom.xml><?xml version="1.0" encoding="utf-8"?>
<Properties xmlns="http://schemas.openxmlformats.org/officeDocument/2006/custom-properties" xmlns:vt="http://schemas.openxmlformats.org/officeDocument/2006/docPropsVTypes"/>
</file>