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PMI-DOC-003</w:t>
        <w:br/>
        <w:t>Product Principles</w:t>
        <w:br/>
        <w:t>PMI Studio</w:t>
        <w:br/>
        <w:t>Version 1.0</w:t>
      </w:r>
    </w:p>
    <w:p>
      <w:r>
        <w:rPr>
          <w:b/>
        </w:rPr>
        <w:t xml:space="preserve">Purpose: </w:t>
      </w:r>
      <w:r>
        <w:t>Define the engineering, product, architecture, governance, and AI principles that guide every decision throughout the PMI Studio lifecycle. These principles are mandatory for all future specifications, designs, and implementations.</w:t>
      </w:r>
    </w:p>
    <w:p>
      <w:pPr>
        <w:pStyle w:val="Heading2"/>
      </w:pPr>
      <w:r>
        <w:t>Core Principles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Principle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PP-001</w:t>
            </w:r>
          </w:p>
        </w:tc>
        <w:tc>
          <w:tcPr>
            <w:tcW w:type="dxa" w:w="2880"/>
          </w:tcPr>
          <w:p>
            <w:r>
              <w:t>Specification First, AI Second</w:t>
            </w:r>
          </w:p>
        </w:tc>
        <w:tc>
          <w:tcPr>
            <w:tcW w:type="dxa" w:w="2880"/>
          </w:tcPr>
          <w:p>
            <w:r>
              <w:t>Every capability begins with an approved specification. AI accelerates implementation but never replaces specification.</w:t>
            </w:r>
          </w:p>
        </w:tc>
      </w:tr>
      <w:tr>
        <w:tc>
          <w:tcPr>
            <w:tcW w:type="dxa" w:w="2880"/>
          </w:tcPr>
          <w:p>
            <w:r>
              <w:t>PP-002</w:t>
            </w:r>
          </w:p>
        </w:tc>
        <w:tc>
          <w:tcPr>
            <w:tcW w:type="dxa" w:w="2880"/>
          </w:tcPr>
          <w:p>
            <w:r>
              <w:t>Single Source of Truth</w:t>
            </w:r>
          </w:p>
        </w:tc>
        <w:tc>
          <w:tcPr>
            <w:tcW w:type="dxa" w:w="2880"/>
          </w:tcPr>
          <w:p>
            <w:r>
              <w:t>Requirements and specifications are authoritative and fully traceable.</w:t>
            </w:r>
          </w:p>
        </w:tc>
      </w:tr>
      <w:tr>
        <w:tc>
          <w:tcPr>
            <w:tcW w:type="dxa" w:w="2880"/>
          </w:tcPr>
          <w:p>
            <w:r>
              <w:t>PP-003</w:t>
            </w:r>
          </w:p>
        </w:tc>
        <w:tc>
          <w:tcPr>
            <w:tcW w:type="dxa" w:w="2880"/>
          </w:tcPr>
          <w:p>
            <w:r>
              <w:t>Human-in-the-Loop</w:t>
            </w:r>
          </w:p>
        </w:tc>
        <w:tc>
          <w:tcPr>
            <w:tcW w:type="dxa" w:w="2880"/>
          </w:tcPr>
          <w:p>
            <w:r>
              <w:t>Critical decisions require human approval before implementation.</w:t>
            </w:r>
          </w:p>
        </w:tc>
      </w:tr>
      <w:tr>
        <w:tc>
          <w:tcPr>
            <w:tcW w:type="dxa" w:w="2880"/>
          </w:tcPr>
          <w:p>
            <w:r>
              <w:t>PP-004</w:t>
            </w:r>
          </w:p>
        </w:tc>
        <w:tc>
          <w:tcPr>
            <w:tcW w:type="dxa" w:w="2880"/>
          </w:tcPr>
          <w:p>
            <w:r>
              <w:t>End-to-End Traceability</w:t>
            </w:r>
          </w:p>
        </w:tc>
        <w:tc>
          <w:tcPr>
            <w:tcW w:type="dxa" w:w="2880"/>
          </w:tcPr>
          <w:p>
            <w:r>
              <w:t>Every requirement maps to architecture, code, tests, and releases.</w:t>
            </w:r>
          </w:p>
        </w:tc>
      </w:tr>
      <w:tr>
        <w:tc>
          <w:tcPr>
            <w:tcW w:type="dxa" w:w="2880"/>
          </w:tcPr>
          <w:p>
            <w:r>
              <w:t>PP-005</w:t>
            </w:r>
          </w:p>
        </w:tc>
        <w:tc>
          <w:tcPr>
            <w:tcW w:type="dxa" w:w="2880"/>
          </w:tcPr>
          <w:p>
            <w:r>
              <w:t>Modular Architecture</w:t>
            </w:r>
          </w:p>
        </w:tc>
        <w:tc>
          <w:tcPr>
            <w:tcW w:type="dxa" w:w="2880"/>
          </w:tcPr>
          <w:p>
            <w:r>
              <w:t>Components are loosely coupled with well-defined interfaces.</w:t>
            </w:r>
          </w:p>
        </w:tc>
      </w:tr>
      <w:tr>
        <w:tc>
          <w:tcPr>
            <w:tcW w:type="dxa" w:w="2880"/>
          </w:tcPr>
          <w:p>
            <w:r>
              <w:t>PP-006</w:t>
            </w:r>
          </w:p>
        </w:tc>
        <w:tc>
          <w:tcPr>
            <w:tcW w:type="dxa" w:w="2880"/>
          </w:tcPr>
          <w:p>
            <w:r>
              <w:t>Engine Independence</w:t>
            </w:r>
          </w:p>
        </w:tc>
        <w:tc>
          <w:tcPr>
            <w:tcW w:type="dxa" w:w="2880"/>
          </w:tcPr>
          <w:p>
            <w:r>
              <w:t>Specification engines are replaceable through adapters; Spec Kit is the first implementation, not the only one.</w:t>
            </w:r>
          </w:p>
        </w:tc>
      </w:tr>
      <w:tr>
        <w:tc>
          <w:tcPr>
            <w:tcW w:type="dxa" w:w="2880"/>
          </w:tcPr>
          <w:p>
            <w:r>
              <w:t>PP-007</w:t>
            </w:r>
          </w:p>
        </w:tc>
        <w:tc>
          <w:tcPr>
            <w:tcW w:type="dxa" w:w="2880"/>
          </w:tcPr>
          <w:p>
            <w:r>
              <w:t>API &amp; MCP First</w:t>
            </w:r>
          </w:p>
        </w:tc>
        <w:tc>
          <w:tcPr>
            <w:tcW w:type="dxa" w:w="2880"/>
          </w:tcPr>
          <w:p>
            <w:r>
              <w:t>All core capabilities are exposed through APIs and extensible through MCP.</w:t>
            </w:r>
          </w:p>
        </w:tc>
      </w:tr>
      <w:tr>
        <w:tc>
          <w:tcPr>
            <w:tcW w:type="dxa" w:w="2880"/>
          </w:tcPr>
          <w:p>
            <w:r>
              <w:t>PP-008</w:t>
            </w:r>
          </w:p>
        </w:tc>
        <w:tc>
          <w:tcPr>
            <w:tcW w:type="dxa" w:w="2880"/>
          </w:tcPr>
          <w:p>
            <w:r>
              <w:t>Security by Design</w:t>
            </w:r>
          </w:p>
        </w:tc>
        <w:tc>
          <w:tcPr>
            <w:tcW w:type="dxa" w:w="2880"/>
          </w:tcPr>
          <w:p>
            <w:r>
              <w:t>Security, privacy, and compliance are built into every layer.</w:t>
            </w:r>
          </w:p>
        </w:tc>
      </w:tr>
      <w:tr>
        <w:tc>
          <w:tcPr>
            <w:tcW w:type="dxa" w:w="2880"/>
          </w:tcPr>
          <w:p>
            <w:r>
              <w:t>PP-009</w:t>
            </w:r>
          </w:p>
        </w:tc>
        <w:tc>
          <w:tcPr>
            <w:tcW w:type="dxa" w:w="2880"/>
          </w:tcPr>
          <w:p>
            <w:r>
              <w:t>Quality by Design</w:t>
            </w:r>
          </w:p>
        </w:tc>
        <w:tc>
          <w:tcPr>
            <w:tcW w:type="dxa" w:w="2880"/>
          </w:tcPr>
          <w:p>
            <w:r>
              <w:t>Acceptance criteria, automated testing, and quality gates are mandatory.</w:t>
            </w:r>
          </w:p>
        </w:tc>
      </w:tr>
      <w:tr>
        <w:tc>
          <w:tcPr>
            <w:tcW w:type="dxa" w:w="2880"/>
          </w:tcPr>
          <w:p>
            <w:r>
              <w:t>PP-010</w:t>
            </w:r>
          </w:p>
        </w:tc>
        <w:tc>
          <w:tcPr>
            <w:tcW w:type="dxa" w:w="2880"/>
          </w:tcPr>
          <w:p>
            <w:r>
              <w:t>Observability by Default</w:t>
            </w:r>
          </w:p>
        </w:tc>
        <w:tc>
          <w:tcPr>
            <w:tcW w:type="dxa" w:w="2880"/>
          </w:tcPr>
          <w:p>
            <w:r>
              <w:t>Logging, metrics, tracing, and auditability are first-class features.</w:t>
            </w:r>
          </w:p>
        </w:tc>
      </w:tr>
      <w:tr>
        <w:tc>
          <w:tcPr>
            <w:tcW w:type="dxa" w:w="2880"/>
          </w:tcPr>
          <w:p>
            <w:r>
              <w:t>PP-011</w:t>
            </w:r>
          </w:p>
        </w:tc>
        <w:tc>
          <w:tcPr>
            <w:tcW w:type="dxa" w:w="2880"/>
          </w:tcPr>
          <w:p>
            <w:r>
              <w:t>Documentation as Code</w:t>
            </w:r>
          </w:p>
        </w:tc>
        <w:tc>
          <w:tcPr>
            <w:tcW w:type="dxa" w:w="2880"/>
          </w:tcPr>
          <w:p>
            <w:r>
              <w:t>Markdown specifications under version control are the engineering source of truth.</w:t>
            </w:r>
          </w:p>
        </w:tc>
      </w:tr>
      <w:tr>
        <w:tc>
          <w:tcPr>
            <w:tcW w:type="dxa" w:w="2880"/>
          </w:tcPr>
          <w:p>
            <w:r>
              <w:t>PP-012</w:t>
            </w:r>
          </w:p>
        </w:tc>
        <w:tc>
          <w:tcPr>
            <w:tcW w:type="dxa" w:w="2880"/>
          </w:tcPr>
          <w:p>
            <w:r>
              <w:t>Everything Versioned</w:t>
            </w:r>
          </w:p>
        </w:tc>
        <w:tc>
          <w:tcPr>
            <w:tcW w:type="dxa" w:w="2880"/>
          </w:tcPr>
          <w:p>
            <w:r>
              <w:t>Requirements, specifications, prompts, APIs, schemas, and workflows are version controlled.</w:t>
            </w:r>
          </w:p>
        </w:tc>
      </w:tr>
      <w:tr>
        <w:tc>
          <w:tcPr>
            <w:tcW w:type="dxa" w:w="2880"/>
          </w:tcPr>
          <w:p>
            <w:r>
              <w:t>PP-013</w:t>
            </w:r>
          </w:p>
        </w:tc>
        <w:tc>
          <w:tcPr>
            <w:tcW w:type="dxa" w:w="2880"/>
          </w:tcPr>
          <w:p>
            <w:r>
              <w:t>Knowledge-Driven Engineering</w:t>
            </w:r>
          </w:p>
        </w:tc>
        <w:tc>
          <w:tcPr>
            <w:tcW w:type="dxa" w:w="2880"/>
          </w:tcPr>
          <w:p>
            <w:r>
              <w:t>Reusable organizational knowledge powers AI-assisted delivery.</w:t>
            </w:r>
          </w:p>
        </w:tc>
      </w:tr>
      <w:tr>
        <w:tc>
          <w:tcPr>
            <w:tcW w:type="dxa" w:w="2880"/>
          </w:tcPr>
          <w:p>
            <w:r>
              <w:t>PP-014</w:t>
            </w:r>
          </w:p>
        </w:tc>
        <w:tc>
          <w:tcPr>
            <w:tcW w:type="dxa" w:w="2880"/>
          </w:tcPr>
          <w:p>
            <w:r>
              <w:t>Configuration over Customization</w:t>
            </w:r>
          </w:p>
        </w:tc>
        <w:tc>
          <w:tcPr>
            <w:tcW w:type="dxa" w:w="2880"/>
          </w:tcPr>
          <w:p>
            <w:r>
              <w:t>Favor configurable behavior over custom implementations.</w:t>
            </w:r>
          </w:p>
        </w:tc>
      </w:tr>
      <w:tr>
        <w:tc>
          <w:tcPr>
            <w:tcW w:type="dxa" w:w="2880"/>
          </w:tcPr>
          <w:p>
            <w:r>
              <w:t>PP-015</w:t>
            </w:r>
          </w:p>
        </w:tc>
        <w:tc>
          <w:tcPr>
            <w:tcW w:type="dxa" w:w="2880"/>
          </w:tcPr>
          <w:p>
            <w:r>
              <w:t>Open Standards</w:t>
            </w:r>
          </w:p>
        </w:tc>
        <w:tc>
          <w:tcPr>
            <w:tcW w:type="dxa" w:w="2880"/>
          </w:tcPr>
          <w:p>
            <w:r>
              <w:t>Adopt open formats and avoid unnecessary vendor lock-in.</w:t>
            </w:r>
          </w:p>
        </w:tc>
      </w:tr>
      <w:tr>
        <w:tc>
          <w:tcPr>
            <w:tcW w:type="dxa" w:w="2880"/>
          </w:tcPr>
          <w:p>
            <w:r>
              <w:t>PP-016</w:t>
            </w:r>
          </w:p>
        </w:tc>
        <w:tc>
          <w:tcPr>
            <w:tcW w:type="dxa" w:w="2880"/>
          </w:tcPr>
          <w:p>
            <w:r>
              <w:t>Explainable AI</w:t>
            </w:r>
          </w:p>
        </w:tc>
        <w:tc>
          <w:tcPr>
            <w:tcW w:type="dxa" w:w="2880"/>
          </w:tcPr>
          <w:p>
            <w:r>
              <w:t>AI-generated recommendations must be reviewable and traceable.</w:t>
            </w:r>
          </w:p>
        </w:tc>
      </w:tr>
      <w:tr>
        <w:tc>
          <w:tcPr>
            <w:tcW w:type="dxa" w:w="2880"/>
          </w:tcPr>
          <w:p>
            <w:r>
              <w:t>PP-017</w:t>
            </w:r>
          </w:p>
        </w:tc>
        <w:tc>
          <w:tcPr>
            <w:tcW w:type="dxa" w:w="2880"/>
          </w:tcPr>
          <w:p>
            <w:r>
              <w:t>Cost-Aware AI</w:t>
            </w:r>
          </w:p>
        </w:tc>
        <w:tc>
          <w:tcPr>
            <w:tcW w:type="dxa" w:w="2880"/>
          </w:tcPr>
          <w:p>
            <w:r>
              <w:t>Optimize AI model selection for quality, latency, and cost.</w:t>
            </w:r>
          </w:p>
        </w:tc>
      </w:tr>
      <w:tr>
        <w:tc>
          <w:tcPr>
            <w:tcW w:type="dxa" w:w="2880"/>
          </w:tcPr>
          <w:p>
            <w:r>
              <w:t>PP-018</w:t>
            </w:r>
          </w:p>
        </w:tc>
        <w:tc>
          <w:tcPr>
            <w:tcW w:type="dxa" w:w="2880"/>
          </w:tcPr>
          <w:p>
            <w:r>
              <w:t>Scalability First</w:t>
            </w:r>
          </w:p>
        </w:tc>
        <w:tc>
          <w:tcPr>
            <w:tcW w:type="dxa" w:w="2880"/>
          </w:tcPr>
          <w:p>
            <w:r>
              <w:t>Design for enterprise-scale workloads and multi-tenancy.</w:t>
            </w:r>
          </w:p>
        </w:tc>
      </w:tr>
      <w:tr>
        <w:tc>
          <w:tcPr>
            <w:tcW w:type="dxa" w:w="2880"/>
          </w:tcPr>
          <w:p>
            <w:r>
              <w:t>PP-019</w:t>
            </w:r>
          </w:p>
        </w:tc>
        <w:tc>
          <w:tcPr>
            <w:tcW w:type="dxa" w:w="2880"/>
          </w:tcPr>
          <w:p>
            <w:r>
              <w:t>Continuous Improvement</w:t>
            </w:r>
          </w:p>
        </w:tc>
        <w:tc>
          <w:tcPr>
            <w:tcW w:type="dxa" w:w="2880"/>
          </w:tcPr>
          <w:p>
            <w:r>
              <w:t>Measure delivery using DORA, SPACE, and product KPIs.</w:t>
            </w:r>
          </w:p>
        </w:tc>
      </w:tr>
      <w:tr>
        <w:tc>
          <w:tcPr>
            <w:tcW w:type="dxa" w:w="2880"/>
          </w:tcPr>
          <w:p>
            <w:r>
              <w:t>PP-020</w:t>
            </w:r>
          </w:p>
        </w:tc>
        <w:tc>
          <w:tcPr>
            <w:tcW w:type="dxa" w:w="2880"/>
          </w:tcPr>
          <w:p>
            <w:r>
              <w:t>Customer Value</w:t>
            </w:r>
          </w:p>
        </w:tc>
        <w:tc>
          <w:tcPr>
            <w:tcW w:type="dxa" w:w="2880"/>
          </w:tcPr>
          <w:p>
            <w:r>
              <w:t>Every feature must provide measurable business value.</w:t>
            </w:r>
          </w:p>
        </w:tc>
      </w:tr>
    </w:tbl>
    <w:p>
      <w:pPr>
        <w:pStyle w:val="Heading2"/>
      </w:pPr>
      <w:r>
        <w:t>Architecture Implications</w:t>
      </w:r>
    </w:p>
    <w:p>
      <w:pPr>
        <w:pStyle w:val="ListBullet"/>
      </w:pPr>
      <w:r>
        <w:t>Adopt adapter-based architecture for specification engines.</w:t>
      </w:r>
    </w:p>
    <w:p>
      <w:pPr>
        <w:pStyle w:val="ListBullet"/>
      </w:pPr>
      <w:r>
        <w:t>Use domain-driven modular design.</w:t>
      </w:r>
    </w:p>
    <w:p>
      <w:pPr>
        <w:pStyle w:val="ListBullet"/>
      </w:pPr>
      <w:r>
        <w:t>Maintain Architecture Decision Records (ADRs).</w:t>
      </w:r>
    </w:p>
    <w:p>
      <w:pPr>
        <w:pStyle w:val="ListBullet"/>
      </w:pPr>
      <w:r>
        <w:t>Preserve complete requirement traceability.</w:t>
      </w:r>
    </w:p>
    <w:p>
      <w:pPr>
        <w:pStyle w:val="ListBullet"/>
      </w:pPr>
      <w:r>
        <w:t>Treat AI agents as governed services, not autonomous authorities.</w:t>
      </w:r>
    </w:p>
    <w:p>
      <w:pPr>
        <w:pStyle w:val="Heading2"/>
      </w:pPr>
      <w:r>
        <w:t>Applies To</w:t>
      </w:r>
    </w:p>
    <w:p>
      <w:pPr>
        <w:pStyle w:val="ListBullet"/>
      </w:pPr>
      <w:r>
        <w:t>Business Requirement Specification (BRS)</w:t>
      </w:r>
    </w:p>
    <w:p>
      <w:pPr>
        <w:pStyle w:val="ListBullet"/>
      </w:pPr>
      <w:r>
        <w:t>Functional Requirement Specification (FRS)</w:t>
      </w:r>
    </w:p>
    <w:p>
      <w:pPr>
        <w:pStyle w:val="ListBullet"/>
      </w:pPr>
      <w:r>
        <w:t>Architecture documents</w:t>
      </w:r>
    </w:p>
    <w:p>
      <w:pPr>
        <w:pStyle w:val="ListBullet"/>
      </w:pPr>
      <w:r>
        <w:t>Module specifications</w:t>
      </w:r>
    </w:p>
    <w:p>
      <w:pPr>
        <w:pStyle w:val="ListBullet"/>
      </w:pPr>
      <w:r>
        <w:t>API specifications</w:t>
      </w:r>
    </w:p>
    <w:p>
      <w:pPr>
        <w:pStyle w:val="ListBullet"/>
      </w:pPr>
      <w:r>
        <w:t>Database design</w:t>
      </w:r>
    </w:p>
    <w:p>
      <w:pPr>
        <w:pStyle w:val="ListBullet"/>
      </w:pPr>
      <w:r>
        <w:t>UI/UX specifications</w:t>
      </w:r>
    </w:p>
    <w:p>
      <w:pPr>
        <w:pStyle w:val="ListBullet"/>
      </w:pPr>
      <w:r>
        <w:t>Spec Kit specifications</w:t>
      </w:r>
    </w:p>
    <w:p>
      <w:pPr>
        <w:pStyle w:val="ListBullet"/>
      </w:pPr>
      <w:r>
        <w:t>Implementation tasks</w:t>
      </w:r>
    </w:p>
    <w:p>
      <w:pPr>
        <w:pStyle w:val="ListBullet"/>
      </w:pPr>
      <w:r>
        <w:t>QA and release processes</w:t>
      </w:r>
    </w:p>
    <w:p>
      <w:pPr>
        <w:pStyle w:val="Heading2"/>
      </w:pPr>
      <w:r>
        <w:t>Related Documents</w:t>
      </w:r>
    </w:p>
    <w:p>
      <w:pPr>
        <w:pStyle w:val="ListBullet"/>
      </w:pPr>
      <w:r>
        <w:t>PMI-DOC-000 Product Documentation &amp; Specification Standard</w:t>
      </w:r>
    </w:p>
    <w:p>
      <w:pPr>
        <w:pStyle w:val="ListBullet"/>
      </w:pPr>
      <w:r>
        <w:t>PMI-DOC-001 Executive Product Vision</w:t>
      </w:r>
    </w:p>
    <w:p>
      <w:pPr>
        <w:pStyle w:val="ListBullet"/>
      </w:pPr>
      <w:r>
        <w:t>PMI-DOC-002 Product Charter</w:t>
      </w:r>
    </w:p>
    <w:p>
      <w:pPr>
        <w:pStyle w:val="ListBullet"/>
      </w:pPr>
      <w:r>
        <w:t>PMI-DOC-004 Business Requirement Specification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