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PMI Studio</w:t>
        <w:br/>
        <w:t>Augment/Cosmos Learnings Amendment</w:t>
      </w:r>
    </w:p>
    <w:p>
      <w:pPr>
        <w:jc w:val="center"/>
      </w:pPr>
      <w:r>
        <w:rPr>
          <w:b/>
        </w:rPr>
        <w:t>Spec Kit Plan Amendment • Architecture Refinement • Approved Direction</w:t>
      </w:r>
    </w:p>
    <w:p>
      <w:pPr>
        <w:jc w:val="center"/>
      </w:pPr>
      <w:r>
        <w:t>Status: ACCEPTED FOR PLAN RECONCILIATION</w:t>
        <w:br/>
        <w:t>Date: 14 August 2026</w:t>
      </w:r>
    </w:p>
    <w:p>
      <w:pPr>
        <w:pStyle w:val="Heading1"/>
      </w:pPr>
      <w:r>
        <w:t>1. Amendment Purpose</w:t>
      </w:r>
    </w:p>
    <w:p>
      <w:r>
        <w:t>Amend the existing PMI Studio product and implementation plan using selected architectural lessons from Augment Code/Cosmos. This is an evolutionary refinement, not a product reset. Existing approved requirements, module specifications, epics, Requirement Room, Change Room, Defect Room, Spec Kit integration, governance model, remote workspace direction, AI Gateway, Integration Hub, and valid implementation work SHALL be preserved unless a direct conflict is identified.</w:t>
      </w:r>
    </w:p>
    <w:p>
      <w:r>
        <w:t>PMI Studio remains targeted at software organizations that need a ready-to-use, integrated AI-native engineering ecosystem and do not want or cannot afford to build a large-company internal developer platform.</w:t>
      </w:r>
    </w:p>
    <w:p>
      <w:pPr>
        <w:pStyle w:val="Heading1"/>
      </w:pPr>
      <w:r>
        <w:t>2. Strategic Boundary</w:t>
      </w:r>
    </w:p>
    <w:p>
      <w:r>
        <w:t>PMI Studio SHALL NOT compete primarily as an AI coding IDE or attempt to outperform specialist coding agents at code generation. Claude Code, Codex, Cursor, Augment and future compatible systems SHOULD be treated as interchangeable or complementary execution engines where appropriate.</w:t>
      </w:r>
    </w:p>
    <w:p>
      <w:r>
        <w:t>PMI Studio's differentiated responsibility SHALL remain the governed lifecycle from intent and requirements through specification, decision, planning, AI/human execution, evidence, release, defect and change.</w:t>
      </w:r>
    </w:p>
    <w:p>
      <w:pPr>
        <w:pStyle w:val="Heading1"/>
      </w:pPr>
      <w:r>
        <w:t>3. Approved Architectural Refinements</w:t>
      </w:r>
    </w:p>
    <w:p>
      <w:pPr>
        <w:pStyle w:val="Heading2"/>
      </w:pPr>
      <w:r>
        <w:t>3.1 Governed Engineering Loops</w:t>
      </w:r>
    </w:p>
    <w:p>
      <w:r>
        <w:t>Introduce Governed Engineering Loops as a reusable workflow abstraction underneath repeatable PMI Studio processes. A loop SHALL support: Event → Context → Analyze → Decide → Execute → Verify → Evidence → Outcome → Next Event.</w:t>
      </w:r>
    </w:p>
    <w:p>
      <w:r>
        <w:t>Requirement Room, Change Room and Defect Room SHALL remain distinct user-facing governed rooms with their own rules, states, permissions and decisions, while reusing the common workflow engine.</w:t>
      </w:r>
    </w:p>
    <w:p>
      <w:pPr>
        <w:pStyle w:val="ListBullet"/>
      </w:pPr>
      <w:r>
        <w:t>Requirement Loop: Request → Clarify → Analyze → Options/Risks → Acceptance Criteria → Decision → Baseline → Specification.</w:t>
      </w:r>
    </w:p>
    <w:p>
      <w:pPr>
        <w:pStyle w:val="ListBullet"/>
      </w:pPr>
      <w:r>
        <w:t>Change Loop: Change Request → Clarify → Impact → Options/Trade-offs → Risk → Decision → Specification Update → Re-plan.</w:t>
      </w:r>
    </w:p>
    <w:p>
      <w:pPr>
        <w:pStyle w:val="ListBullet"/>
      </w:pPr>
      <w:r>
        <w:t>Defect Loop: Defect → Classify → Link to Requirement/Epic → Reproduce → Test → Diagnose → Fix → Verify → Evidence → Close.</w:t>
      </w:r>
    </w:p>
    <w:p>
      <w:pPr>
        <w:pStyle w:val="ListBullet"/>
      </w:pPr>
      <w:r>
        <w:t>If the expected behavior passes and the requested behavior represents a modification rather than a specification violation, the Defect Loop SHALL transfer the item to the Change Room.</w:t>
      </w:r>
    </w:p>
    <w:p>
      <w:pPr>
        <w:pStyle w:val="Heading2"/>
      </w:pPr>
      <w:r>
        <w:t>3.2 Context Engine Upgrade</w:t>
      </w:r>
    </w:p>
    <w:p>
      <w:r>
        <w:t>Upgrade the Engineering Context Engine into four coordinated capabilities rather than treating context as a single document store or knowledge graph:</w:t>
      </w:r>
    </w:p>
    <w:p>
      <w:pPr>
        <w:pStyle w:val="ListBullet"/>
      </w:pPr>
      <w:r>
        <w:t>Semantic Retrieval — find the most relevant code, specifications, decisions, documentation and history for the current task.</w:t>
      </w:r>
    </w:p>
    <w:p>
      <w:pPr>
        <w:pStyle w:val="ListBullet"/>
      </w:pPr>
      <w:r>
        <w:t>Knowledge Graph — maintain verified relationships among requirements, decisions, architecture, tasks, code, tests, releases, defects and changes.</w:t>
      </w:r>
    </w:p>
    <w:p>
      <w:pPr>
        <w:pStyle w:val="ListBullet"/>
      </w:pPr>
      <w:r>
        <w:t>Live Engineering State — represent current workflow, repository, build, deployment, incident and tool state.</w:t>
      </w:r>
    </w:p>
    <w:p>
      <w:pPr>
        <w:pStyle w:val="ListBullet"/>
      </w:pPr>
      <w:r>
        <w:t>Context Curation — construct task-specific context packages according to role, permissions, token budget, security classification and task objective.</w:t>
      </w:r>
    </w:p>
    <w:p>
      <w:r>
        <w:t>Agents SHALL receive curated task-specific context rather than indiscriminately receiving all available project information.</w:t>
      </w:r>
    </w:p>
    <w:p>
      <w:pPr>
        <w:pStyle w:val="Heading2"/>
      </w:pPr>
      <w:r>
        <w:t>3.3 Engineering Expert Model</w:t>
      </w:r>
    </w:p>
    <w:p>
      <w:r>
        <w:t>Enhance the existing Agent Registry so registered engineering agents are defined as governed Engineering Experts, not merely a model plus prompt.</w:t>
      </w:r>
    </w:p>
    <w:p>
      <w:pPr>
        <w:pStyle w:val="ListBullet"/>
      </w:pPr>
      <w:r>
        <w:t>Identity, role and purpose</w:t>
      </w:r>
    </w:p>
    <w:p>
      <w:pPr>
        <w:pStyle w:val="ListBullet"/>
      </w:pPr>
      <w:r>
        <w:t>Preferred model, fallback model and cost policy</w:t>
      </w:r>
    </w:p>
    <w:p>
      <w:pPr>
        <w:pStyle w:val="ListBullet"/>
      </w:pPr>
      <w:r>
        <w:t>Context policy and retrieval strategy</w:t>
      </w:r>
    </w:p>
    <w:p>
      <w:pPr>
        <w:pStyle w:val="ListBullet"/>
      </w:pPr>
      <w:r>
        <w:t>Capabilities and allowed tools</w:t>
      </w:r>
    </w:p>
    <w:p>
      <w:pPr>
        <w:pStyle w:val="ListBullet"/>
      </w:pPr>
      <w:r>
        <w:t>Workspace/environment requirements</w:t>
      </w:r>
    </w:p>
    <w:p>
      <w:pPr>
        <w:pStyle w:val="ListBullet"/>
      </w:pPr>
      <w:r>
        <w:t>Permissions and prohibited actions</w:t>
      </w:r>
    </w:p>
    <w:p>
      <w:pPr>
        <w:pStyle w:val="ListBullet"/>
      </w:pPr>
      <w:r>
        <w:t>Approval requirements and risk classification</w:t>
      </w:r>
    </w:p>
    <w:p>
      <w:pPr>
        <w:pStyle w:val="ListBullet"/>
      </w:pPr>
      <w:r>
        <w:t>Session/project memory policy</w:t>
      </w:r>
    </w:p>
    <w:p>
      <w:pPr>
        <w:pStyle w:val="ListBullet"/>
      </w:pPr>
      <w:r>
        <w:t>Required outputs</w:t>
      </w:r>
    </w:p>
    <w:p>
      <w:pPr>
        <w:pStyle w:val="ListBullet"/>
      </w:pPr>
      <w:r>
        <w:t>Evidence Contract defining what proof must accompany successful execution</w:t>
      </w:r>
    </w:p>
    <w:p>
      <w:pPr>
        <w:pStyle w:val="Heading2"/>
      </w:pPr>
      <w:r>
        <w:t>3.4 Governed Learning</w:t>
      </w:r>
    </w:p>
    <w:p>
      <w:r>
        <w:t>Introduce a controlled organizational learning mechanism. Agent observations SHALL NOT silently become trusted project or organizational knowledge.</w:t>
      </w:r>
    </w:p>
    <w:p>
      <w:r>
        <w:t>Learning flow: Agent Discovery → Learning Candidate → Supporting Evidence → Confidence/Impact Evaluation → Policy Decision → Automatic acceptance for explicitly permitted low-risk cases OR Human Review → Approved Knowledge → Context Engine.</w:t>
      </w:r>
    </w:p>
    <w:p>
      <w:r>
        <w:t>The system SHALL preserve provenance, source, confidence, approval status and supersession history for learned knowledge.</w:t>
      </w:r>
    </w:p>
    <w:p>
      <w:pPr>
        <w:pStyle w:val="Heading2"/>
      </w:pPr>
      <w:r>
        <w:t>3.5 Specification Compliance and Evidence as the Core Differentiator</w:t>
      </w:r>
    </w:p>
    <w:p>
      <w:r>
        <w:t>PMI Studio SHALL prioritize specification compliance and engineering evidence over building a generic deep-code-review product. External review, static-analysis, security and testing tools MAY provide evidence to PMI Studio.</w:t>
      </w:r>
    </w:p>
    <w:p>
      <w:r>
        <w:t>Introduce or strengthen a Specification Compliance Agent that evaluates approved specification + acceptance criteria + constraints + architecture + implementation + test evidence and determines whether the delivered result satisfies the approved intent.</w:t>
      </w:r>
    </w:p>
    <w:p>
      <w:r>
        <w:t>Completion SHALL be evidence-driven. An agent reporting 'done' is not sufficient.</w:t>
      </w:r>
    </w:p>
    <w:p>
      <w:pPr>
        <w:pStyle w:val="Heading1"/>
      </w:pPr>
      <w:r>
        <w:t>4. Context and Traceability Model</w:t>
      </w:r>
    </w:p>
    <w:p>
      <w:r>
        <w:t>The Engineering Context/Knowledge system SHOULD support traceability across:</w:t>
      </w:r>
    </w:p>
    <w:p>
      <w:pPr>
        <w:pStyle w:val="IntenseQuote"/>
      </w:pPr>
      <w:r>
        <w:t>Business Objective → Stakeholder Need → Requirement → Clarification → Decision → Acceptance Criteria → Specification → Architecture Decision → Epic/Feature → Task → Agent Session → Code Change → Commit/PR → Test → Security Evidence → Release → Deployment → Telemetry/Incident → Defect → Change Request.</w:t>
      </w:r>
    </w:p>
    <w:p>
      <w:r>
        <w:t>The platform SHOULD answer impact and rationale questions from structured relationships and verified evidence, with LLM reasoning used to interpret and explain rather than invent relationships.</w:t>
      </w:r>
    </w:p>
    <w:p>
      <w:pPr>
        <w:pStyle w:val="Heading1"/>
      </w:pPr>
      <w:r>
        <w:t>5. Integration Hub Refinement</w:t>
      </w:r>
    </w:p>
    <w:p>
      <w:r>
        <w:t>MCP SHALL become a first-class integration protocol within the Engineering Integration Hub, but core PMI Studio workflows SHALL depend on abstract capabilities rather than directly depending on a particular MCP server or vendor API.</w:t>
      </w:r>
    </w:p>
    <w:p>
      <w:r>
        <w:t>Example: a workflow requests CreatePullRequest(). The Capability Resolver selects an authorized GitHub MCP adapter, GitHub API adapter, GitLab adapter or another compatible implementation.</w:t>
      </w:r>
    </w:p>
    <w:p>
      <w:r>
        <w:t>This preserves portability across GitHub/GitLab/Bitbucket, AI providers, CI/CD systems, cloud providers and future protocols.</w:t>
      </w:r>
    </w:p>
    <w:p>
      <w:pPr>
        <w:pStyle w:val="Heading1"/>
      </w:pPr>
      <w:r>
        <w:t>6. Workspace Fabric Refinement</w:t>
      </w:r>
    </w:p>
    <w:p>
      <w:r>
        <w:t>Evolve the existing remote workspace/VM concept into a Workspace Fabric capable of supporting multiple controlled execution modes:</w:t>
      </w:r>
    </w:p>
    <w:p>
      <w:pPr>
        <w:pStyle w:val="ListBullet"/>
      </w:pPr>
      <w:r>
        <w:t>PMI-managed isolated VM/container workspace</w:t>
      </w:r>
    </w:p>
    <w:p>
      <w:pPr>
        <w:pStyle w:val="ListBullet"/>
      </w:pPr>
      <w:r>
        <w:t>Customer-cloud workspace in the customer's AWS/Azure/GCP environment</w:t>
      </w:r>
    </w:p>
    <w:p>
      <w:pPr>
        <w:pStyle w:val="ListBullet"/>
      </w:pPr>
      <w:r>
        <w:t>Controlled local/developer-machine connector where policy permits</w:t>
      </w:r>
    </w:p>
    <w:p>
      <w:r>
        <w:t>All execution modes SHOULD apply consistent identity, policy, context, audit, evidence and permission controls. PMI Studio SHALL preserve the existing remote-first secure execution direction.</w:t>
      </w:r>
    </w:p>
    <w:p>
      <w:pPr>
        <w:pStyle w:val="Heading1"/>
      </w:pPr>
      <w:r>
        <w:t>7. Risk-Adaptive Human-in-the-Loop Governance</w:t>
      </w:r>
    </w:p>
    <w:p>
      <w:r>
        <w:t>Human checkpoints SHALL remain first-class, but the platform SHALL avoid requiring human approval for every AI action.</w:t>
      </w:r>
    </w:p>
    <w:p>
      <w:r>
        <w:t>Actions SHOULD be evaluated by risk, policy and impact: Low Risk → permitted automatic execution; Medium Risk → evidence/policy gate; High Risk or consequential decision → mandatory human approval.</w:t>
      </w:r>
    </w:p>
    <w:p>
      <w:r>
        <w:t>Requirement baselines, significant scope changes, security exceptions, major architecture changes and other policy-defined consequential decisions SHALL remain human-accountable.</w:t>
      </w:r>
    </w:p>
    <w:p>
      <w:pPr>
        <w:pStyle w:val="Heading1"/>
      </w:pPr>
      <w:r>
        <w:t>8. Product Boundary — Build vs Integrate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Capability</w:t>
            </w:r>
          </w:p>
        </w:tc>
        <w:tc>
          <w:tcPr>
            <w:tcW w:type="dxa" w:w="3312"/>
          </w:tcPr>
          <w:p>
            <w:r>
              <w:t>Preferred PMI Role</w:t>
            </w:r>
          </w:p>
        </w:tc>
        <w:tc>
          <w:tcPr>
            <w:tcW w:type="dxa" w:w="3312"/>
          </w:tcPr>
          <w:p>
            <w:r>
              <w:t>Direction</w:t>
            </w:r>
          </w:p>
        </w:tc>
      </w:tr>
      <w:tr>
        <w:tc>
          <w:tcPr>
            <w:tcW w:type="dxa" w:w="3312"/>
            <w:vAlign w:val="center"/>
          </w:tcPr>
          <w:p>
            <w:r>
              <w:t>Requirements / Specification</w:t>
            </w:r>
          </w:p>
        </w:tc>
        <w:tc>
          <w:tcPr>
            <w:tcW w:type="dxa" w:w="3312"/>
            <w:vAlign w:val="center"/>
          </w:tcPr>
          <w:p>
            <w:r>
              <w:t>Own</w:t>
            </w:r>
          </w:p>
        </w:tc>
        <w:tc>
          <w:tcPr>
            <w:tcW w:type="dxa" w:w="3312"/>
            <w:vAlign w:val="center"/>
          </w:tcPr>
          <w:p>
            <w:r>
              <w:t>Core differentiator</w:t>
            </w:r>
          </w:p>
        </w:tc>
      </w:tr>
      <w:tr>
        <w:tc>
          <w:tcPr>
            <w:tcW w:type="dxa" w:w="3312"/>
            <w:vAlign w:val="center"/>
          </w:tcPr>
          <w:p>
            <w:r>
              <w:t>Change / Defect governance</w:t>
            </w:r>
          </w:p>
        </w:tc>
        <w:tc>
          <w:tcPr>
            <w:tcW w:type="dxa" w:w="3312"/>
            <w:vAlign w:val="center"/>
          </w:tcPr>
          <w:p>
            <w:r>
              <w:t>Own</w:t>
            </w:r>
          </w:p>
        </w:tc>
        <w:tc>
          <w:tcPr>
            <w:tcW w:type="dxa" w:w="3312"/>
            <w:vAlign w:val="center"/>
          </w:tcPr>
          <w:p>
            <w:r>
              <w:t>Core differentiator</w:t>
            </w:r>
          </w:p>
        </w:tc>
      </w:tr>
      <w:tr>
        <w:tc>
          <w:tcPr>
            <w:tcW w:type="dxa" w:w="3312"/>
            <w:vAlign w:val="center"/>
          </w:tcPr>
          <w:p>
            <w:r>
              <w:t>Workflow / Decision / Evidence</w:t>
            </w:r>
          </w:p>
        </w:tc>
        <w:tc>
          <w:tcPr>
            <w:tcW w:type="dxa" w:w="3312"/>
            <w:vAlign w:val="center"/>
          </w:tcPr>
          <w:p>
            <w:r>
              <w:t>Own</w:t>
            </w:r>
          </w:p>
        </w:tc>
        <w:tc>
          <w:tcPr>
            <w:tcW w:type="dxa" w:w="3312"/>
            <w:vAlign w:val="center"/>
          </w:tcPr>
          <w:p>
            <w:r>
              <w:t>Core differentiator</w:t>
            </w:r>
          </w:p>
        </w:tc>
      </w:tr>
      <w:tr>
        <w:tc>
          <w:tcPr>
            <w:tcW w:type="dxa" w:w="3312"/>
            <w:vAlign w:val="center"/>
          </w:tcPr>
          <w:p>
            <w:r>
              <w:t>Context curation / traceability</w:t>
            </w:r>
          </w:p>
        </w:tc>
        <w:tc>
          <w:tcPr>
            <w:tcW w:type="dxa" w:w="3312"/>
            <w:vAlign w:val="center"/>
          </w:tcPr>
          <w:p>
            <w:r>
              <w:t>Own</w:t>
            </w:r>
          </w:p>
        </w:tc>
        <w:tc>
          <w:tcPr>
            <w:tcW w:type="dxa" w:w="3312"/>
            <w:vAlign w:val="center"/>
          </w:tcPr>
          <w:p>
            <w:r>
              <w:t>Core differentiator</w:t>
            </w:r>
          </w:p>
        </w:tc>
      </w:tr>
      <w:tr>
        <w:tc>
          <w:tcPr>
            <w:tcW w:type="dxa" w:w="3312"/>
            <w:vAlign w:val="center"/>
          </w:tcPr>
          <w:p>
            <w:r>
              <w:t>Specification compliance</w:t>
            </w:r>
          </w:p>
        </w:tc>
        <w:tc>
          <w:tcPr>
            <w:tcW w:type="dxa" w:w="3312"/>
            <w:vAlign w:val="center"/>
          </w:tcPr>
          <w:p>
            <w:r>
              <w:t>Own</w:t>
            </w:r>
          </w:p>
        </w:tc>
        <w:tc>
          <w:tcPr>
            <w:tcW w:type="dxa" w:w="3312"/>
            <w:vAlign w:val="center"/>
          </w:tcPr>
          <w:p>
            <w:r>
              <w:t>Core differentiator</w:t>
            </w:r>
          </w:p>
        </w:tc>
      </w:tr>
      <w:tr>
        <w:tc>
          <w:tcPr>
            <w:tcW w:type="dxa" w:w="3312"/>
            <w:vAlign w:val="center"/>
          </w:tcPr>
          <w:p>
            <w:r>
              <w:t>AI coding</w:t>
            </w:r>
          </w:p>
        </w:tc>
        <w:tc>
          <w:tcPr>
            <w:tcW w:type="dxa" w:w="3312"/>
            <w:vAlign w:val="center"/>
          </w:tcPr>
          <w:p>
            <w:r>
              <w:t>Integrate/Hybrid</w:t>
            </w:r>
          </w:p>
        </w:tc>
        <w:tc>
          <w:tcPr>
            <w:tcW w:type="dxa" w:w="3312"/>
            <w:vAlign w:val="center"/>
          </w:tcPr>
          <w:p>
            <w:r>
              <w:t>Claude, Codex, Cursor, Augment, others</w:t>
            </w:r>
          </w:p>
        </w:tc>
      </w:tr>
      <w:tr>
        <w:tc>
          <w:tcPr>
            <w:tcW w:type="dxa" w:w="3312"/>
            <w:vAlign w:val="center"/>
          </w:tcPr>
          <w:p>
            <w:r>
              <w:t>Generic deep code review</w:t>
            </w:r>
          </w:p>
        </w:tc>
        <w:tc>
          <w:tcPr>
            <w:tcW w:type="dxa" w:w="3312"/>
            <w:vAlign w:val="center"/>
          </w:tcPr>
          <w:p>
            <w:r>
              <w:t>Integrate/Hybrid</w:t>
            </w:r>
          </w:p>
        </w:tc>
        <w:tc>
          <w:tcPr>
            <w:tcW w:type="dxa" w:w="3312"/>
            <w:vAlign w:val="center"/>
          </w:tcPr>
          <w:p>
            <w:r>
              <w:t>Consume external review evidence</w:t>
            </w:r>
          </w:p>
        </w:tc>
      </w:tr>
      <w:tr>
        <w:tc>
          <w:tcPr>
            <w:tcW w:type="dxa" w:w="3312"/>
            <w:vAlign w:val="center"/>
          </w:tcPr>
          <w:p>
            <w:r>
              <w:t>Source control</w:t>
            </w:r>
          </w:p>
        </w:tc>
        <w:tc>
          <w:tcPr>
            <w:tcW w:type="dxa" w:w="3312"/>
            <w:vAlign w:val="center"/>
          </w:tcPr>
          <w:p>
            <w:r>
              <w:t>Integrate</w:t>
            </w:r>
          </w:p>
        </w:tc>
        <w:tc>
          <w:tcPr>
            <w:tcW w:type="dxa" w:w="3312"/>
            <w:vAlign w:val="center"/>
          </w:tcPr>
          <w:p>
            <w:r>
              <w:t>GitHub/GitLab/Bitbucket</w:t>
            </w:r>
          </w:p>
        </w:tc>
      </w:tr>
      <w:tr>
        <w:tc>
          <w:tcPr>
            <w:tcW w:type="dxa" w:w="3312"/>
            <w:vAlign w:val="center"/>
          </w:tcPr>
          <w:p>
            <w:r>
              <w:t>CI/CD / Cloud / Observability</w:t>
            </w:r>
          </w:p>
        </w:tc>
        <w:tc>
          <w:tcPr>
            <w:tcW w:type="dxa" w:w="3312"/>
            <w:vAlign w:val="center"/>
          </w:tcPr>
          <w:p>
            <w:r>
              <w:t>Integrate</w:t>
            </w:r>
          </w:p>
        </w:tc>
        <w:tc>
          <w:tcPr>
            <w:tcW w:type="dxa" w:w="3312"/>
            <w:vAlign w:val="center"/>
          </w:tcPr>
          <w:p>
            <w:r>
              <w:t>Capability adapters/MCP/API</w:t>
            </w:r>
          </w:p>
        </w:tc>
      </w:tr>
    </w:tbl>
    <w:p>
      <w:pPr>
        <w:pStyle w:val="Heading1"/>
      </w:pPr>
      <w:r>
        <w:t>9. Required Plan Reconciliation</w:t>
      </w:r>
    </w:p>
    <w:p>
      <w:pPr>
        <w:pStyle w:val="ListNumber"/>
      </w:pPr>
      <w:r>
        <w:t>Review the current Master Product Specification, module specifications, system design, tech stack, epics and active plan before changing tasks.</w:t>
      </w:r>
    </w:p>
    <w:p>
      <w:pPr>
        <w:pStyle w:val="ListNumber"/>
      </w:pPr>
      <w:r>
        <w:t>Map each refinement in this amendment to existing requirements and architecture.</w:t>
      </w:r>
    </w:p>
    <w:p>
      <w:pPr>
        <w:pStyle w:val="ListNumber"/>
      </w:pPr>
      <w:r>
        <w:t>Classify each finding as Already Covered, Enhancement Required, Missing, Conflict, or Integration Boundary Change.</w:t>
      </w:r>
    </w:p>
    <w:p>
      <w:pPr>
        <w:pStyle w:val="ListNumber"/>
      </w:pPr>
      <w:r>
        <w:t>Do not duplicate existing requirements or create replacement IDs unnecessarily.</w:t>
      </w:r>
    </w:p>
    <w:p>
      <w:pPr>
        <w:pStyle w:val="ListNumber"/>
      </w:pPr>
      <w:r>
        <w:t>Preserve existing requirement, epic, module and ADR identifiers wherever possible.</w:t>
      </w:r>
    </w:p>
    <w:p>
      <w:pPr>
        <w:pStyle w:val="ListNumber"/>
      </w:pPr>
      <w:r>
        <w:t>Identify any new ADRs required for Governed Engineering Loops, Context Engine composition, Engineering Expert definition, Governed Learning, and Specification Compliance/Evidence.</w:t>
      </w:r>
    </w:p>
    <w:p>
      <w:pPr>
        <w:pStyle w:val="ListNumber"/>
      </w:pPr>
      <w:r>
        <w:t>Identify affected tasks and dependencies; do not stop valid implementation work unless a genuine conflict exists.</w:t>
      </w:r>
    </w:p>
    <w:p>
      <w:pPr>
        <w:pStyle w:val="ListNumber"/>
      </w:pPr>
      <w:r>
        <w:t>Apply changes incrementally and produce a migration/reconciliation sequence.</w:t>
      </w:r>
    </w:p>
    <w:p>
      <w:pPr>
        <w:pStyle w:val="Heading1"/>
      </w:pPr>
      <w:r>
        <w:t>10. Required Spec Kit Output</w:t>
      </w:r>
    </w:p>
    <w:p>
      <w:r>
        <w:t>Produce an amendment impact report containing:</w:t>
      </w:r>
    </w:p>
    <w:p>
      <w:pPr>
        <w:pStyle w:val="ListBullet"/>
      </w:pPr>
      <w:r>
        <w:t>Executive summary and confirmation that this is an evolutionary amendment</w:t>
      </w:r>
    </w:p>
    <w:p>
      <w:pPr>
        <w:pStyle w:val="ListBullet"/>
      </w:pPr>
      <w:r>
        <w:t>Existing requirements/modules/epics affected</w:t>
      </w:r>
    </w:p>
    <w:p>
      <w:pPr>
        <w:pStyle w:val="ListBullet"/>
      </w:pPr>
      <w:r>
        <w:t>Already-covered capabilities</w:t>
      </w:r>
    </w:p>
    <w:p>
      <w:pPr>
        <w:pStyle w:val="ListBullet"/>
      </w:pPr>
      <w:r>
        <w:t>Requirements requiring enhancement</w:t>
      </w:r>
    </w:p>
    <w:p>
      <w:pPr>
        <w:pStyle w:val="ListBullet"/>
      </w:pPr>
      <w:r>
        <w:t>New requirements genuinely required</w:t>
      </w:r>
    </w:p>
    <w:p>
      <w:pPr>
        <w:pStyle w:val="ListBullet"/>
      </w:pPr>
      <w:r>
        <w:t>Conflicts and recommended resolution</w:t>
      </w:r>
    </w:p>
    <w:p>
      <w:pPr>
        <w:pStyle w:val="ListBullet"/>
      </w:pPr>
      <w:r>
        <w:t>Architecture/ADR changes</w:t>
      </w:r>
    </w:p>
    <w:p>
      <w:pPr>
        <w:pStyle w:val="ListBullet"/>
      </w:pPr>
      <w:r>
        <w:t>Governed Engineering Loop design impact</w:t>
      </w:r>
    </w:p>
    <w:p>
      <w:pPr>
        <w:pStyle w:val="ListBullet"/>
      </w:pPr>
      <w:r>
        <w:t>Context Engine and Knowledge Graph impact</w:t>
      </w:r>
    </w:p>
    <w:p>
      <w:pPr>
        <w:pStyle w:val="ListBullet"/>
      </w:pPr>
      <w:r>
        <w:t>Agent Registry/Engineering Expert impact</w:t>
      </w:r>
    </w:p>
    <w:p>
      <w:pPr>
        <w:pStyle w:val="ListBullet"/>
      </w:pPr>
      <w:r>
        <w:t>Governed Learning impact</w:t>
      </w:r>
    </w:p>
    <w:p>
      <w:pPr>
        <w:pStyle w:val="ListBullet"/>
      </w:pPr>
      <w:r>
        <w:t>Specification Compliance/Evidence impact</w:t>
      </w:r>
    </w:p>
    <w:p>
      <w:pPr>
        <w:pStyle w:val="ListBullet"/>
      </w:pPr>
      <w:r>
        <w:t>Integration Hub/MCP capability abstraction impact</w:t>
      </w:r>
    </w:p>
    <w:p>
      <w:pPr>
        <w:pStyle w:val="ListBullet"/>
      </w:pPr>
      <w:r>
        <w:t>Workspace Fabric impact</w:t>
      </w:r>
    </w:p>
    <w:p>
      <w:pPr>
        <w:pStyle w:val="ListBullet"/>
      </w:pPr>
      <w:r>
        <w:t>Security/governance impact</w:t>
      </w:r>
    </w:p>
    <w:p>
      <w:pPr>
        <w:pStyle w:val="ListBullet"/>
      </w:pPr>
      <w:r>
        <w:t>Task additions/modifications/removals</w:t>
      </w:r>
    </w:p>
    <w:p>
      <w:pPr>
        <w:pStyle w:val="ListBullet"/>
      </w:pPr>
      <w:r>
        <w:t>Implementation sequencing and migration strategy</w:t>
      </w:r>
    </w:p>
    <w:p>
      <w:pPr>
        <w:pStyle w:val="ListBullet"/>
      </w:pPr>
      <w:r>
        <w:t>Open decisions requiring human approval</w:t>
      </w:r>
    </w:p>
    <w:p>
      <w:pPr>
        <w:pStyle w:val="Heading1"/>
      </w:pPr>
      <w:r>
        <w:t>11. Non-Goals</w:t>
      </w:r>
    </w:p>
    <w:p>
      <w:pPr>
        <w:pStyle w:val="ListBullet"/>
      </w:pPr>
      <w:r>
        <w:t>Do not reposition PMI Studio for very large enterprises building their own internal engineering platforms.</w:t>
      </w:r>
    </w:p>
    <w:p>
      <w:pPr>
        <w:pStyle w:val="ListBullet"/>
      </w:pPr>
      <w:r>
        <w:t>Do not rebuild PMI Studio around Augment/Cosmos terminology or architecture.</w:t>
      </w:r>
    </w:p>
    <w:p>
      <w:pPr>
        <w:pStyle w:val="ListBullet"/>
      </w:pPr>
      <w:r>
        <w:t>Do not replace the existing Requirement Room, Change Room or Defect Room.</w:t>
      </w:r>
    </w:p>
    <w:p>
      <w:pPr>
        <w:pStyle w:val="ListBullet"/>
      </w:pPr>
      <w:r>
        <w:t>Do not turn PMI Studio into a coding IDE.</w:t>
      </w:r>
    </w:p>
    <w:p>
      <w:pPr>
        <w:pStyle w:val="ListBullet"/>
      </w:pPr>
      <w:r>
        <w:t>Do not hard-code the platform to Augment, Claude, Cursor, Codex or any single AI provider.</w:t>
      </w:r>
    </w:p>
    <w:p>
      <w:pPr>
        <w:pStyle w:val="ListBullet"/>
      </w:pPr>
      <w:r>
        <w:t>Do not replace mature commodity tools where integration provides the required capability.</w:t>
      </w:r>
    </w:p>
    <w:p>
      <w:pPr>
        <w:pStyle w:val="ListBullet"/>
      </w:pPr>
      <w:r>
        <w:t>Do not allow unverified agent learning to become trusted organizational knowledge.</w:t>
      </w:r>
    </w:p>
    <w:p>
      <w:pPr>
        <w:pStyle w:val="Heading1"/>
      </w:pPr>
      <w:r>
        <w:t>12. Acceptance Criteria for This Amendment</w:t>
      </w:r>
    </w:p>
    <w:p>
      <w:pPr>
        <w:pStyle w:val="ListBullet"/>
      </w:pPr>
      <w:r>
        <w:t>Existing PMI Studio architecture is reconciled rather than regenerated.</w:t>
      </w:r>
    </w:p>
    <w:p>
      <w:pPr>
        <w:pStyle w:val="ListBullet"/>
      </w:pPr>
      <w:r>
        <w:t>The five approved Augment/Cosmos learnings are represented in the plan.</w:t>
      </w:r>
    </w:p>
    <w:p>
      <w:pPr>
        <w:pStyle w:val="ListBullet"/>
      </w:pPr>
      <w:r>
        <w:t>PMI Studio's SMB/mid-market product boundary remains intact.</w:t>
      </w:r>
    </w:p>
    <w:p>
      <w:pPr>
        <w:pStyle w:val="ListBullet"/>
      </w:pPr>
      <w:r>
        <w:t>Requirement, Change and Defect Rooms remain first-class governed workflows.</w:t>
      </w:r>
    </w:p>
    <w:p>
      <w:pPr>
        <w:pStyle w:val="ListBullet"/>
      </w:pPr>
      <w:r>
        <w:t>Context architecture explicitly separates semantic retrieval, knowledge graph, live state and context curation.</w:t>
      </w:r>
    </w:p>
    <w:p>
      <w:pPr>
        <w:pStyle w:val="ListBullet"/>
      </w:pPr>
      <w:r>
        <w:t>Agents have explicit evidence contracts and governed permissions.</w:t>
      </w:r>
    </w:p>
    <w:p>
      <w:pPr>
        <w:pStyle w:val="ListBullet"/>
      </w:pPr>
      <w:r>
        <w:t>Learning is controlled and provenance-aware.</w:t>
      </w:r>
    </w:p>
    <w:p>
      <w:pPr>
        <w:pStyle w:val="ListBullet"/>
      </w:pPr>
      <w:r>
        <w:t>MCP is first-class but vendor/protocol coupling is avoided through capability abstraction.</w:t>
      </w:r>
    </w:p>
    <w:p>
      <w:pPr>
        <w:pStyle w:val="ListBullet"/>
      </w:pPr>
      <w:r>
        <w:t>Specification compliance and evidence remain stronger differentiators than generic code generation.</w:t>
      </w:r>
    </w:p>
    <w:p>
      <w:pPr>
        <w:pStyle w:val="ListBullet"/>
      </w:pPr>
      <w:r>
        <w:t>The resulting implementation sequence minimizes disruption to currently valid work.</w:t>
      </w:r>
    </w:p>
    <w:p>
      <w:pPr>
        <w:pStyle w:val="Heading1"/>
      </w:pPr>
      <w:r>
        <w:t>13. Execution Instruction</w:t>
      </w:r>
    </w:p>
    <w:p>
      <w:pPr>
        <w:pStyle w:val="IntenseQuote"/>
      </w:pPr>
      <w:r>
        <w:t>Execute this amendment against the current PMI Studio plan. First perform reconciliation and impact analysis; then update the affected specification, architecture, ADRs, epics and tasks. Do not perform a wholesale rewrite. Where an existing decision already satisfies this amendment, preserve it and mark it as covered.</w:t>
      </w:r>
    </w:p>
    <w:p/>
    <w:p>
      <w:pPr>
        <w:jc w:val="center"/>
      </w:pPr>
      <w:r>
        <w:rPr>
          <w:b/>
        </w:rPr>
        <w:t>END OF AMENDMENT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