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PMI Studio Master Product Specification (MPS) v1.0</w:t>
        <w:br/>
        <w:t>Volume 4</w:t>
        <w:br/>
        <w:t>Engineering Platform, Security, DevOps &amp; Operations</w:t>
      </w:r>
    </w:p>
    <w:p>
      <w:r>
        <w:t>Version: 1.0</w:t>
        <w:br/>
        <w:t>Status: Draft</w:t>
        <w:br/>
        <w:br/>
        <w:t>This volume defines the engineering execution platform, software delivery lifecycle, security architecture, operational governance, DevOps capabilities, and platform operations.</w:t>
      </w:r>
    </w:p>
    <w:p>
      <w:pPr>
        <w:pStyle w:val="Heading2"/>
      </w:pPr>
      <w:r>
        <w:t>1. Engineering Platform</w:t>
      </w:r>
    </w:p>
    <w:p>
      <w:r>
        <w:t>Provide an integrated engineering environment supporting repositories, planning, implementation, reviews, testing, releases, and operational feedback.</w:t>
      </w:r>
    </w:p>
    <w:p>
      <w:pPr>
        <w:pStyle w:val="Heading2"/>
      </w:pPr>
      <w:r>
        <w:t>2. Repository Management</w:t>
      </w:r>
    </w:p>
    <w:p>
      <w:r>
        <w:t>Support Git-based repositories, branching strategies, pull requests, code reviews, traceability to specifications, and repository templates.</w:t>
      </w:r>
    </w:p>
    <w:p>
      <w:pPr>
        <w:pStyle w:val="Heading2"/>
      </w:pPr>
      <w:r>
        <w:t>3. Development Lifecycle</w:t>
      </w:r>
    </w:p>
    <w:p>
      <w:r>
        <w:t>Manage implementation from approved specification through planning, coding, review, testing, release, deployment, monitoring, and continuous improvement.</w:t>
      </w:r>
    </w:p>
    <w:p>
      <w:pPr>
        <w:pStyle w:val="Heading2"/>
      </w:pPr>
      <w:r>
        <w:t>4. CI/CD</w:t>
      </w:r>
    </w:p>
    <w:p>
      <w:r>
        <w:t>Provide configurable pipelines for build, quality analysis, automated testing, packaging, deployment, rollback, and release promotion.</w:t>
      </w:r>
    </w:p>
    <w:p>
      <w:pPr>
        <w:pStyle w:val="Heading2"/>
      </w:pPr>
      <w:r>
        <w:t>5. Quality Engineering</w:t>
      </w:r>
    </w:p>
    <w:p>
      <w:r>
        <w:t>Support unit, integration, end-to-end, performance, security, accessibility, regression, and AI-assisted testing with automated quality gates.</w:t>
      </w:r>
    </w:p>
    <w:p>
      <w:pPr>
        <w:pStyle w:val="Heading2"/>
      </w:pPr>
      <w:r>
        <w:t>6. Security</w:t>
      </w:r>
    </w:p>
    <w:p>
      <w:r>
        <w:t>Implement authentication, RBAC, SSO, MFA, secrets management, encryption, audit logging, policy enforcement, and least-privilege access.</w:t>
      </w:r>
    </w:p>
    <w:p>
      <w:pPr>
        <w:pStyle w:val="Heading2"/>
      </w:pPr>
      <w:r>
        <w:t>7. DevSecOps</w:t>
      </w:r>
    </w:p>
    <w:p>
      <w:r>
        <w:t>Embed security scanning, dependency analysis, IaC validation, container scanning, and compliance checks throughout the delivery pipeline.</w:t>
      </w:r>
    </w:p>
    <w:p>
      <w:pPr>
        <w:pStyle w:val="Heading2"/>
      </w:pPr>
      <w:r>
        <w:t>8. Observability</w:t>
      </w:r>
    </w:p>
    <w:p>
      <w:r>
        <w:t>Collect centralized logs, metrics, traces, health checks, alerts, dashboards, and SLA/SLO reporting for all platform services.</w:t>
      </w:r>
    </w:p>
    <w:p>
      <w:pPr>
        <w:pStyle w:val="Heading2"/>
      </w:pPr>
      <w:r>
        <w:t>9. Operations</w:t>
      </w:r>
    </w:p>
    <w:p>
      <w:r>
        <w:t>Provide deployment management, configuration management, backup and recovery, disaster recovery, incident management, and maintenance workflows.</w:t>
      </w:r>
    </w:p>
    <w:p>
      <w:pPr>
        <w:pStyle w:val="Heading2"/>
      </w:pPr>
      <w:r>
        <w:t>10. Compliance &amp; Audit</w:t>
      </w:r>
    </w:p>
    <w:p>
      <w:r>
        <w:t>Maintain immutable audit trails, approval history, policy compliance, evidence collection, retention rules, and reporting.</w:t>
      </w:r>
    </w:p>
    <w:p>
      <w:pPr>
        <w:pStyle w:val="Heading2"/>
      </w:pPr>
      <w:r>
        <w:t>Cross-Cutting Engineering Requirements</w:t>
      </w:r>
    </w:p>
    <w:p>
      <w:pPr>
        <w:pStyle w:val="ListBullet"/>
      </w:pPr>
      <w:r>
        <w:t>Cloud-native and container-ready deployment</w:t>
      </w:r>
    </w:p>
    <w:p>
      <w:pPr>
        <w:pStyle w:val="ListBullet"/>
      </w:pPr>
      <w:r>
        <w:t>Horizontal scalability</w:t>
      </w:r>
    </w:p>
    <w:p>
      <w:pPr>
        <w:pStyle w:val="ListBullet"/>
      </w:pPr>
      <w:r>
        <w:t>High availability</w:t>
      </w:r>
    </w:p>
    <w:p>
      <w:pPr>
        <w:pStyle w:val="ListBullet"/>
      </w:pPr>
      <w:r>
        <w:t>Infrastructure as Code support</w:t>
      </w:r>
    </w:p>
    <w:p>
      <w:pPr>
        <w:pStyle w:val="ListBullet"/>
      </w:pPr>
      <w:r>
        <w:t>API-first integrations</w:t>
      </w:r>
    </w:p>
    <w:p>
      <w:pPr>
        <w:pStyle w:val="ListBullet"/>
      </w:pPr>
      <w:r>
        <w:t>Zero-trust security principles</w:t>
      </w:r>
    </w:p>
    <w:p>
      <w:pPr>
        <w:pStyle w:val="ListBullet"/>
      </w:pPr>
      <w:r>
        <w:t>Automated release governance</w:t>
      </w:r>
    </w:p>
    <w:p>
      <w:pPr>
        <w:pStyle w:val="ListBullet"/>
      </w:pPr>
      <w:r>
        <w:t>Complete operational traceability</w:t>
      </w:r>
    </w:p>
    <w:p>
      <w:pPr>
        <w:pStyle w:val="Heading2"/>
      </w:pPr>
      <w:r>
        <w:t>Representative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Availability</w:t>
            </w:r>
          </w:p>
        </w:tc>
        <w:tc>
          <w:tcPr>
            <w:tcW w:type="dxa" w:w="4320"/>
          </w:tcPr>
          <w:p>
            <w:r>
              <w:t>Target 99.9% or higher service availability.</w:t>
            </w:r>
          </w:p>
        </w:tc>
      </w:tr>
      <w:tr>
        <w:tc>
          <w:tcPr>
            <w:tcW w:type="dxa" w:w="4320"/>
          </w:tcPr>
          <w:p>
            <w:r>
              <w:t>Performance</w:t>
            </w:r>
          </w:p>
        </w:tc>
        <w:tc>
          <w:tcPr>
            <w:tcW w:type="dxa" w:w="4320"/>
          </w:tcPr>
          <w:p>
            <w:r>
              <w:t>Responsive UI and scalable backend services.</w:t>
            </w:r>
          </w:p>
        </w:tc>
      </w:tr>
      <w:tr>
        <w:tc>
          <w:tcPr>
            <w:tcW w:type="dxa" w:w="4320"/>
          </w:tcPr>
          <w:p>
            <w:r>
              <w:t>Scalability</w:t>
            </w:r>
          </w:p>
        </w:tc>
        <w:tc>
          <w:tcPr>
            <w:tcW w:type="dxa" w:w="4320"/>
          </w:tcPr>
          <w:p>
            <w:r>
              <w:t>Support enterprise multi-tenant workloads.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Encrypt data in transit and at rest.</w:t>
            </w:r>
          </w:p>
        </w:tc>
      </w:tr>
      <w:tr>
        <w:tc>
          <w:tcPr>
            <w:tcW w:type="dxa" w:w="4320"/>
          </w:tcPr>
          <w:p>
            <w:r>
              <w:t>Reliability</w:t>
            </w:r>
          </w:p>
        </w:tc>
        <w:tc>
          <w:tcPr>
            <w:tcW w:type="dxa" w:w="4320"/>
          </w:tcPr>
          <w:p>
            <w:r>
              <w:t>Support automated backup and recovery.</w:t>
            </w:r>
          </w:p>
        </w:tc>
      </w:tr>
      <w:tr>
        <w:tc>
          <w:tcPr>
            <w:tcW w:type="dxa" w:w="4320"/>
          </w:tcPr>
          <w:p>
            <w:r>
              <w:t>Maintainability</w:t>
            </w:r>
          </w:p>
        </w:tc>
        <w:tc>
          <w:tcPr>
            <w:tcW w:type="dxa" w:w="4320"/>
          </w:tcPr>
          <w:p>
            <w:r>
              <w:t>Modular architecture with documented APIs.</w:t>
            </w:r>
          </w:p>
        </w:tc>
      </w:tr>
      <w:tr>
        <w:tc>
          <w:tcPr>
            <w:tcW w:type="dxa" w:w="4320"/>
          </w:tcPr>
          <w:p>
            <w:r>
              <w:t>Observability</w:t>
            </w:r>
          </w:p>
        </w:tc>
        <w:tc>
          <w:tcPr>
            <w:tcW w:type="dxa" w:w="4320"/>
          </w:tcPr>
          <w:p>
            <w:r>
              <w:t>Centralized logging, metrics, and tracing.</w:t>
            </w:r>
          </w:p>
        </w:tc>
      </w:tr>
    </w:tbl>
    <w:p>
      <w:pPr>
        <w:pStyle w:val="Heading2"/>
      </w:pPr>
      <w:r>
        <w:t>Volume 4 Completion Criteria</w:t>
      </w:r>
    </w:p>
    <w:p>
      <w:pPr>
        <w:pStyle w:val="ListBullet"/>
      </w:pPr>
      <w:r>
        <w:t>Engineering lifecycle documented</w:t>
      </w:r>
    </w:p>
    <w:p>
      <w:pPr>
        <w:pStyle w:val="ListBullet"/>
      </w:pPr>
      <w:r>
        <w:t>Security architecture defined</w:t>
      </w:r>
    </w:p>
    <w:p>
      <w:pPr>
        <w:pStyle w:val="ListBullet"/>
      </w:pPr>
      <w:r>
        <w:t>DevOps and DevSecOps capabilities established</w:t>
      </w:r>
    </w:p>
    <w:p>
      <w:pPr>
        <w:pStyle w:val="ListBullet"/>
      </w:pPr>
      <w:r>
        <w:t>Operational requirements documented</w:t>
      </w:r>
    </w:p>
    <w:p>
      <w:pPr>
        <w:pStyle w:val="ListBullet"/>
      </w:pPr>
      <w:r>
        <w:t>Ready for Volume 5 reference specifications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