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Master Product Specification (MPS) v1.0</w:t>
        <w:br/>
        <w:t>Volume 5</w:t>
        <w:br/>
        <w:t>Reference Architecture, Data, APIs, UI/UX &amp; Traceability</w:t>
      </w:r>
    </w:p>
    <w:p>
      <w:r>
        <w:t>Version: 1.0</w:t>
        <w:br/>
        <w:t>Status: Draft</w:t>
        <w:br/>
        <w:br/>
        <w:t>This volume defines the reference models, integration standards, data architecture, user experience principles, requirement catalogues, business rules, acceptance criteria, and traceability framework for PMI Studio.</w:t>
      </w:r>
    </w:p>
    <w:p>
      <w:pPr>
        <w:pStyle w:val="Heading2"/>
      </w:pPr>
      <w:r>
        <w:t>1. Domain Model</w:t>
      </w:r>
    </w:p>
    <w:p>
      <w:r>
        <w:t>Defines the primary business entities: Organization, Workspace, Project, Capability, Epic, Feature, Requirement, Specification, Task, AI Agent, Knowledge Asset, Workflow, Prompt, Model, MCP Tool, Test Case, Release, and Audit Record.</w:t>
      </w:r>
    </w:p>
    <w:p>
      <w:pPr>
        <w:pStyle w:val="Heading2"/>
      </w:pPr>
      <w:r>
        <w:t>2. Data Architecture</w:t>
      </w:r>
    </w:p>
    <w:p>
      <w:r>
        <w:t>Support normalized operational storage, document storage, vector knowledge storage, audit history, configuration data, and analytics-ready reporting models.</w:t>
      </w:r>
    </w:p>
    <w:p>
      <w:pPr>
        <w:pStyle w:val="Heading2"/>
      </w:pPr>
      <w:r>
        <w:t>3. API Standards</w:t>
      </w:r>
    </w:p>
    <w:p>
      <w:r>
        <w:t>REST-first APIs with versioning, OpenAPI documentation, OAuth/OIDC authentication, pagination, filtering, webhooks, idempotency, and standardized error responses.</w:t>
      </w:r>
    </w:p>
    <w:p>
      <w:pPr>
        <w:pStyle w:val="Heading2"/>
      </w:pPr>
      <w:r>
        <w:t>4. Integration Framework</w:t>
      </w:r>
    </w:p>
    <w:p>
      <w:r>
        <w:t>Support Git providers, CI/CD systems, AI providers, MCP servers, identity providers, messaging platforms, issue trackers, and external engineering tools.</w:t>
      </w:r>
    </w:p>
    <w:p>
      <w:pPr>
        <w:pStyle w:val="Heading2"/>
      </w:pPr>
      <w:r>
        <w:t>5. UI/UX Design System</w:t>
      </w:r>
    </w:p>
    <w:p>
      <w:r>
        <w:t>Provide a consistent enterprise design system including navigation, responsive layouts, accessibility (WCAG), reusable components, themes, notifications, dashboards, and search experiences.</w:t>
      </w:r>
    </w:p>
    <w:p>
      <w:pPr>
        <w:pStyle w:val="Heading2"/>
      </w:pPr>
      <w:r>
        <w:t>6. Business Rule Catalogue</w:t>
      </w:r>
    </w:p>
    <w:p>
      <w:r>
        <w:t>Every business rule receives a unique identifier, owner, description, priority, affected modules, validation rules, and approval status.</w:t>
      </w:r>
    </w:p>
    <w:p>
      <w:pPr>
        <w:pStyle w:val="Heading2"/>
      </w:pPr>
      <w:r>
        <w:t>7. Requirement Catalogue</w:t>
      </w:r>
    </w:p>
    <w:p>
      <w:r>
        <w:t>All requirements are uniquely identified, categorized, versioned, prioritized, and linked to capabilities, features, specifications, implementation tasks, and test cases.</w:t>
      </w:r>
    </w:p>
    <w:p>
      <w:pPr>
        <w:pStyle w:val="Heading2"/>
      </w:pPr>
      <w:r>
        <w:t>8. Acceptance Criteria Catalogue</w:t>
      </w:r>
    </w:p>
    <w:p>
      <w:r>
        <w:t>Acceptance criteria are measurable, testable, traceable, and linked directly to requirements and implementation artifacts.</w:t>
      </w:r>
    </w:p>
    <w:p>
      <w:pPr>
        <w:pStyle w:val="Heading2"/>
      </w:pPr>
      <w:r>
        <w:t>9. Traceability Matrix</w:t>
      </w:r>
    </w:p>
    <w:p>
      <w:r>
        <w:t>Provide end-to-end mapping from Business Capability → Requirement → Specification → Task → Code → Test → Release → Audit.</w:t>
      </w:r>
    </w:p>
    <w:p>
      <w:pPr>
        <w:pStyle w:val="Heading2"/>
      </w:pPr>
      <w:r>
        <w:t>10. Reference Appendices</w:t>
      </w:r>
    </w:p>
    <w:p>
      <w:r>
        <w:t>Glossary, acronyms, metadata conventions, identifier standards, document templates, architecture decision references, and future extension guidelines.</w:t>
      </w:r>
    </w:p>
    <w:p>
      <w:pPr>
        <w:pStyle w:val="Heading2"/>
      </w:pPr>
      <w:r>
        <w:t>Reference Entity Catalogue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Workspace</w:t>
      </w:r>
    </w:p>
    <w:p>
      <w:pPr>
        <w:pStyle w:val="ListBullet"/>
      </w:pPr>
      <w:r>
        <w:t>Project</w:t>
      </w:r>
    </w:p>
    <w:p>
      <w:pPr>
        <w:pStyle w:val="ListBullet"/>
      </w:pPr>
      <w:r>
        <w:t>Capability</w:t>
      </w:r>
    </w:p>
    <w:p>
      <w:pPr>
        <w:pStyle w:val="ListBullet"/>
      </w:pPr>
      <w:r>
        <w:t>Epic</w:t>
      </w:r>
    </w:p>
    <w:p>
      <w:pPr>
        <w:pStyle w:val="ListBullet"/>
      </w:pPr>
      <w:r>
        <w:t>Feature</w:t>
      </w:r>
    </w:p>
    <w:p>
      <w:pPr>
        <w:pStyle w:val="ListBullet"/>
      </w:pPr>
      <w:r>
        <w:t>Requirement</w:t>
      </w:r>
    </w:p>
    <w:p>
      <w:pPr>
        <w:pStyle w:val="ListBullet"/>
      </w:pPr>
      <w:r>
        <w:t>Specification</w:t>
      </w:r>
    </w:p>
    <w:p>
      <w:pPr>
        <w:pStyle w:val="ListBullet"/>
      </w:pPr>
      <w:r>
        <w:t>Implementation Task</w:t>
      </w:r>
    </w:p>
    <w:p>
      <w:pPr>
        <w:pStyle w:val="ListBullet"/>
      </w:pPr>
      <w:r>
        <w:t>Test Case</w:t>
      </w:r>
    </w:p>
    <w:p>
      <w:pPr>
        <w:pStyle w:val="ListBullet"/>
      </w:pPr>
      <w:r>
        <w:t>Workflow</w:t>
      </w:r>
    </w:p>
    <w:p>
      <w:pPr>
        <w:pStyle w:val="ListBullet"/>
      </w:pPr>
      <w:r>
        <w:t>Knowledge Asset</w:t>
      </w:r>
    </w:p>
    <w:p>
      <w:pPr>
        <w:pStyle w:val="ListBullet"/>
      </w:pPr>
      <w:r>
        <w:t>AI Agent</w:t>
      </w:r>
    </w:p>
    <w:p>
      <w:pPr>
        <w:pStyle w:val="ListBullet"/>
      </w:pPr>
      <w:r>
        <w:t>Prompt</w:t>
      </w:r>
    </w:p>
    <w:p>
      <w:pPr>
        <w:pStyle w:val="ListBullet"/>
      </w:pPr>
      <w:r>
        <w:t>Model</w:t>
      </w:r>
    </w:p>
    <w:p>
      <w:pPr>
        <w:pStyle w:val="ListBullet"/>
      </w:pPr>
      <w:r>
        <w:t>MCP Tool</w:t>
      </w:r>
    </w:p>
    <w:p>
      <w:pPr>
        <w:pStyle w:val="ListBullet"/>
      </w:pPr>
      <w:r>
        <w:t>Release</w:t>
      </w:r>
    </w:p>
    <w:p>
      <w:pPr>
        <w:pStyle w:val="ListBullet"/>
      </w:pPr>
      <w:r>
        <w:t>Audit Record</w:t>
      </w:r>
    </w:p>
    <w:p>
      <w:pPr>
        <w:pStyle w:val="Heading2"/>
      </w:pPr>
      <w:r>
        <w:t>Traceability Standard</w:t>
      </w:r>
    </w:p>
    <w:p>
      <w:r>
        <w:t>Every implementation artifact shall maintain bidirectional traceability to its originating business requirement. No feature, task, code change, or release may exist without a linked approved specification and requirement.</w:t>
      </w:r>
    </w:p>
    <w:p>
      <w:pPr>
        <w:pStyle w:val="Heading2"/>
      </w:pPr>
      <w:r>
        <w:t>Master Product Specification Release Criteria</w:t>
      </w:r>
    </w:p>
    <w:p>
      <w:pPr>
        <w:pStyle w:val="ListBullet"/>
      </w:pPr>
      <w:r>
        <w:t>All five MPS volumes approved</w:t>
      </w:r>
    </w:p>
    <w:p>
      <w:pPr>
        <w:pStyle w:val="ListBullet"/>
      </w:pPr>
      <w:r>
        <w:t>Requirements uniquely identified and traceable</w:t>
      </w:r>
    </w:p>
    <w:p>
      <w:pPr>
        <w:pStyle w:val="ListBullet"/>
      </w:pPr>
      <w:r>
        <w:t>Business rules catalogued</w:t>
      </w:r>
    </w:p>
    <w:p>
      <w:pPr>
        <w:pStyle w:val="ListBullet"/>
      </w:pPr>
      <w:r>
        <w:t>Acceptance criteria defined</w:t>
      </w:r>
    </w:p>
    <w:p>
      <w:pPr>
        <w:pStyle w:val="ListBullet"/>
      </w:pPr>
      <w:r>
        <w:t>Reference architecture validated</w:t>
      </w:r>
    </w:p>
    <w:p>
      <w:pPr>
        <w:pStyle w:val="ListBullet"/>
      </w:pPr>
      <w:r>
        <w:t>Ready for detailed feature specifications and Spec Kit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