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615CE" w14:textId="77777777" w:rsidR="00AB4906" w:rsidRDefault="00000000">
      <w:pPr>
        <w:spacing w:before="2200"/>
        <w:jc w:val="center"/>
      </w:pPr>
      <w:r>
        <w:rPr>
          <w:color w:val="595959"/>
        </w:rPr>
        <w:t>DecodeLabs Industrial Training Kit</w:t>
      </w:r>
    </w:p>
    <w:p w14:paraId="5E5F5A1F" w14:textId="77777777" w:rsidR="00AB4906" w:rsidRDefault="00000000">
      <w:pPr>
        <w:spacing w:after="480"/>
        <w:jc w:val="center"/>
      </w:pPr>
      <w:r>
        <w:rPr>
          <w:color w:val="595959"/>
        </w:rPr>
        <w:t>Batch 2026</w:t>
      </w:r>
    </w:p>
    <w:p w14:paraId="0B1152BF" w14:textId="77777777" w:rsidR="00AB4906" w:rsidRDefault="00000000">
      <w:pPr>
        <w:spacing w:after="200"/>
        <w:jc w:val="center"/>
      </w:pPr>
      <w:r>
        <w:rPr>
          <w:b/>
          <w:bCs/>
          <w:color w:val="1F3864"/>
          <w:sz w:val="32"/>
          <w:szCs w:val="32"/>
        </w:rPr>
        <w:t>Stock Market Trading and Analysis Intern</w:t>
      </w:r>
    </w:p>
    <w:p w14:paraId="32A02A0D" w14:textId="77777777" w:rsidR="00AB4906" w:rsidRDefault="00000000">
      <w:pPr>
        <w:spacing w:after="120"/>
        <w:jc w:val="center"/>
      </w:pPr>
      <w:r>
        <w:rPr>
          <w:b/>
          <w:bCs/>
          <w:color w:val="1F3864"/>
        </w:rPr>
        <w:t>PROJECT 4</w:t>
      </w:r>
    </w:p>
    <w:p w14:paraId="457A0532" w14:textId="77777777" w:rsidR="00AB4906" w:rsidRDefault="00000000">
      <w:pPr>
        <w:spacing w:after="200"/>
        <w:jc w:val="center"/>
      </w:pPr>
      <w:r>
        <w:rPr>
          <w:b/>
          <w:bCs/>
          <w:color w:val="1F3864"/>
          <w:sz w:val="32"/>
          <w:szCs w:val="32"/>
        </w:rPr>
        <w:t>Portfolio Optimization &amp; Risk Management</w:t>
      </w:r>
    </w:p>
    <w:p w14:paraId="75262C26" w14:textId="77777777" w:rsidR="00AB4906" w:rsidRDefault="00000000">
      <w:pPr>
        <w:spacing w:after="480"/>
        <w:jc w:val="center"/>
      </w:pPr>
      <w:r>
        <w:rPr>
          <w:i/>
          <w:iCs/>
          <w:color w:val="4472C4"/>
          <w:sz w:val="24"/>
          <w:szCs w:val="24"/>
        </w:rPr>
        <w:t>Constructing a Diversified $100,000 Portfolio Under Systematic Beta and Capital-Heat Constraints</w:t>
      </w:r>
    </w:p>
    <w:p w14:paraId="5478979A" w14:textId="1A64D789" w:rsidR="00AB4906" w:rsidRDefault="00000000">
      <w:pPr>
        <w:spacing w:before="200" w:after="200"/>
        <w:jc w:val="center"/>
      </w:pPr>
      <w:r>
        <w:rPr>
          <w:i/>
          <w:iCs/>
          <w:sz w:val="19"/>
          <w:szCs w:val="19"/>
        </w:rPr>
        <w:t>[ This report was prepared solely for educational purposes as part of the DecodeLabs Industrial Training Programme. It does not constitute financial advice, a recommendation to buy or sell any security, or an offer of any kind.]</w:t>
      </w:r>
    </w:p>
    <w:p w14:paraId="315CDB11" w14:textId="77777777" w:rsidR="00AB4906" w:rsidRDefault="00000000">
      <w:pPr>
        <w:spacing w:before="480" w:after="100"/>
        <w:jc w:val="center"/>
      </w:pPr>
      <w:r>
        <w:rPr>
          <w:b/>
          <w:bCs/>
        </w:rPr>
        <w:t>Portfolio Universe</w:t>
      </w:r>
    </w:p>
    <w:p w14:paraId="524CF923" w14:textId="77777777" w:rsidR="00AB4906" w:rsidRDefault="00000000">
      <w:pPr>
        <w:spacing w:after="60"/>
        <w:jc w:val="center"/>
      </w:pPr>
      <w:r>
        <w:rPr>
          <w:sz w:val="21"/>
          <w:szCs w:val="21"/>
        </w:rPr>
        <w:t>AstraZeneca (AZN.L) | GSK (GSK.L) | Shell (SHEL.L) | Auto Trader Group (AUTO.L)</w:t>
      </w:r>
    </w:p>
    <w:p w14:paraId="6DFE8502" w14:textId="77777777" w:rsidR="00AB4906" w:rsidRDefault="00000000">
      <w:pPr>
        <w:spacing w:after="60"/>
        <w:jc w:val="center"/>
      </w:pPr>
      <w:r>
        <w:rPr>
          <w:sz w:val="21"/>
          <w:szCs w:val="21"/>
        </w:rPr>
        <w:t>Capital base: $100,000 simulated | Benchmark: FTSE 100 (^FTSE)</w:t>
      </w:r>
    </w:p>
    <w:p w14:paraId="5841A100" w14:textId="77777777" w:rsidR="00AB4906" w:rsidRDefault="00000000">
      <w:pPr>
        <w:spacing w:after="480"/>
        <w:jc w:val="center"/>
      </w:pPr>
      <w:r>
        <w:t>Gatekeeper constraints: Portfolio Beta &lt; 1.0 | Portfolio Heat ≤ 8% | Max 1% risk per position</w:t>
      </w:r>
    </w:p>
    <w:p w14:paraId="68CA5FD4" w14:textId="77777777" w:rsidR="00DA3680" w:rsidRDefault="00000000" w:rsidP="00DA3680">
      <w:pPr>
        <w:spacing w:before="400"/>
        <w:jc w:val="center"/>
        <w:sectPr w:rsidR="00DA3680">
          <w:headerReference w:type="default" r:id="rId8"/>
          <w:footerReference w:type="default" r:id="rId9"/>
          <w:pgSz w:w="12240" w:h="15840"/>
          <w:pgMar w:top="1440" w:right="1260" w:bottom="1440" w:left="1260" w:header="708" w:footer="708" w:gutter="0"/>
          <w:cols w:space="720"/>
          <w:docGrid w:linePitch="360"/>
        </w:sectPr>
      </w:pPr>
      <w:r>
        <w:rPr>
          <w:i/>
          <w:iCs/>
          <w:color w:val="595959"/>
          <w:sz w:val="20"/>
          <w:szCs w:val="20"/>
        </w:rPr>
        <w:t>Submitted to DecodeLabs | June 202</w:t>
      </w:r>
      <w:r w:rsidR="0055308D">
        <w:rPr>
          <w:i/>
          <w:iCs/>
          <w:color w:val="595959"/>
          <w:sz w:val="20"/>
          <w:szCs w:val="20"/>
        </w:rPr>
        <w:t>6</w:t>
      </w:r>
    </w:p>
    <w:p w14:paraId="36CB3842" w14:textId="77777777" w:rsidR="00AB4906" w:rsidRDefault="00000000" w:rsidP="005211DD">
      <w:pPr>
        <w:rPr>
          <w:b/>
          <w:bCs/>
          <w:sz w:val="36"/>
          <w:szCs w:val="36"/>
        </w:rPr>
      </w:pPr>
      <w:r w:rsidRPr="005211DD">
        <w:rPr>
          <w:b/>
          <w:bCs/>
          <w:sz w:val="36"/>
          <w:szCs w:val="36"/>
        </w:rPr>
        <w:lastRenderedPageBreak/>
        <w:t>Executive Summary</w:t>
      </w:r>
    </w:p>
    <w:p w14:paraId="2D3A1990" w14:textId="77777777" w:rsidR="005211DD" w:rsidRPr="005211DD" w:rsidRDefault="005211DD" w:rsidP="005211DD">
      <w:pPr>
        <w:rPr>
          <w:b/>
          <w:bCs/>
          <w:sz w:val="18"/>
          <w:szCs w:val="18"/>
        </w:rPr>
      </w:pPr>
    </w:p>
    <w:p w14:paraId="28F37E22" w14:textId="77777777" w:rsidR="00AB4906" w:rsidRDefault="00000000">
      <w:pPr>
        <w:spacing w:after="200" w:line="360" w:lineRule="auto"/>
        <w:jc w:val="both"/>
      </w:pPr>
      <w:r>
        <w:t>This report documents the design, construction, and risk verification of a diversified $100,000 simulated investment portfolio spanning four London Stock Exchange and sector-representative equities: AstraZeneca (AZN.L), GSK (GSK.L), Shell (SHEL.L), and Auto Trader Group (AUTO.L). Where Projects 1 through 3 of this portfolio analysed individual trading decisions for a single security at a time, Project 4 shifts to macro-level portfolio construction — the discipline of combining several assets so that their risks partially offset one another, and of measuring the resulting structure’s systemic exposure to the broader market as a single number, rather than security by security.</w:t>
      </w:r>
    </w:p>
    <w:p w14:paraId="203AA982" w14:textId="77777777" w:rsidR="00AB4906" w:rsidRDefault="00000000">
      <w:pPr>
        <w:spacing w:after="200" w:line="360" w:lineRule="auto"/>
        <w:jc w:val="both"/>
      </w:pPr>
      <w:r>
        <w:t>The portfolio was built across a five-step pipeline consistent with the brief’s deployment sequence: defining the capital base and asset universe, calculating each asset’s covariance and Beta against the FTSE 100 benchmark, deriving systematic position weights and stop-loss levels under a fixed-fractional risk rule, verifying the resulting structure against two institutional gatekeeper constraints, and evaluating the architecture’s risk-adjusted return via the Sharpe Ratio. A fourth asset — Auto Trader Group, a UK technology and consumer-platform stock — was added specifically to test whether a nominally “growth” sector exposure could still satisfy a defensive risk profile, since the existing three-stock universe (AstraZeneca and GSK both pharmaceuticals, Shell energy) left a gap in sector coverage.</w:t>
      </w:r>
    </w:p>
    <w:p w14:paraId="05859AD3" w14:textId="77777777" w:rsidR="00AB4906" w:rsidRDefault="00000000">
      <w:pPr>
        <w:spacing w:after="200" w:line="360" w:lineRule="auto"/>
        <w:jc w:val="both"/>
      </w:pPr>
      <w:r>
        <w:t>Both hard gatekeeper constraints were satisfied with genuine margin rather than a knife-edge pass. The blended Portfolio Beta of 0.859 cleared the 1.0 ceiling by 0.141, and execution-level Total Portfolio Heat of 3.63% cleared the 8% ceiling by 4.37 percentage points. The Sharpe Ratio, by contrast, was weak (0.007) — a finding this report treats as a genuine result rather than a flaw to be concealed, since it exposes an instructive tension between the brief’s defensiveness objective and historical risk-adjusted performance, discussed in full in Section 7.</w:t>
      </w:r>
    </w:p>
    <w:p w14:paraId="719145C6" w14:textId="77777777" w:rsidR="00D84F60" w:rsidRDefault="00000000">
      <w:pPr>
        <w:spacing w:after="200" w:line="360" w:lineRule="auto"/>
        <w:jc w:val="both"/>
        <w:sectPr w:rsidR="00D84F60">
          <w:headerReference w:type="default" r:id="rId10"/>
          <w:footerReference w:type="default" r:id="rId11"/>
          <w:pgSz w:w="12240" w:h="15840"/>
          <w:pgMar w:top="1440" w:right="1260" w:bottom="1440" w:left="1260" w:header="708" w:footer="708" w:gutter="0"/>
          <w:cols w:space="720"/>
          <w:docGrid w:linePitch="360"/>
        </w:sectPr>
      </w:pPr>
      <w:r>
        <w:t>A robustness check using a shorter 3-year lookback window was also performed during development. Rather than improving the Sharpe Ratio, the shorter window worsened it and revealed that two of the four assets’ Beta classifications flip between defensive and aggressive depending on the window chosen — a meaningful finding about the stability of UK equity Beta estimates, discussed in Section 6.</w:t>
      </w:r>
    </w:p>
    <w:sdt>
      <w:sdtPr>
        <w:rPr>
          <w:rFonts w:ascii="Times New Roman" w:eastAsia="Times New Roman" w:hAnsi="Times New Roman" w:cs="Times New Roman"/>
          <w:b w:val="0"/>
          <w:bCs w:val="0"/>
          <w:color w:val="000000"/>
          <w:sz w:val="22"/>
          <w:szCs w:val="22"/>
          <w:lang w:val="en-GB" w:eastAsia="en-GB"/>
        </w:rPr>
        <w:id w:val="-665700403"/>
        <w:docPartObj>
          <w:docPartGallery w:val="Table of Contents"/>
          <w:docPartUnique/>
        </w:docPartObj>
      </w:sdtPr>
      <w:sdtEndPr>
        <w:rPr>
          <w:noProof/>
        </w:rPr>
      </w:sdtEndPr>
      <w:sdtContent>
        <w:p w14:paraId="6D2EB4D0" w14:textId="77777777" w:rsidR="00D84F60" w:rsidRPr="0055308D" w:rsidRDefault="00D84F60">
          <w:pPr>
            <w:pStyle w:val="TOCHeading"/>
            <w:rPr>
              <w:sz w:val="36"/>
              <w:szCs w:val="36"/>
            </w:rPr>
          </w:pPr>
          <w:r w:rsidRPr="0055308D">
            <w:rPr>
              <w:sz w:val="36"/>
              <w:szCs w:val="36"/>
            </w:rPr>
            <w:t>Table of Contents</w:t>
          </w:r>
        </w:p>
        <w:p w14:paraId="5A8EE3D8" w14:textId="7987BDAC" w:rsidR="005F572A" w:rsidRPr="005F572A" w:rsidRDefault="00D84F60" w:rsidP="00272AFA">
          <w:pPr>
            <w:pStyle w:val="TOC1"/>
            <w:rPr>
              <w:rFonts w:eastAsiaTheme="minorEastAsia"/>
              <w:noProof/>
              <w:color w:val="auto"/>
              <w:kern w:val="2"/>
              <w14:ligatures w14:val="standardContextual"/>
            </w:rPr>
          </w:pPr>
          <w:r w:rsidRPr="005F572A">
            <w:fldChar w:fldCharType="begin"/>
          </w:r>
          <w:r w:rsidRPr="005F572A">
            <w:instrText xml:space="preserve"> TOC \o "1-3" \h \z \u </w:instrText>
          </w:r>
          <w:r w:rsidRPr="005F572A">
            <w:fldChar w:fldCharType="separate"/>
          </w:r>
          <w:hyperlink w:anchor="_Toc233032902" w:history="1">
            <w:r w:rsidR="005F572A" w:rsidRPr="005F572A">
              <w:rPr>
                <w:rStyle w:val="Hyperlink"/>
                <w:rFonts w:ascii="Times New Roman" w:hAnsi="Times New Roman"/>
                <w:b w:val="0"/>
                <w:bCs w:val="0"/>
                <w:noProof/>
                <w:sz w:val="21"/>
                <w:szCs w:val="21"/>
              </w:rPr>
              <w:t>Section 1: Methodology</w:t>
            </w:r>
            <w:r w:rsidR="005F572A" w:rsidRPr="005F572A">
              <w:rPr>
                <w:noProof/>
                <w:webHidden/>
              </w:rPr>
              <w:tab/>
            </w:r>
            <w:r w:rsidR="005F572A" w:rsidRPr="005F572A">
              <w:rPr>
                <w:noProof/>
                <w:webHidden/>
              </w:rPr>
              <w:fldChar w:fldCharType="begin"/>
            </w:r>
            <w:r w:rsidR="005F572A" w:rsidRPr="005F572A">
              <w:rPr>
                <w:noProof/>
                <w:webHidden/>
              </w:rPr>
              <w:instrText xml:space="preserve"> PAGEREF _Toc233032902 \h </w:instrText>
            </w:r>
            <w:r w:rsidR="005F572A" w:rsidRPr="005F572A">
              <w:rPr>
                <w:noProof/>
                <w:webHidden/>
              </w:rPr>
            </w:r>
            <w:r w:rsidR="005F572A" w:rsidRPr="005F572A">
              <w:rPr>
                <w:noProof/>
                <w:webHidden/>
              </w:rPr>
              <w:fldChar w:fldCharType="separate"/>
            </w:r>
            <w:r w:rsidR="00EA1FB0">
              <w:rPr>
                <w:noProof/>
                <w:webHidden/>
              </w:rPr>
              <w:t>1</w:t>
            </w:r>
            <w:r w:rsidR="005F572A" w:rsidRPr="005F572A">
              <w:rPr>
                <w:noProof/>
                <w:webHidden/>
              </w:rPr>
              <w:fldChar w:fldCharType="end"/>
            </w:r>
          </w:hyperlink>
        </w:p>
        <w:p w14:paraId="36C7C629" w14:textId="0487E3E8"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03" w:history="1">
            <w:r w:rsidRPr="005F572A">
              <w:rPr>
                <w:rStyle w:val="Hyperlink"/>
                <w:rFonts w:ascii="Times New Roman" w:hAnsi="Times New Roman"/>
                <w:b w:val="0"/>
                <w:bCs w:val="0"/>
                <w:noProof/>
                <w:sz w:val="21"/>
                <w:szCs w:val="21"/>
              </w:rPr>
              <w:t>1.1 Scope and Objective</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_Toc233032903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w:t>
            </w:r>
            <w:r w:rsidRPr="005F572A">
              <w:rPr>
                <w:rFonts w:ascii="Times New Roman" w:hAnsi="Times New Roman"/>
                <w:b w:val="0"/>
                <w:bCs w:val="0"/>
                <w:noProof/>
                <w:webHidden/>
                <w:sz w:val="21"/>
                <w:szCs w:val="21"/>
              </w:rPr>
              <w:fldChar w:fldCharType="end"/>
            </w:r>
          </w:hyperlink>
        </w:p>
        <w:p w14:paraId="2909F3EE" w14:textId="465FEE61"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04" w:history="1">
            <w:r w:rsidRPr="005F572A">
              <w:rPr>
                <w:rStyle w:val="Hyperlink"/>
                <w:rFonts w:ascii="Times New Roman" w:hAnsi="Times New Roman"/>
                <w:b w:val="0"/>
                <w:bCs w:val="0"/>
                <w:noProof/>
                <w:sz w:val="21"/>
                <w:szCs w:val="21"/>
              </w:rPr>
              <w:t>1.2 Data Sourcing</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_Toc233032904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w:t>
            </w:r>
            <w:r w:rsidRPr="005F572A">
              <w:rPr>
                <w:rFonts w:ascii="Times New Roman" w:hAnsi="Times New Roman"/>
                <w:b w:val="0"/>
                <w:bCs w:val="0"/>
                <w:noProof/>
                <w:webHidden/>
                <w:sz w:val="21"/>
                <w:szCs w:val="21"/>
              </w:rPr>
              <w:fldChar w:fldCharType="end"/>
            </w:r>
          </w:hyperlink>
        </w:p>
        <w:p w14:paraId="7DDFAD8D" w14:textId="2BF8D7B7"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05" w:history="1">
            <w:r w:rsidRPr="005F572A">
              <w:rPr>
                <w:rStyle w:val="Hyperlink"/>
                <w:rFonts w:ascii="Times New Roman" w:hAnsi="Times New Roman"/>
                <w:b w:val="0"/>
                <w:bCs w:val="0"/>
                <w:noProof/>
                <w:sz w:val="21"/>
                <w:szCs w:val="21"/>
              </w:rPr>
              <w:t>1.3 Asset Universe and the Diversification Trap</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_Toc233032905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w:t>
            </w:r>
            <w:r w:rsidRPr="005F572A">
              <w:rPr>
                <w:rFonts w:ascii="Times New Roman" w:hAnsi="Times New Roman"/>
                <w:b w:val="0"/>
                <w:bCs w:val="0"/>
                <w:noProof/>
                <w:webHidden/>
                <w:sz w:val="21"/>
                <w:szCs w:val="21"/>
              </w:rPr>
              <w:fldChar w:fldCharType="end"/>
            </w:r>
          </w:hyperlink>
        </w:p>
        <w:p w14:paraId="0911EDFE" w14:textId="14778F4C" w:rsidR="005F572A" w:rsidRPr="005F572A" w:rsidRDefault="005F572A" w:rsidP="00272AFA">
          <w:pPr>
            <w:pStyle w:val="TOC1"/>
            <w:rPr>
              <w:rFonts w:eastAsiaTheme="minorEastAsia"/>
              <w:noProof/>
              <w:color w:val="auto"/>
              <w:kern w:val="2"/>
              <w14:ligatures w14:val="standardContextual"/>
            </w:rPr>
          </w:pPr>
          <w:hyperlink w:anchor="_Toc233032906" w:history="1">
            <w:r w:rsidRPr="005F572A">
              <w:rPr>
                <w:rStyle w:val="Hyperlink"/>
                <w:rFonts w:ascii="Times New Roman" w:hAnsi="Times New Roman"/>
                <w:b w:val="0"/>
                <w:bCs w:val="0"/>
                <w:noProof/>
                <w:sz w:val="21"/>
                <w:szCs w:val="21"/>
              </w:rPr>
              <w:t>Section 2: Verifying the Diversification Thesis</w:t>
            </w:r>
            <w:r w:rsidRPr="005F572A">
              <w:rPr>
                <w:noProof/>
                <w:webHidden/>
              </w:rPr>
              <w:tab/>
            </w:r>
            <w:r w:rsidRPr="005F572A">
              <w:rPr>
                <w:noProof/>
                <w:webHidden/>
              </w:rPr>
              <w:fldChar w:fldCharType="begin"/>
            </w:r>
            <w:r w:rsidRPr="005F572A">
              <w:rPr>
                <w:noProof/>
                <w:webHidden/>
              </w:rPr>
              <w:instrText xml:space="preserve"> PAGEREF _Toc233032906 \h </w:instrText>
            </w:r>
            <w:r w:rsidRPr="005F572A">
              <w:rPr>
                <w:noProof/>
                <w:webHidden/>
              </w:rPr>
            </w:r>
            <w:r w:rsidRPr="005F572A">
              <w:rPr>
                <w:noProof/>
                <w:webHidden/>
              </w:rPr>
              <w:fldChar w:fldCharType="separate"/>
            </w:r>
            <w:r w:rsidR="00EA1FB0">
              <w:rPr>
                <w:noProof/>
                <w:webHidden/>
              </w:rPr>
              <w:t>3</w:t>
            </w:r>
            <w:r w:rsidRPr="005F572A">
              <w:rPr>
                <w:noProof/>
                <w:webHidden/>
              </w:rPr>
              <w:fldChar w:fldCharType="end"/>
            </w:r>
          </w:hyperlink>
        </w:p>
        <w:p w14:paraId="0FE3CED1" w14:textId="10C05C3B" w:rsidR="005F572A" w:rsidRPr="005F572A" w:rsidRDefault="005F572A" w:rsidP="00272AFA">
          <w:pPr>
            <w:pStyle w:val="TOC1"/>
            <w:rPr>
              <w:rFonts w:eastAsiaTheme="minorEastAsia"/>
              <w:noProof/>
              <w:color w:val="auto"/>
              <w:kern w:val="2"/>
              <w14:ligatures w14:val="standardContextual"/>
            </w:rPr>
          </w:pPr>
          <w:hyperlink w:anchor="_Toc233032907" w:history="1">
            <w:r w:rsidRPr="005F572A">
              <w:rPr>
                <w:rStyle w:val="Hyperlink"/>
                <w:rFonts w:ascii="Times New Roman" w:hAnsi="Times New Roman"/>
                <w:b w:val="0"/>
                <w:bCs w:val="0"/>
                <w:noProof/>
                <w:sz w:val="21"/>
                <w:szCs w:val="21"/>
              </w:rPr>
              <w:t>Section 3: Measuring Systemic Risk — Individual Asset Beta</w:t>
            </w:r>
            <w:r w:rsidRPr="005F572A">
              <w:rPr>
                <w:noProof/>
                <w:webHidden/>
              </w:rPr>
              <w:tab/>
            </w:r>
            <w:r w:rsidRPr="005F572A">
              <w:rPr>
                <w:noProof/>
                <w:webHidden/>
              </w:rPr>
              <w:fldChar w:fldCharType="begin"/>
            </w:r>
            <w:r w:rsidRPr="005F572A">
              <w:rPr>
                <w:noProof/>
                <w:webHidden/>
              </w:rPr>
              <w:instrText xml:space="preserve"> PAGEREF _Toc233032907 \h </w:instrText>
            </w:r>
            <w:r w:rsidRPr="005F572A">
              <w:rPr>
                <w:noProof/>
                <w:webHidden/>
              </w:rPr>
            </w:r>
            <w:r w:rsidRPr="005F572A">
              <w:rPr>
                <w:noProof/>
                <w:webHidden/>
              </w:rPr>
              <w:fldChar w:fldCharType="separate"/>
            </w:r>
            <w:r w:rsidR="00EA1FB0">
              <w:rPr>
                <w:noProof/>
                <w:webHidden/>
              </w:rPr>
              <w:t>5</w:t>
            </w:r>
            <w:r w:rsidRPr="005F572A">
              <w:rPr>
                <w:noProof/>
                <w:webHidden/>
              </w:rPr>
              <w:fldChar w:fldCharType="end"/>
            </w:r>
          </w:hyperlink>
        </w:p>
        <w:p w14:paraId="3181DB7A" w14:textId="76A37596" w:rsidR="005F572A" w:rsidRPr="005F572A" w:rsidRDefault="005F572A" w:rsidP="00272AFA">
          <w:pPr>
            <w:pStyle w:val="TOC1"/>
            <w:rPr>
              <w:rFonts w:eastAsiaTheme="minorEastAsia"/>
              <w:noProof/>
              <w:color w:val="auto"/>
              <w:kern w:val="2"/>
              <w14:ligatures w14:val="standardContextual"/>
            </w:rPr>
          </w:pPr>
          <w:hyperlink w:anchor="_Toc233032908" w:history="1">
            <w:r w:rsidRPr="005F572A">
              <w:rPr>
                <w:rStyle w:val="Hyperlink"/>
                <w:rFonts w:ascii="Times New Roman" w:hAnsi="Times New Roman"/>
                <w:b w:val="0"/>
                <w:bCs w:val="0"/>
                <w:noProof/>
                <w:sz w:val="21"/>
                <w:szCs w:val="21"/>
              </w:rPr>
              <w:t>Section 4: Deriving Portfolio Weights</w:t>
            </w:r>
            <w:r w:rsidRPr="005F572A">
              <w:rPr>
                <w:noProof/>
                <w:webHidden/>
              </w:rPr>
              <w:tab/>
            </w:r>
            <w:r w:rsidRPr="005F572A">
              <w:rPr>
                <w:noProof/>
                <w:webHidden/>
              </w:rPr>
              <w:fldChar w:fldCharType="begin"/>
            </w:r>
            <w:r w:rsidRPr="005F572A">
              <w:rPr>
                <w:noProof/>
                <w:webHidden/>
              </w:rPr>
              <w:instrText xml:space="preserve"> PAGEREF _Toc233032908 \h </w:instrText>
            </w:r>
            <w:r w:rsidRPr="005F572A">
              <w:rPr>
                <w:noProof/>
                <w:webHidden/>
              </w:rPr>
            </w:r>
            <w:r w:rsidRPr="005F572A">
              <w:rPr>
                <w:noProof/>
                <w:webHidden/>
              </w:rPr>
              <w:fldChar w:fldCharType="separate"/>
            </w:r>
            <w:r w:rsidR="00EA1FB0">
              <w:rPr>
                <w:noProof/>
                <w:webHidden/>
              </w:rPr>
              <w:t>7</w:t>
            </w:r>
            <w:r w:rsidRPr="005F572A">
              <w:rPr>
                <w:noProof/>
                <w:webHidden/>
              </w:rPr>
              <w:fldChar w:fldCharType="end"/>
            </w:r>
          </w:hyperlink>
        </w:p>
        <w:p w14:paraId="5DCDAFF6" w14:textId="56E20FCF"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09" w:history="1">
            <w:r w:rsidRPr="005F572A">
              <w:rPr>
                <w:rStyle w:val="Hyperlink"/>
                <w:rFonts w:ascii="Times New Roman" w:hAnsi="Times New Roman"/>
                <w:b w:val="0"/>
                <w:bCs w:val="0"/>
                <w:noProof/>
                <w:sz w:val="21"/>
                <w:szCs w:val="21"/>
              </w:rPr>
              <w:t>4.1 Resulting Allocation</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_Toc233032909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7</w:t>
            </w:r>
            <w:r w:rsidRPr="005F572A">
              <w:rPr>
                <w:rFonts w:ascii="Times New Roman" w:hAnsi="Times New Roman"/>
                <w:b w:val="0"/>
                <w:bCs w:val="0"/>
                <w:noProof/>
                <w:webHidden/>
                <w:sz w:val="21"/>
                <w:szCs w:val="21"/>
              </w:rPr>
              <w:fldChar w:fldCharType="end"/>
            </w:r>
          </w:hyperlink>
        </w:p>
        <w:p w14:paraId="36E445A3" w14:textId="4EF329E7" w:rsidR="005F572A" w:rsidRPr="005F572A" w:rsidRDefault="005F572A" w:rsidP="00272AFA">
          <w:pPr>
            <w:pStyle w:val="TOC1"/>
            <w:rPr>
              <w:rFonts w:eastAsiaTheme="minorEastAsia"/>
              <w:noProof/>
              <w:color w:val="auto"/>
              <w:kern w:val="2"/>
              <w14:ligatures w14:val="standardContextual"/>
            </w:rPr>
          </w:pPr>
          <w:hyperlink w:anchor="_Toc233032910" w:history="1">
            <w:r w:rsidRPr="005F572A">
              <w:rPr>
                <w:rStyle w:val="Hyperlink"/>
                <w:rFonts w:ascii="Times New Roman" w:hAnsi="Times New Roman"/>
                <w:b w:val="0"/>
                <w:bCs w:val="0"/>
                <w:noProof/>
                <w:sz w:val="21"/>
                <w:szCs w:val="21"/>
              </w:rPr>
              <w:t>Section 5: Structural Stop-Losses and Position Sizing</w:t>
            </w:r>
            <w:r w:rsidRPr="005F572A">
              <w:rPr>
                <w:noProof/>
                <w:webHidden/>
              </w:rPr>
              <w:tab/>
            </w:r>
            <w:r w:rsidRPr="005F572A">
              <w:rPr>
                <w:noProof/>
                <w:webHidden/>
              </w:rPr>
              <w:fldChar w:fldCharType="begin"/>
            </w:r>
            <w:r w:rsidRPr="005F572A">
              <w:rPr>
                <w:noProof/>
                <w:webHidden/>
              </w:rPr>
              <w:instrText xml:space="preserve"> PAGEREF _Toc233032910 \h </w:instrText>
            </w:r>
            <w:r w:rsidRPr="005F572A">
              <w:rPr>
                <w:noProof/>
                <w:webHidden/>
              </w:rPr>
            </w:r>
            <w:r w:rsidRPr="005F572A">
              <w:rPr>
                <w:noProof/>
                <w:webHidden/>
              </w:rPr>
              <w:fldChar w:fldCharType="separate"/>
            </w:r>
            <w:r w:rsidR="00EA1FB0">
              <w:rPr>
                <w:noProof/>
                <w:webHidden/>
              </w:rPr>
              <w:t>8</w:t>
            </w:r>
            <w:r w:rsidRPr="005F572A">
              <w:rPr>
                <w:noProof/>
                <w:webHidden/>
              </w:rPr>
              <w:fldChar w:fldCharType="end"/>
            </w:r>
          </w:hyperlink>
        </w:p>
        <w:p w14:paraId="6E504CD0" w14:textId="1FFD5341" w:rsidR="005F572A" w:rsidRPr="005F572A" w:rsidRDefault="005F572A" w:rsidP="00272AFA">
          <w:pPr>
            <w:pStyle w:val="TOC1"/>
            <w:rPr>
              <w:rFonts w:eastAsiaTheme="minorEastAsia"/>
              <w:noProof/>
              <w:color w:val="auto"/>
              <w:kern w:val="2"/>
              <w14:ligatures w14:val="standardContextual"/>
            </w:rPr>
          </w:pPr>
          <w:hyperlink w:anchor="_Toc233032911" w:history="1">
            <w:r w:rsidRPr="005F572A">
              <w:rPr>
                <w:rStyle w:val="Hyperlink"/>
                <w:rFonts w:ascii="Times New Roman" w:hAnsi="Times New Roman"/>
                <w:b w:val="0"/>
                <w:bCs w:val="0"/>
                <w:noProof/>
                <w:sz w:val="21"/>
                <w:szCs w:val="21"/>
              </w:rPr>
              <w:t>Section 6: Gatekeeper Constraint Verification</w:t>
            </w:r>
            <w:r w:rsidRPr="005F572A">
              <w:rPr>
                <w:noProof/>
                <w:webHidden/>
              </w:rPr>
              <w:tab/>
            </w:r>
            <w:r w:rsidRPr="005F572A">
              <w:rPr>
                <w:noProof/>
                <w:webHidden/>
              </w:rPr>
              <w:fldChar w:fldCharType="begin"/>
            </w:r>
            <w:r w:rsidRPr="005F572A">
              <w:rPr>
                <w:noProof/>
                <w:webHidden/>
              </w:rPr>
              <w:instrText xml:space="preserve"> PAGEREF _Toc233032911 \h </w:instrText>
            </w:r>
            <w:r w:rsidRPr="005F572A">
              <w:rPr>
                <w:noProof/>
                <w:webHidden/>
              </w:rPr>
            </w:r>
            <w:r w:rsidRPr="005F572A">
              <w:rPr>
                <w:noProof/>
                <w:webHidden/>
              </w:rPr>
              <w:fldChar w:fldCharType="separate"/>
            </w:r>
            <w:r w:rsidR="00EA1FB0">
              <w:rPr>
                <w:noProof/>
                <w:webHidden/>
              </w:rPr>
              <w:t>9</w:t>
            </w:r>
            <w:r w:rsidRPr="005F572A">
              <w:rPr>
                <w:noProof/>
                <w:webHidden/>
              </w:rPr>
              <w:fldChar w:fldCharType="end"/>
            </w:r>
          </w:hyperlink>
        </w:p>
        <w:p w14:paraId="199FB629" w14:textId="5B6C1685"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12" w:history="1">
            <w:r w:rsidRPr="005F572A">
              <w:rPr>
                <w:rStyle w:val="Hyperlink"/>
                <w:rFonts w:ascii="Times New Roman" w:hAnsi="Times New Roman"/>
                <w:b w:val="0"/>
                <w:bCs w:val="0"/>
                <w:noProof/>
                <w:sz w:val="21"/>
                <w:szCs w:val="21"/>
              </w:rPr>
              <w:t>6.1 Constraint 1 — Defensive Systemic Risk (βₚ &lt; 1.0)</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_Toc233032912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9</w:t>
            </w:r>
            <w:r w:rsidRPr="005F572A">
              <w:rPr>
                <w:rFonts w:ascii="Times New Roman" w:hAnsi="Times New Roman"/>
                <w:b w:val="0"/>
                <w:bCs w:val="0"/>
                <w:noProof/>
                <w:webHidden/>
                <w:sz w:val="21"/>
                <w:szCs w:val="21"/>
              </w:rPr>
              <w:fldChar w:fldCharType="end"/>
            </w:r>
          </w:hyperlink>
        </w:p>
        <w:p w14:paraId="1F1BFA45" w14:textId="569506DA"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13" w:history="1">
            <w:r w:rsidRPr="005F572A">
              <w:rPr>
                <w:rStyle w:val="Hyperlink"/>
                <w:rFonts w:ascii="Times New Roman" w:hAnsi="Times New Roman"/>
                <w:b w:val="0"/>
                <w:bCs w:val="0"/>
                <w:noProof/>
                <w:sz w:val="21"/>
                <w:szCs w:val="21"/>
              </w:rPr>
              <w:t>6.2 Constraint 2 — Maximum Portfolio Heat (≤ 8%)</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_Toc233032913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9</w:t>
            </w:r>
            <w:r w:rsidRPr="005F572A">
              <w:rPr>
                <w:rFonts w:ascii="Times New Roman" w:hAnsi="Times New Roman"/>
                <w:b w:val="0"/>
                <w:bCs w:val="0"/>
                <w:noProof/>
                <w:webHidden/>
                <w:sz w:val="21"/>
                <w:szCs w:val="21"/>
              </w:rPr>
              <w:fldChar w:fldCharType="end"/>
            </w:r>
          </w:hyperlink>
        </w:p>
        <w:p w14:paraId="0F5CE576" w14:textId="36D6712B"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14" w:history="1">
            <w:r w:rsidRPr="005F572A">
              <w:rPr>
                <w:rStyle w:val="Hyperlink"/>
                <w:rFonts w:ascii="Times New Roman" w:hAnsi="Times New Roman"/>
                <w:b w:val="0"/>
                <w:bCs w:val="0"/>
                <w:noProof/>
                <w:sz w:val="21"/>
                <w:szCs w:val="21"/>
              </w:rPr>
              <w:t>6.3 Robustness Check: 3-Year Lookback Window</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_Toc233032914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10</w:t>
            </w:r>
            <w:r w:rsidRPr="005F572A">
              <w:rPr>
                <w:rFonts w:ascii="Times New Roman" w:hAnsi="Times New Roman"/>
                <w:b w:val="0"/>
                <w:bCs w:val="0"/>
                <w:noProof/>
                <w:webHidden/>
                <w:sz w:val="21"/>
                <w:szCs w:val="21"/>
              </w:rPr>
              <w:fldChar w:fldCharType="end"/>
            </w:r>
          </w:hyperlink>
        </w:p>
        <w:p w14:paraId="79DBA2C6" w14:textId="7948A3FD"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15" w:history="1">
            <w:r w:rsidRPr="005F572A">
              <w:rPr>
                <w:rStyle w:val="Hyperlink"/>
                <w:rFonts w:ascii="Times New Roman" w:hAnsi="Times New Roman"/>
                <w:b w:val="0"/>
                <w:bCs w:val="0"/>
                <w:noProof/>
                <w:sz w:val="21"/>
                <w:szCs w:val="21"/>
              </w:rPr>
              <w:t>6.4 Overall Gatekeeper Status</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_Toc233032915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10</w:t>
            </w:r>
            <w:r w:rsidRPr="005F572A">
              <w:rPr>
                <w:rFonts w:ascii="Times New Roman" w:hAnsi="Times New Roman"/>
                <w:b w:val="0"/>
                <w:bCs w:val="0"/>
                <w:noProof/>
                <w:webHidden/>
                <w:sz w:val="21"/>
                <w:szCs w:val="21"/>
              </w:rPr>
              <w:fldChar w:fldCharType="end"/>
            </w:r>
          </w:hyperlink>
        </w:p>
        <w:p w14:paraId="7A008DFF" w14:textId="0323E1DB" w:rsidR="005F572A" w:rsidRPr="005F572A" w:rsidRDefault="005F572A" w:rsidP="00272AFA">
          <w:pPr>
            <w:pStyle w:val="TOC1"/>
            <w:rPr>
              <w:rFonts w:eastAsiaTheme="minorEastAsia"/>
              <w:noProof/>
              <w:color w:val="auto"/>
              <w:kern w:val="2"/>
              <w14:ligatures w14:val="standardContextual"/>
            </w:rPr>
          </w:pPr>
          <w:hyperlink w:anchor="_Toc233032916" w:history="1">
            <w:r w:rsidRPr="005F572A">
              <w:rPr>
                <w:rStyle w:val="Hyperlink"/>
                <w:rFonts w:ascii="Times New Roman" w:hAnsi="Times New Roman"/>
                <w:b w:val="0"/>
                <w:bCs w:val="0"/>
                <w:noProof/>
                <w:sz w:val="21"/>
                <w:szCs w:val="21"/>
              </w:rPr>
              <w:t>Section 7: Evaluating the Architecture — The Sharpe Ratio</w:t>
            </w:r>
            <w:r w:rsidRPr="005F572A">
              <w:rPr>
                <w:noProof/>
                <w:webHidden/>
              </w:rPr>
              <w:tab/>
            </w:r>
            <w:r w:rsidRPr="005F572A">
              <w:rPr>
                <w:noProof/>
                <w:webHidden/>
              </w:rPr>
              <w:fldChar w:fldCharType="begin"/>
            </w:r>
            <w:r w:rsidRPr="005F572A">
              <w:rPr>
                <w:noProof/>
                <w:webHidden/>
              </w:rPr>
              <w:instrText xml:space="preserve"> PAGEREF _Toc233032916 \h </w:instrText>
            </w:r>
            <w:r w:rsidRPr="005F572A">
              <w:rPr>
                <w:noProof/>
                <w:webHidden/>
              </w:rPr>
            </w:r>
            <w:r w:rsidRPr="005F572A">
              <w:rPr>
                <w:noProof/>
                <w:webHidden/>
              </w:rPr>
              <w:fldChar w:fldCharType="separate"/>
            </w:r>
            <w:r w:rsidR="00EA1FB0">
              <w:rPr>
                <w:noProof/>
                <w:webHidden/>
              </w:rPr>
              <w:t>11</w:t>
            </w:r>
            <w:r w:rsidRPr="005F572A">
              <w:rPr>
                <w:noProof/>
                <w:webHidden/>
              </w:rPr>
              <w:fldChar w:fldCharType="end"/>
            </w:r>
          </w:hyperlink>
        </w:p>
        <w:p w14:paraId="02546A73" w14:textId="0DA9FB73"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17" w:history="1">
            <w:r w:rsidRPr="005F572A">
              <w:rPr>
                <w:rStyle w:val="Hyperlink"/>
                <w:rFonts w:ascii="Times New Roman" w:hAnsi="Times New Roman"/>
                <w:b w:val="0"/>
                <w:bCs w:val="0"/>
                <w:noProof/>
                <w:sz w:val="21"/>
                <w:szCs w:val="21"/>
              </w:rPr>
              <w:t>7.1 Key Finding: Beta-Defensiveness and Risk-Adjusted Return Are Not the Same Goal</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_Toc233032917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11</w:t>
            </w:r>
            <w:r w:rsidRPr="005F572A">
              <w:rPr>
                <w:rFonts w:ascii="Times New Roman" w:hAnsi="Times New Roman"/>
                <w:b w:val="0"/>
                <w:bCs w:val="0"/>
                <w:noProof/>
                <w:webHidden/>
                <w:sz w:val="21"/>
                <w:szCs w:val="21"/>
              </w:rPr>
              <w:fldChar w:fldCharType="end"/>
            </w:r>
          </w:hyperlink>
        </w:p>
        <w:p w14:paraId="7B846629" w14:textId="65D082CA" w:rsidR="005F572A" w:rsidRPr="005F572A" w:rsidRDefault="005F572A" w:rsidP="00272AFA">
          <w:pPr>
            <w:pStyle w:val="TOC1"/>
            <w:rPr>
              <w:rFonts w:eastAsiaTheme="minorEastAsia"/>
              <w:noProof/>
              <w:color w:val="auto"/>
              <w:kern w:val="2"/>
              <w14:ligatures w14:val="standardContextual"/>
            </w:rPr>
          </w:pPr>
          <w:hyperlink w:anchor="_Toc233032918" w:history="1">
            <w:r w:rsidRPr="005F572A">
              <w:rPr>
                <w:rStyle w:val="Hyperlink"/>
                <w:rFonts w:ascii="Times New Roman" w:hAnsi="Times New Roman"/>
                <w:b w:val="0"/>
                <w:bCs w:val="0"/>
                <w:noProof/>
                <w:sz w:val="21"/>
                <w:szCs w:val="21"/>
              </w:rPr>
              <w:t>Section 8: Limitations</w:t>
            </w:r>
            <w:r w:rsidRPr="005F572A">
              <w:rPr>
                <w:noProof/>
                <w:webHidden/>
              </w:rPr>
              <w:tab/>
            </w:r>
            <w:r w:rsidRPr="005F572A">
              <w:rPr>
                <w:noProof/>
                <w:webHidden/>
              </w:rPr>
              <w:fldChar w:fldCharType="begin"/>
            </w:r>
            <w:r w:rsidRPr="005F572A">
              <w:rPr>
                <w:noProof/>
                <w:webHidden/>
              </w:rPr>
              <w:instrText xml:space="preserve"> PAGEREF _Toc233032918 \h </w:instrText>
            </w:r>
            <w:r w:rsidRPr="005F572A">
              <w:rPr>
                <w:noProof/>
                <w:webHidden/>
              </w:rPr>
            </w:r>
            <w:r w:rsidRPr="005F572A">
              <w:rPr>
                <w:noProof/>
                <w:webHidden/>
              </w:rPr>
              <w:fldChar w:fldCharType="separate"/>
            </w:r>
            <w:r w:rsidR="00EA1FB0">
              <w:rPr>
                <w:noProof/>
                <w:webHidden/>
              </w:rPr>
              <w:t>13</w:t>
            </w:r>
            <w:r w:rsidRPr="005F572A">
              <w:rPr>
                <w:noProof/>
                <w:webHidden/>
              </w:rPr>
              <w:fldChar w:fldCharType="end"/>
            </w:r>
          </w:hyperlink>
        </w:p>
        <w:p w14:paraId="21502F6E" w14:textId="42A467DE" w:rsidR="005F572A" w:rsidRPr="005F572A" w:rsidRDefault="005F572A" w:rsidP="00272AFA">
          <w:pPr>
            <w:pStyle w:val="TOC1"/>
            <w:rPr>
              <w:rFonts w:eastAsiaTheme="minorEastAsia"/>
              <w:noProof/>
              <w:color w:val="auto"/>
              <w:kern w:val="2"/>
              <w14:ligatures w14:val="standardContextual"/>
            </w:rPr>
          </w:pPr>
          <w:hyperlink w:anchor="_Toc233032919" w:history="1">
            <w:r w:rsidRPr="005F572A">
              <w:rPr>
                <w:rStyle w:val="Hyperlink"/>
                <w:rFonts w:ascii="Times New Roman" w:hAnsi="Times New Roman"/>
                <w:b w:val="0"/>
                <w:bCs w:val="0"/>
                <w:noProof/>
                <w:sz w:val="21"/>
                <w:szCs w:val="21"/>
              </w:rPr>
              <w:t>Section 9: Conclusion</w:t>
            </w:r>
            <w:r w:rsidRPr="005F572A">
              <w:rPr>
                <w:noProof/>
                <w:webHidden/>
              </w:rPr>
              <w:tab/>
            </w:r>
            <w:r w:rsidRPr="005F572A">
              <w:rPr>
                <w:noProof/>
                <w:webHidden/>
              </w:rPr>
              <w:fldChar w:fldCharType="begin"/>
            </w:r>
            <w:r w:rsidRPr="005F572A">
              <w:rPr>
                <w:noProof/>
                <w:webHidden/>
              </w:rPr>
              <w:instrText xml:space="preserve"> PAGEREF _Toc233032919 \h </w:instrText>
            </w:r>
            <w:r w:rsidRPr="005F572A">
              <w:rPr>
                <w:noProof/>
                <w:webHidden/>
              </w:rPr>
            </w:r>
            <w:r w:rsidRPr="005F572A">
              <w:rPr>
                <w:noProof/>
                <w:webHidden/>
              </w:rPr>
              <w:fldChar w:fldCharType="separate"/>
            </w:r>
            <w:r w:rsidR="00EA1FB0">
              <w:rPr>
                <w:noProof/>
                <w:webHidden/>
              </w:rPr>
              <w:t>14</w:t>
            </w:r>
            <w:r w:rsidRPr="005F572A">
              <w:rPr>
                <w:noProof/>
                <w:webHidden/>
              </w:rPr>
              <w:fldChar w:fldCharType="end"/>
            </w:r>
          </w:hyperlink>
        </w:p>
        <w:p w14:paraId="1C385505" w14:textId="5C9D12CD"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20" w:history="1">
            <w:r w:rsidRPr="005F572A">
              <w:rPr>
                <w:rStyle w:val="Hyperlink"/>
                <w:rFonts w:ascii="Times New Roman" w:hAnsi="Times New Roman"/>
                <w:b w:val="0"/>
                <w:bCs w:val="0"/>
                <w:noProof/>
                <w:sz w:val="21"/>
                <w:szCs w:val="21"/>
              </w:rPr>
              <w:t>9.1 Portfolio Findings</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_Toc233032920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14</w:t>
            </w:r>
            <w:r w:rsidRPr="005F572A">
              <w:rPr>
                <w:rFonts w:ascii="Times New Roman" w:hAnsi="Times New Roman"/>
                <w:b w:val="0"/>
                <w:bCs w:val="0"/>
                <w:noProof/>
                <w:webHidden/>
                <w:sz w:val="21"/>
                <w:szCs w:val="21"/>
              </w:rPr>
              <w:fldChar w:fldCharType="end"/>
            </w:r>
          </w:hyperlink>
        </w:p>
        <w:p w14:paraId="3822744A" w14:textId="0E2A4FBF"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21" w:history="1">
            <w:r w:rsidRPr="005F572A">
              <w:rPr>
                <w:rStyle w:val="Hyperlink"/>
                <w:rFonts w:ascii="Times New Roman" w:hAnsi="Times New Roman"/>
                <w:b w:val="0"/>
                <w:bCs w:val="0"/>
                <w:noProof/>
                <w:sz w:val="21"/>
                <w:szCs w:val="21"/>
              </w:rPr>
              <w:t>9.2 Individual Stock Conclusions</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_Toc233032921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14</w:t>
            </w:r>
            <w:r w:rsidRPr="005F572A">
              <w:rPr>
                <w:rFonts w:ascii="Times New Roman" w:hAnsi="Times New Roman"/>
                <w:b w:val="0"/>
                <w:bCs w:val="0"/>
                <w:noProof/>
                <w:webHidden/>
                <w:sz w:val="21"/>
                <w:szCs w:val="21"/>
              </w:rPr>
              <w:fldChar w:fldCharType="end"/>
            </w:r>
          </w:hyperlink>
        </w:p>
        <w:p w14:paraId="1CD3FBB3" w14:textId="6715EA65" w:rsidR="005F572A" w:rsidRPr="005F572A" w:rsidRDefault="005F572A" w:rsidP="005F572A">
          <w:pPr>
            <w:pStyle w:val="TOC2"/>
            <w:tabs>
              <w:tab w:val="right" w:leader="dot" w:pos="9710"/>
            </w:tabs>
            <w:spacing w:line="360" w:lineRule="auto"/>
            <w:rPr>
              <w:rFonts w:ascii="Times New Roman" w:eastAsiaTheme="minorEastAsia" w:hAnsi="Times New Roman"/>
              <w:b w:val="0"/>
              <w:bCs w:val="0"/>
              <w:noProof/>
              <w:color w:val="auto"/>
              <w:kern w:val="2"/>
              <w:sz w:val="21"/>
              <w:szCs w:val="21"/>
              <w14:ligatures w14:val="standardContextual"/>
            </w:rPr>
          </w:pPr>
          <w:hyperlink w:anchor="_Toc233032922" w:history="1">
            <w:r w:rsidRPr="005F572A">
              <w:rPr>
                <w:rStyle w:val="Hyperlink"/>
                <w:rFonts w:ascii="Times New Roman" w:hAnsi="Times New Roman"/>
                <w:b w:val="0"/>
                <w:bCs w:val="0"/>
                <w:noProof/>
                <w:sz w:val="21"/>
                <w:szCs w:val="21"/>
              </w:rPr>
              <w:t>9.3 Key Learnings</w:t>
            </w:r>
            <w:r w:rsidRPr="005F572A">
              <w:rPr>
                <w:rFonts w:ascii="Times New Roman" w:hAnsi="Times New Roman"/>
                <w:b w:val="0"/>
                <w:bCs w:val="0"/>
                <w:noProof/>
                <w:webHidden/>
                <w:sz w:val="21"/>
                <w:szCs w:val="21"/>
              </w:rPr>
              <w:tab/>
            </w:r>
            <w:r w:rsidRPr="005F572A">
              <w:rPr>
                <w:rFonts w:ascii="Times New Roman" w:hAnsi="Times New Roman"/>
                <w:b w:val="0"/>
                <w:bCs w:val="0"/>
                <w:noProof/>
                <w:webHidden/>
                <w:sz w:val="21"/>
                <w:szCs w:val="21"/>
              </w:rPr>
              <w:fldChar w:fldCharType="begin"/>
            </w:r>
            <w:r w:rsidRPr="005F572A">
              <w:rPr>
                <w:rFonts w:ascii="Times New Roman" w:hAnsi="Times New Roman"/>
                <w:b w:val="0"/>
                <w:bCs w:val="0"/>
                <w:noProof/>
                <w:webHidden/>
                <w:sz w:val="21"/>
                <w:szCs w:val="21"/>
              </w:rPr>
              <w:instrText xml:space="preserve"> PAGEREF _Toc233032922 \h </w:instrText>
            </w:r>
            <w:r w:rsidRPr="005F572A">
              <w:rPr>
                <w:rFonts w:ascii="Times New Roman" w:hAnsi="Times New Roman"/>
                <w:b w:val="0"/>
                <w:bCs w:val="0"/>
                <w:noProof/>
                <w:webHidden/>
                <w:sz w:val="21"/>
                <w:szCs w:val="21"/>
              </w:rPr>
            </w:r>
            <w:r w:rsidRPr="005F572A">
              <w:rPr>
                <w:rFonts w:ascii="Times New Roman" w:hAnsi="Times New Roman"/>
                <w:b w:val="0"/>
                <w:bCs w:val="0"/>
                <w:noProof/>
                <w:webHidden/>
                <w:sz w:val="21"/>
                <w:szCs w:val="21"/>
              </w:rPr>
              <w:fldChar w:fldCharType="separate"/>
            </w:r>
            <w:r w:rsidR="00EA1FB0">
              <w:rPr>
                <w:rFonts w:ascii="Times New Roman" w:hAnsi="Times New Roman"/>
                <w:b w:val="0"/>
                <w:bCs w:val="0"/>
                <w:noProof/>
                <w:webHidden/>
                <w:sz w:val="21"/>
                <w:szCs w:val="21"/>
              </w:rPr>
              <w:t>15</w:t>
            </w:r>
            <w:r w:rsidRPr="005F572A">
              <w:rPr>
                <w:rFonts w:ascii="Times New Roman" w:hAnsi="Times New Roman"/>
                <w:b w:val="0"/>
                <w:bCs w:val="0"/>
                <w:noProof/>
                <w:webHidden/>
                <w:sz w:val="21"/>
                <w:szCs w:val="21"/>
              </w:rPr>
              <w:fldChar w:fldCharType="end"/>
            </w:r>
          </w:hyperlink>
        </w:p>
        <w:p w14:paraId="0B6BBA14" w14:textId="5470221D" w:rsidR="005F572A" w:rsidRPr="005F572A" w:rsidRDefault="005F572A" w:rsidP="00272AFA">
          <w:pPr>
            <w:pStyle w:val="TOC1"/>
            <w:rPr>
              <w:rFonts w:eastAsiaTheme="minorEastAsia"/>
              <w:noProof/>
              <w:color w:val="auto"/>
              <w:kern w:val="2"/>
              <w14:ligatures w14:val="standardContextual"/>
            </w:rPr>
          </w:pPr>
          <w:hyperlink w:anchor="_Toc233032923" w:history="1">
            <w:r w:rsidRPr="005F572A">
              <w:rPr>
                <w:rStyle w:val="Hyperlink"/>
                <w:rFonts w:ascii="Times New Roman" w:hAnsi="Times New Roman"/>
                <w:b w:val="0"/>
                <w:bCs w:val="0"/>
                <w:noProof/>
                <w:sz w:val="21"/>
                <w:szCs w:val="21"/>
              </w:rPr>
              <w:t>Disclaimer</w:t>
            </w:r>
            <w:r w:rsidRPr="005F572A">
              <w:rPr>
                <w:noProof/>
                <w:webHidden/>
              </w:rPr>
              <w:tab/>
            </w:r>
            <w:r w:rsidRPr="005F572A">
              <w:rPr>
                <w:noProof/>
                <w:webHidden/>
              </w:rPr>
              <w:fldChar w:fldCharType="begin"/>
            </w:r>
            <w:r w:rsidRPr="005F572A">
              <w:rPr>
                <w:noProof/>
                <w:webHidden/>
              </w:rPr>
              <w:instrText xml:space="preserve"> PAGEREF _Toc233032923 \h </w:instrText>
            </w:r>
            <w:r w:rsidRPr="005F572A">
              <w:rPr>
                <w:noProof/>
                <w:webHidden/>
              </w:rPr>
            </w:r>
            <w:r w:rsidRPr="005F572A">
              <w:rPr>
                <w:noProof/>
                <w:webHidden/>
              </w:rPr>
              <w:fldChar w:fldCharType="separate"/>
            </w:r>
            <w:r w:rsidR="00EA1FB0">
              <w:rPr>
                <w:noProof/>
                <w:webHidden/>
              </w:rPr>
              <w:t>16</w:t>
            </w:r>
            <w:r w:rsidRPr="005F572A">
              <w:rPr>
                <w:noProof/>
                <w:webHidden/>
              </w:rPr>
              <w:fldChar w:fldCharType="end"/>
            </w:r>
          </w:hyperlink>
        </w:p>
        <w:p w14:paraId="3C5853A1" w14:textId="3ECE3FA6" w:rsidR="00D84F60" w:rsidRDefault="00D84F60" w:rsidP="005F572A">
          <w:pPr>
            <w:spacing w:line="360" w:lineRule="auto"/>
            <w:sectPr w:rsidR="00D84F60">
              <w:pgSz w:w="12240" w:h="15840"/>
              <w:pgMar w:top="1440" w:right="1260" w:bottom="1440" w:left="1260" w:header="708" w:footer="708" w:gutter="0"/>
              <w:cols w:space="720"/>
              <w:docGrid w:linePitch="360"/>
            </w:sectPr>
          </w:pPr>
          <w:r w:rsidRPr="005F572A">
            <w:rPr>
              <w:noProof/>
              <w:sz w:val="21"/>
              <w:szCs w:val="21"/>
            </w:rPr>
            <w:fldChar w:fldCharType="end"/>
          </w:r>
        </w:p>
      </w:sdtContent>
    </w:sdt>
    <w:p w14:paraId="238D14AB" w14:textId="77777777" w:rsidR="00AB4906" w:rsidRDefault="00000000" w:rsidP="00D84F60">
      <w:pPr>
        <w:pStyle w:val="Heading1"/>
      </w:pPr>
      <w:bookmarkStart w:id="0" w:name="_Toc233032902"/>
      <w:r>
        <w:lastRenderedPageBreak/>
        <w:t>Section 1: Methodology</w:t>
      </w:r>
      <w:bookmarkEnd w:id="0"/>
    </w:p>
    <w:p w14:paraId="765E9B0A" w14:textId="77777777" w:rsidR="00AB4906" w:rsidRDefault="00000000">
      <w:pPr>
        <w:pStyle w:val="Heading2"/>
      </w:pPr>
      <w:bookmarkStart w:id="1" w:name="_Toc233032903"/>
      <w:r>
        <w:t>1.1 Scope and Objective</w:t>
      </w:r>
      <w:bookmarkEnd w:id="1"/>
    </w:p>
    <w:p w14:paraId="266ED44F" w14:textId="77777777" w:rsidR="00AB4906" w:rsidRDefault="00000000">
      <w:pPr>
        <w:spacing w:after="200" w:line="360" w:lineRule="auto"/>
        <w:jc w:val="both"/>
      </w:pPr>
      <w:r>
        <w:t>As per the DecodeLabs Project 4 brief (Portfolio Optimization &amp; Risk Management), this analysis is built around three deliverables: construction of a diversified, multi-sector $100,000 simulated portfolio; calculation of that portfolio’s overall systemic risk (Portfolio Beta) against a recognised market benchmark; and implementation of a fixed-fractional position-sizing rule ensuring no single holding can expose more than a defined percentage of total capital to loss. The explicit goal, consistent with the brief’s own framing, is to shift focus from single-trade decision-making to macro-level ecosystem management — constructing a capital structure engineered to survive adverse market conditions, not merely one optimised for return.</w:t>
      </w:r>
    </w:p>
    <w:p w14:paraId="04D38FFA" w14:textId="77777777" w:rsidR="00AB4906" w:rsidRDefault="00000000">
      <w:pPr>
        <w:pStyle w:val="Heading2"/>
      </w:pPr>
      <w:bookmarkStart w:id="2" w:name="_Toc233032904"/>
      <w:r>
        <w:t>1.2 Data Sourcing</w:t>
      </w:r>
      <w:bookmarkEnd w:id="2"/>
    </w:p>
    <w:p w14:paraId="434722EA" w14:textId="77777777" w:rsidR="00AB4906" w:rsidRDefault="00000000">
      <w:pPr>
        <w:spacing w:after="200" w:line="360" w:lineRule="auto"/>
        <w:jc w:val="both"/>
      </w:pPr>
      <w:r>
        <w:rPr>
          <w:b/>
          <w:bCs/>
        </w:rPr>
        <w:t xml:space="preserve">Source: </w:t>
      </w:r>
      <w:r>
        <w:t>yfinance Python library, providing weekly OHLCV (open, high, low, close, volume) price history for four equities and one benchmark index.</w:t>
      </w:r>
    </w:p>
    <w:p w14:paraId="1B135496" w14:textId="77777777" w:rsidR="00AB4906" w:rsidRDefault="00000000">
      <w:pPr>
        <w:spacing w:after="200" w:line="360" w:lineRule="auto"/>
        <w:jc w:val="both"/>
      </w:pPr>
      <w:r>
        <w:rPr>
          <w:b/>
          <w:bCs/>
        </w:rPr>
        <w:t xml:space="preserve">Lookback window: </w:t>
      </w:r>
      <w:r>
        <w:t>22 June 2020 – 22 June 2026 (6 years, weekly intervals), matched directly to the data window established in Project 3’s Walk-Forward Optimisation, for consistency across this four-project portfolio.</w:t>
      </w:r>
    </w:p>
    <w:p w14:paraId="4FA0AF58" w14:textId="77777777" w:rsidR="00AB4906" w:rsidRDefault="00000000">
      <w:pPr>
        <w:spacing w:after="200" w:line="360" w:lineRule="auto"/>
        <w:jc w:val="both"/>
      </w:pPr>
      <w:r>
        <w:rPr>
          <w:b/>
          <w:bCs/>
        </w:rPr>
        <w:t xml:space="preserve">Gap handling: </w:t>
      </w:r>
      <w:r>
        <w:t>forward-fill only, consistent with the look-ahead-bias discipline established in Project 3 — pulling a future price backward into a past gap would leak forward-looking information into the Beta and covariance calculations.</w:t>
      </w:r>
    </w:p>
    <w:p w14:paraId="6273AD4A" w14:textId="77777777" w:rsidR="00AB4906" w:rsidRDefault="00000000">
      <w:pPr>
        <w:spacing w:after="200" w:line="360" w:lineRule="auto"/>
        <w:jc w:val="both"/>
      </w:pPr>
      <w:r>
        <w:rPr>
          <w:b/>
          <w:bCs/>
        </w:rPr>
        <w:t xml:space="preserve">Currency: </w:t>
      </w:r>
      <w:r>
        <w:t>all LSE-listed prices in pence (GBX), consistent with Projects 1–3.</w:t>
      </w:r>
    </w:p>
    <w:p w14:paraId="0ACBE66C" w14:textId="77777777" w:rsidR="00AB4906" w:rsidRDefault="00000000">
      <w:pPr>
        <w:spacing w:after="200" w:line="360" w:lineRule="auto"/>
        <w:jc w:val="both"/>
      </w:pPr>
      <w:r>
        <w:rPr>
          <w:b/>
          <w:bCs/>
        </w:rPr>
        <w:t xml:space="preserve">Assets: </w:t>
      </w:r>
      <w:r>
        <w:t>AZN.L, GSK.L, SHEL.L — the same three equities covered across Projects 1–3 — plus AUTO.L, added for this project specifically to test a fourth, distinct sector exposure.</w:t>
      </w:r>
    </w:p>
    <w:p w14:paraId="4B537E59" w14:textId="77777777" w:rsidR="00AB4906" w:rsidRDefault="00000000">
      <w:pPr>
        <w:spacing w:after="200" w:line="360" w:lineRule="auto"/>
        <w:jc w:val="both"/>
      </w:pPr>
      <w:r>
        <w:rPr>
          <w:b/>
          <w:bCs/>
        </w:rPr>
        <w:t xml:space="preserve">Benchmark: </w:t>
      </w:r>
      <w:r>
        <w:t>^FTSE (FTSE 100 Index), kept consistent with the benchmark used throughout Projects 1–3, rather than the S&amp;P 500 used in the brief’s own illustrative example.</w:t>
      </w:r>
    </w:p>
    <w:p w14:paraId="5D22F040" w14:textId="77777777" w:rsidR="00AB4906" w:rsidRDefault="00000000">
      <w:pPr>
        <w:pStyle w:val="Heading2"/>
      </w:pPr>
      <w:bookmarkStart w:id="3" w:name="_Toc233032905"/>
      <w:r>
        <w:t>1.3 Asset Universe and the Diversification Trap</w:t>
      </w:r>
      <w:bookmarkEnd w:id="3"/>
    </w:p>
    <w:p w14:paraId="2067B1E0" w14:textId="77777777" w:rsidR="00AB4906" w:rsidRDefault="00000000">
      <w:pPr>
        <w:spacing w:after="200" w:line="360" w:lineRule="auto"/>
        <w:jc w:val="both"/>
      </w:pPr>
      <w:r>
        <w:t>The brief identifies a specific failure mode it terms the “diversification trap”: purchasing several securities within the same sector provides no real structural protection, since they share near-identical systemic risk factors and will tend to fall together in a sector-wide downturn. Holding multiple securities within the same sector is, in the brief’s own words, pseudo-diversification.</w:t>
      </w:r>
    </w:p>
    <w:p w14:paraId="451FA40F" w14:textId="77777777" w:rsidR="00AB4906" w:rsidRDefault="00000000">
      <w:pPr>
        <w:spacing w:after="200" w:line="360" w:lineRule="auto"/>
        <w:jc w:val="both"/>
      </w:pPr>
      <w:r>
        <w:lastRenderedPageBreak/>
        <w:t>The four-asset universe selected for this project was chosen to minimise this risk while preserving continuity with the equities already analysed across Projects 1–3:</w:t>
      </w:r>
    </w:p>
    <w:p w14:paraId="69E5AA70" w14:textId="0DDF76E1" w:rsidR="005211DD" w:rsidRPr="005211DD" w:rsidRDefault="005211DD" w:rsidP="005211DD">
      <w:pPr>
        <w:pStyle w:val="Caption"/>
        <w:keepNext/>
        <w:jc w:val="center"/>
        <w:rPr>
          <w:b/>
          <w:bCs/>
        </w:rPr>
      </w:pPr>
      <w:r w:rsidRPr="005211DD">
        <w:rPr>
          <w:b/>
          <w:bCs/>
        </w:rPr>
        <w:t xml:space="preserve">Table </w:t>
      </w:r>
      <w:r w:rsidRPr="005211DD">
        <w:rPr>
          <w:b/>
          <w:bCs/>
        </w:rPr>
        <w:fldChar w:fldCharType="begin"/>
      </w:r>
      <w:r w:rsidRPr="005211DD">
        <w:rPr>
          <w:b/>
          <w:bCs/>
        </w:rPr>
        <w:instrText xml:space="preserve"> SEQ Table \* ARABIC </w:instrText>
      </w:r>
      <w:r w:rsidRPr="005211DD">
        <w:rPr>
          <w:b/>
          <w:bCs/>
        </w:rPr>
        <w:fldChar w:fldCharType="separate"/>
      </w:r>
      <w:r w:rsidR="00EA1FB0">
        <w:rPr>
          <w:b/>
          <w:bCs/>
          <w:noProof/>
        </w:rPr>
        <w:t>1</w:t>
      </w:r>
      <w:r w:rsidRPr="005211DD">
        <w:rPr>
          <w:b/>
          <w:bCs/>
        </w:rPr>
        <w:fldChar w:fldCharType="end"/>
      </w:r>
      <w:r w:rsidRPr="005211DD">
        <w:rPr>
          <w:b/>
          <w:bCs/>
        </w:rPr>
        <w:t>: Four-asset portfolio universe and sector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200"/>
        <w:gridCol w:w="3160"/>
      </w:tblGrid>
      <w:tr w:rsidR="00AB4906" w14:paraId="655DCC11" w14:textId="77777777">
        <w:tc>
          <w:tcPr>
            <w:tcW w:w="1600" w:type="dxa"/>
            <w:shd w:val="clear" w:color="auto" w:fill="1F3864"/>
            <w:tcMar>
              <w:top w:w="90" w:type="dxa"/>
              <w:left w:w="130" w:type="dxa"/>
              <w:bottom w:w="90" w:type="dxa"/>
              <w:right w:w="130" w:type="dxa"/>
            </w:tcMar>
            <w:vAlign w:val="center"/>
          </w:tcPr>
          <w:p w14:paraId="2AC88678" w14:textId="77777777" w:rsidR="00AB4906" w:rsidRDefault="00000000">
            <w:r>
              <w:rPr>
                <w:b/>
                <w:bCs/>
                <w:color w:val="FFFFFF"/>
                <w:sz w:val="20"/>
                <w:szCs w:val="20"/>
              </w:rPr>
              <w:t>Ticker</w:t>
            </w:r>
          </w:p>
        </w:tc>
        <w:tc>
          <w:tcPr>
            <w:tcW w:w="2400" w:type="dxa"/>
            <w:shd w:val="clear" w:color="auto" w:fill="1F3864"/>
            <w:tcMar>
              <w:top w:w="90" w:type="dxa"/>
              <w:left w:w="130" w:type="dxa"/>
              <w:bottom w:w="90" w:type="dxa"/>
              <w:right w:w="130" w:type="dxa"/>
            </w:tcMar>
            <w:vAlign w:val="center"/>
          </w:tcPr>
          <w:p w14:paraId="69DB8621" w14:textId="77777777" w:rsidR="00AB4906" w:rsidRDefault="00000000">
            <w:r>
              <w:rPr>
                <w:b/>
                <w:bCs/>
                <w:color w:val="FFFFFF"/>
                <w:sz w:val="20"/>
                <w:szCs w:val="20"/>
              </w:rPr>
              <w:t>Company</w:t>
            </w:r>
          </w:p>
        </w:tc>
        <w:tc>
          <w:tcPr>
            <w:tcW w:w="2200" w:type="dxa"/>
            <w:shd w:val="clear" w:color="auto" w:fill="1F3864"/>
            <w:tcMar>
              <w:top w:w="90" w:type="dxa"/>
              <w:left w:w="130" w:type="dxa"/>
              <w:bottom w:w="90" w:type="dxa"/>
              <w:right w:w="130" w:type="dxa"/>
            </w:tcMar>
            <w:vAlign w:val="center"/>
          </w:tcPr>
          <w:p w14:paraId="25B58658" w14:textId="77777777" w:rsidR="00AB4906" w:rsidRDefault="00000000">
            <w:r>
              <w:rPr>
                <w:b/>
                <w:bCs/>
                <w:color w:val="FFFFFF"/>
                <w:sz w:val="20"/>
                <w:szCs w:val="20"/>
              </w:rPr>
              <w:t>Sector</w:t>
            </w:r>
          </w:p>
        </w:tc>
        <w:tc>
          <w:tcPr>
            <w:tcW w:w="3160" w:type="dxa"/>
            <w:shd w:val="clear" w:color="auto" w:fill="1F3864"/>
            <w:tcMar>
              <w:top w:w="90" w:type="dxa"/>
              <w:left w:w="130" w:type="dxa"/>
              <w:bottom w:w="90" w:type="dxa"/>
              <w:right w:w="130" w:type="dxa"/>
            </w:tcMar>
            <w:vAlign w:val="center"/>
          </w:tcPr>
          <w:p w14:paraId="3FEF9617" w14:textId="77777777" w:rsidR="00AB4906" w:rsidRDefault="00000000">
            <w:r>
              <w:rPr>
                <w:b/>
                <w:bCs/>
                <w:color w:val="FFFFFF"/>
                <w:sz w:val="20"/>
                <w:szCs w:val="20"/>
              </w:rPr>
              <w:t>Rationale</w:t>
            </w:r>
          </w:p>
        </w:tc>
      </w:tr>
      <w:tr w:rsidR="00AB4906" w14:paraId="47A565F4" w14:textId="77777777">
        <w:trPr>
          <w:cantSplit/>
        </w:trPr>
        <w:tc>
          <w:tcPr>
            <w:tcW w:w="1600" w:type="dxa"/>
            <w:tcMar>
              <w:top w:w="90" w:type="dxa"/>
              <w:left w:w="130" w:type="dxa"/>
              <w:bottom w:w="90" w:type="dxa"/>
              <w:right w:w="130" w:type="dxa"/>
            </w:tcMar>
            <w:vAlign w:val="center"/>
          </w:tcPr>
          <w:p w14:paraId="5A6A8E9A" w14:textId="77777777" w:rsidR="00AB4906" w:rsidRDefault="00000000">
            <w:r>
              <w:rPr>
                <w:sz w:val="20"/>
                <w:szCs w:val="20"/>
              </w:rPr>
              <w:t>AZN.L</w:t>
            </w:r>
          </w:p>
        </w:tc>
        <w:tc>
          <w:tcPr>
            <w:tcW w:w="2400" w:type="dxa"/>
            <w:tcMar>
              <w:top w:w="90" w:type="dxa"/>
              <w:left w:w="130" w:type="dxa"/>
              <w:bottom w:w="90" w:type="dxa"/>
              <w:right w:w="130" w:type="dxa"/>
            </w:tcMar>
            <w:vAlign w:val="center"/>
          </w:tcPr>
          <w:p w14:paraId="44ED8F66" w14:textId="77777777" w:rsidR="00AB4906" w:rsidRDefault="00000000">
            <w:r>
              <w:rPr>
                <w:sz w:val="20"/>
                <w:szCs w:val="20"/>
              </w:rPr>
              <w:t>AstraZeneca</w:t>
            </w:r>
          </w:p>
        </w:tc>
        <w:tc>
          <w:tcPr>
            <w:tcW w:w="2200" w:type="dxa"/>
            <w:tcMar>
              <w:top w:w="90" w:type="dxa"/>
              <w:left w:w="130" w:type="dxa"/>
              <w:bottom w:w="90" w:type="dxa"/>
              <w:right w:w="130" w:type="dxa"/>
            </w:tcMar>
            <w:vAlign w:val="center"/>
          </w:tcPr>
          <w:p w14:paraId="68A313A5" w14:textId="77777777" w:rsidR="00AB4906" w:rsidRDefault="00000000">
            <w:r>
              <w:rPr>
                <w:sz w:val="20"/>
                <w:szCs w:val="20"/>
              </w:rPr>
              <w:t>Pharmaceuticals</w:t>
            </w:r>
          </w:p>
        </w:tc>
        <w:tc>
          <w:tcPr>
            <w:tcW w:w="3160" w:type="dxa"/>
            <w:tcMar>
              <w:top w:w="90" w:type="dxa"/>
              <w:left w:w="130" w:type="dxa"/>
              <w:bottom w:w="90" w:type="dxa"/>
              <w:right w:w="130" w:type="dxa"/>
            </w:tcMar>
            <w:vAlign w:val="center"/>
          </w:tcPr>
          <w:p w14:paraId="533587BE" w14:textId="77777777" w:rsidR="00AB4906" w:rsidRDefault="00000000">
            <w:r>
              <w:rPr>
                <w:sz w:val="20"/>
                <w:szCs w:val="20"/>
              </w:rPr>
              <w:t>Defensive, regulatory-driven demand</w:t>
            </w:r>
          </w:p>
        </w:tc>
      </w:tr>
      <w:tr w:rsidR="00AB4906" w14:paraId="16BC6080" w14:textId="77777777">
        <w:trPr>
          <w:cantSplit/>
        </w:trPr>
        <w:tc>
          <w:tcPr>
            <w:tcW w:w="1600" w:type="dxa"/>
            <w:shd w:val="clear" w:color="auto" w:fill="EEF3FA"/>
            <w:tcMar>
              <w:top w:w="90" w:type="dxa"/>
              <w:left w:w="130" w:type="dxa"/>
              <w:bottom w:w="90" w:type="dxa"/>
              <w:right w:w="130" w:type="dxa"/>
            </w:tcMar>
            <w:vAlign w:val="center"/>
          </w:tcPr>
          <w:p w14:paraId="2F452AFE" w14:textId="77777777" w:rsidR="00AB4906" w:rsidRDefault="00000000">
            <w:r>
              <w:rPr>
                <w:sz w:val="20"/>
                <w:szCs w:val="20"/>
              </w:rPr>
              <w:t>GSK.L</w:t>
            </w:r>
          </w:p>
        </w:tc>
        <w:tc>
          <w:tcPr>
            <w:tcW w:w="2400" w:type="dxa"/>
            <w:shd w:val="clear" w:color="auto" w:fill="EEF3FA"/>
            <w:tcMar>
              <w:top w:w="90" w:type="dxa"/>
              <w:left w:w="130" w:type="dxa"/>
              <w:bottom w:w="90" w:type="dxa"/>
              <w:right w:w="130" w:type="dxa"/>
            </w:tcMar>
            <w:vAlign w:val="center"/>
          </w:tcPr>
          <w:p w14:paraId="0B8F1497" w14:textId="77777777" w:rsidR="00AB4906" w:rsidRDefault="00000000">
            <w:r>
              <w:rPr>
                <w:sz w:val="20"/>
                <w:szCs w:val="20"/>
              </w:rPr>
              <w:t>GSK</w:t>
            </w:r>
          </w:p>
        </w:tc>
        <w:tc>
          <w:tcPr>
            <w:tcW w:w="2200" w:type="dxa"/>
            <w:shd w:val="clear" w:color="auto" w:fill="EEF3FA"/>
            <w:tcMar>
              <w:top w:w="90" w:type="dxa"/>
              <w:left w:w="130" w:type="dxa"/>
              <w:bottom w:w="90" w:type="dxa"/>
              <w:right w:w="130" w:type="dxa"/>
            </w:tcMar>
            <w:vAlign w:val="center"/>
          </w:tcPr>
          <w:p w14:paraId="0B158ED2" w14:textId="77777777" w:rsidR="00AB4906" w:rsidRDefault="00000000">
            <w:r>
              <w:rPr>
                <w:sz w:val="20"/>
                <w:szCs w:val="20"/>
              </w:rPr>
              <w:t>Pharmaceuticals</w:t>
            </w:r>
          </w:p>
        </w:tc>
        <w:tc>
          <w:tcPr>
            <w:tcW w:w="3160" w:type="dxa"/>
            <w:shd w:val="clear" w:color="auto" w:fill="EEF3FA"/>
            <w:tcMar>
              <w:top w:w="90" w:type="dxa"/>
              <w:left w:w="130" w:type="dxa"/>
              <w:bottom w:w="90" w:type="dxa"/>
              <w:right w:w="130" w:type="dxa"/>
            </w:tcMar>
            <w:vAlign w:val="center"/>
          </w:tcPr>
          <w:p w14:paraId="5514B6F9" w14:textId="77777777" w:rsidR="00AB4906" w:rsidRDefault="00000000">
            <w:r>
              <w:rPr>
                <w:sz w:val="20"/>
                <w:szCs w:val="20"/>
              </w:rPr>
              <w:t>Defensive, regulatory-driven demand</w:t>
            </w:r>
          </w:p>
        </w:tc>
      </w:tr>
      <w:tr w:rsidR="00AB4906" w14:paraId="77711E24" w14:textId="77777777">
        <w:trPr>
          <w:cantSplit/>
        </w:trPr>
        <w:tc>
          <w:tcPr>
            <w:tcW w:w="1600" w:type="dxa"/>
            <w:tcMar>
              <w:top w:w="90" w:type="dxa"/>
              <w:left w:w="130" w:type="dxa"/>
              <w:bottom w:w="90" w:type="dxa"/>
              <w:right w:w="130" w:type="dxa"/>
            </w:tcMar>
            <w:vAlign w:val="center"/>
          </w:tcPr>
          <w:p w14:paraId="53CED382" w14:textId="77777777" w:rsidR="00AB4906" w:rsidRDefault="00000000">
            <w:r>
              <w:rPr>
                <w:sz w:val="20"/>
                <w:szCs w:val="20"/>
              </w:rPr>
              <w:t>SHEL.L</w:t>
            </w:r>
          </w:p>
        </w:tc>
        <w:tc>
          <w:tcPr>
            <w:tcW w:w="2400" w:type="dxa"/>
            <w:tcMar>
              <w:top w:w="90" w:type="dxa"/>
              <w:left w:w="130" w:type="dxa"/>
              <w:bottom w:w="90" w:type="dxa"/>
              <w:right w:w="130" w:type="dxa"/>
            </w:tcMar>
            <w:vAlign w:val="center"/>
          </w:tcPr>
          <w:p w14:paraId="4095073B" w14:textId="77777777" w:rsidR="00AB4906" w:rsidRDefault="00000000">
            <w:r>
              <w:rPr>
                <w:sz w:val="20"/>
                <w:szCs w:val="20"/>
              </w:rPr>
              <w:t>Shell</w:t>
            </w:r>
          </w:p>
        </w:tc>
        <w:tc>
          <w:tcPr>
            <w:tcW w:w="2200" w:type="dxa"/>
            <w:tcMar>
              <w:top w:w="90" w:type="dxa"/>
              <w:left w:w="130" w:type="dxa"/>
              <w:bottom w:w="90" w:type="dxa"/>
              <w:right w:w="130" w:type="dxa"/>
            </w:tcMar>
            <w:vAlign w:val="center"/>
          </w:tcPr>
          <w:p w14:paraId="30433694" w14:textId="77777777" w:rsidR="00AB4906" w:rsidRDefault="00000000">
            <w:r>
              <w:rPr>
                <w:sz w:val="20"/>
                <w:szCs w:val="20"/>
              </w:rPr>
              <w:t>Energy</w:t>
            </w:r>
          </w:p>
        </w:tc>
        <w:tc>
          <w:tcPr>
            <w:tcW w:w="3160" w:type="dxa"/>
            <w:tcMar>
              <w:top w:w="90" w:type="dxa"/>
              <w:left w:w="130" w:type="dxa"/>
              <w:bottom w:w="90" w:type="dxa"/>
              <w:right w:w="130" w:type="dxa"/>
            </w:tcMar>
            <w:vAlign w:val="center"/>
          </w:tcPr>
          <w:p w14:paraId="1D91A4EF" w14:textId="77777777" w:rsidR="00AB4906" w:rsidRDefault="00000000">
            <w:r>
              <w:rPr>
                <w:sz w:val="20"/>
                <w:szCs w:val="20"/>
              </w:rPr>
              <w:t>Commodity- and FX-driven; distinct risk factor</w:t>
            </w:r>
          </w:p>
        </w:tc>
      </w:tr>
      <w:tr w:rsidR="00AB4906" w14:paraId="1F6662FF" w14:textId="77777777">
        <w:trPr>
          <w:cantSplit/>
        </w:trPr>
        <w:tc>
          <w:tcPr>
            <w:tcW w:w="1600" w:type="dxa"/>
            <w:shd w:val="clear" w:color="auto" w:fill="EEF3FA"/>
            <w:tcMar>
              <w:top w:w="90" w:type="dxa"/>
              <w:left w:w="130" w:type="dxa"/>
              <w:bottom w:w="90" w:type="dxa"/>
              <w:right w:w="130" w:type="dxa"/>
            </w:tcMar>
            <w:vAlign w:val="center"/>
          </w:tcPr>
          <w:p w14:paraId="499E498F" w14:textId="77777777" w:rsidR="00AB4906" w:rsidRDefault="00000000">
            <w:r>
              <w:rPr>
                <w:sz w:val="20"/>
                <w:szCs w:val="20"/>
              </w:rPr>
              <w:t>AUTO.L</w:t>
            </w:r>
          </w:p>
        </w:tc>
        <w:tc>
          <w:tcPr>
            <w:tcW w:w="2400" w:type="dxa"/>
            <w:shd w:val="clear" w:color="auto" w:fill="EEF3FA"/>
            <w:tcMar>
              <w:top w:w="90" w:type="dxa"/>
              <w:left w:w="130" w:type="dxa"/>
              <w:bottom w:w="90" w:type="dxa"/>
              <w:right w:w="130" w:type="dxa"/>
            </w:tcMar>
            <w:vAlign w:val="center"/>
          </w:tcPr>
          <w:p w14:paraId="5878BDCD" w14:textId="77777777" w:rsidR="00AB4906" w:rsidRDefault="00000000">
            <w:r>
              <w:rPr>
                <w:sz w:val="20"/>
                <w:szCs w:val="20"/>
              </w:rPr>
              <w:t>Auto Trader Group</w:t>
            </w:r>
          </w:p>
        </w:tc>
        <w:tc>
          <w:tcPr>
            <w:tcW w:w="2200" w:type="dxa"/>
            <w:shd w:val="clear" w:color="auto" w:fill="EEF3FA"/>
            <w:tcMar>
              <w:top w:w="90" w:type="dxa"/>
              <w:left w:w="130" w:type="dxa"/>
              <w:bottom w:w="90" w:type="dxa"/>
              <w:right w:w="130" w:type="dxa"/>
            </w:tcMar>
            <w:vAlign w:val="center"/>
          </w:tcPr>
          <w:p w14:paraId="2B164CEC" w14:textId="77777777" w:rsidR="00AB4906" w:rsidRDefault="00000000">
            <w:r>
              <w:rPr>
                <w:sz w:val="20"/>
                <w:szCs w:val="20"/>
              </w:rPr>
              <w:t>Technology / Consumer Platform</w:t>
            </w:r>
          </w:p>
        </w:tc>
        <w:tc>
          <w:tcPr>
            <w:tcW w:w="3160" w:type="dxa"/>
            <w:shd w:val="clear" w:color="auto" w:fill="EEF3FA"/>
            <w:tcMar>
              <w:top w:w="90" w:type="dxa"/>
              <w:left w:w="130" w:type="dxa"/>
              <w:bottom w:w="90" w:type="dxa"/>
              <w:right w:w="130" w:type="dxa"/>
            </w:tcMar>
            <w:vAlign w:val="center"/>
          </w:tcPr>
          <w:p w14:paraId="1191BF59" w14:textId="77777777" w:rsidR="00AB4906" w:rsidRDefault="00000000">
            <w:r>
              <w:rPr>
                <w:sz w:val="20"/>
                <w:szCs w:val="20"/>
              </w:rPr>
              <w:t>Tests growth-sector exposure against defensive Beta</w:t>
            </w:r>
          </w:p>
        </w:tc>
      </w:tr>
    </w:tbl>
    <w:p w14:paraId="35F083D0" w14:textId="77777777" w:rsidR="00AB4906" w:rsidRDefault="00AB4906" w:rsidP="005211DD">
      <w:pPr>
        <w:spacing w:before="80" w:after="280"/>
      </w:pPr>
    </w:p>
    <w:p w14:paraId="66FD9EB9" w14:textId="77777777" w:rsidR="00AB4906" w:rsidRDefault="00000000">
      <w:pPr>
        <w:spacing w:after="200" w:line="360" w:lineRule="auto"/>
        <w:jc w:val="both"/>
      </w:pPr>
      <w:r>
        <w:rPr>
          <w:i/>
          <w:iCs/>
        </w:rPr>
        <w:t>AstraZeneca and GSK both sit within the pharmaceuticals sector and were retained from Projects 1–3 for continuity; their correlation to one another is examined directly in Section 2 to confirm whether this represents a material diversification weakness in practice, rather than assuming it does not.</w:t>
      </w:r>
    </w:p>
    <w:p w14:paraId="2ABF0915" w14:textId="77777777" w:rsidR="00AB4906" w:rsidRDefault="00000000">
      <w:r>
        <w:br w:type="page"/>
      </w:r>
    </w:p>
    <w:p w14:paraId="7DCC375A" w14:textId="77777777" w:rsidR="00AB4906" w:rsidRDefault="00000000">
      <w:pPr>
        <w:pStyle w:val="Heading1"/>
      </w:pPr>
      <w:bookmarkStart w:id="4" w:name="_Toc233032906"/>
      <w:r>
        <w:lastRenderedPageBreak/>
        <w:t>Section 2: Verifying the Diversification Thesis</w:t>
      </w:r>
      <w:bookmarkEnd w:id="4"/>
    </w:p>
    <w:p w14:paraId="1E7477E6" w14:textId="77777777" w:rsidR="00AB4906" w:rsidRDefault="00000000">
      <w:pPr>
        <w:spacing w:after="200" w:line="360" w:lineRule="auto"/>
        <w:jc w:val="both"/>
      </w:pPr>
      <w:r>
        <w:t>Before computing systemic risk, the diversification assumption underlying the asset universe was tested empirically rather than simply assumed. Weekly log returns were calculated for all four assets and the benchmark over the full six-year window, and a complete pairwise correlation matrix was produced.</w:t>
      </w:r>
    </w:p>
    <w:p w14:paraId="7528844C" w14:textId="77777777" w:rsidR="005211DD" w:rsidRDefault="005211DD" w:rsidP="005211DD">
      <w:pPr>
        <w:keepNext/>
        <w:spacing w:before="160" w:after="80"/>
        <w:jc w:val="center"/>
      </w:pPr>
      <w:r>
        <w:rPr>
          <w:noProof/>
        </w:rPr>
        <w:drawing>
          <wp:inline distT="0" distB="0" distL="0" distR="0" wp14:anchorId="6C79B884" wp14:editId="46DD0748">
            <wp:extent cx="6067777" cy="4550833"/>
            <wp:effectExtent l="12700" t="12700" r="15875" b="8890"/>
            <wp:docPr id="156978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82028" name="Picture 15697820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9316" cy="4589488"/>
                    </a:xfrm>
                    <a:prstGeom prst="rect">
                      <a:avLst/>
                    </a:prstGeom>
                    <a:ln>
                      <a:solidFill>
                        <a:schemeClr val="accent1"/>
                      </a:solidFill>
                    </a:ln>
                  </pic:spPr>
                </pic:pic>
              </a:graphicData>
            </a:graphic>
          </wp:inline>
        </w:drawing>
      </w:r>
    </w:p>
    <w:p w14:paraId="2E685E55" w14:textId="0DDF88A1" w:rsidR="00AB4906" w:rsidRDefault="005211DD" w:rsidP="005211DD">
      <w:pPr>
        <w:pStyle w:val="Caption"/>
        <w:jc w:val="center"/>
      </w:pPr>
      <w:r>
        <w:t xml:space="preserve">Figure </w:t>
      </w:r>
      <w:fldSimple w:instr=" SEQ Figure \* ARABIC ">
        <w:r w:rsidR="00EA1FB0">
          <w:rPr>
            <w:noProof/>
          </w:rPr>
          <w:t>1</w:t>
        </w:r>
      </w:fldSimple>
      <w:r>
        <w:t xml:space="preserve">: </w:t>
      </w:r>
      <w:r w:rsidRPr="00F142F8">
        <w:t>Asset correlation matrix, weekly log returns, 6-year window (22 June 2020 – 22 June 2026).</w:t>
      </w:r>
    </w:p>
    <w:p w14:paraId="74F7ACFB" w14:textId="77777777" w:rsidR="00AB4906" w:rsidRDefault="00000000">
      <w:pPr>
        <w:spacing w:after="200" w:line="360" w:lineRule="auto"/>
        <w:jc w:val="both"/>
      </w:pPr>
      <w:r>
        <w:t>The average pairwise correlation among the four assets, excluding the benchmark, was 0.173 — comfortably below the 0.5 threshold used in this report to confirm genuine diversification benefit. One exception is worth noting directly: AstraZeneca and GSK showed a pairwise correlation of 0.546, reflecting their shared pharmaceutical-sector exposure. This is moderate rather than severe correlation, and does not invalidate the portfolio’s diversification thesis overall, but it is an honest acknowledgement that these two holdings will not meaningfully diversify each other. Shell and Auto Trader, at the opposite extreme, showed a correlation of −0.053 — effectively uncorrelated, and arguably mildly offsetting.</w:t>
      </w:r>
    </w:p>
    <w:p w14:paraId="5CB40BAC" w14:textId="77777777" w:rsidR="005211DD" w:rsidRDefault="005211DD">
      <w:pPr>
        <w:spacing w:after="200" w:line="360" w:lineRule="auto"/>
        <w:jc w:val="both"/>
      </w:pPr>
    </w:p>
    <w:p w14:paraId="0230B44F" w14:textId="13063615" w:rsidR="005211DD" w:rsidRDefault="005211DD" w:rsidP="005211DD">
      <w:pPr>
        <w:pStyle w:val="Caption"/>
        <w:keepNext/>
        <w:jc w:val="center"/>
      </w:pPr>
      <w:r>
        <w:lastRenderedPageBreak/>
        <w:t xml:space="preserve">Table </w:t>
      </w:r>
      <w:fldSimple w:instr=" SEQ Table \* ARABIC ">
        <w:r w:rsidR="00EA1FB0">
          <w:rPr>
            <w:noProof/>
          </w:rPr>
          <w:t>2</w:t>
        </w:r>
      </w:fldSimple>
      <w:r>
        <w:t xml:space="preserve">: </w:t>
      </w:r>
      <w:r w:rsidRPr="009C0082">
        <w:t>Diversification thesis verification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AB4906" w14:paraId="65149314" w14:textId="77777777">
        <w:tc>
          <w:tcPr>
            <w:tcW w:w="3120" w:type="dxa"/>
            <w:shd w:val="clear" w:color="auto" w:fill="1F3864"/>
            <w:tcMar>
              <w:top w:w="90" w:type="dxa"/>
              <w:left w:w="130" w:type="dxa"/>
              <w:bottom w:w="90" w:type="dxa"/>
              <w:right w:w="130" w:type="dxa"/>
            </w:tcMar>
            <w:vAlign w:val="center"/>
          </w:tcPr>
          <w:p w14:paraId="2181E09D" w14:textId="77777777" w:rsidR="00AB4906" w:rsidRDefault="00000000">
            <w:r>
              <w:rPr>
                <w:b/>
                <w:bCs/>
                <w:color w:val="FFFFFF"/>
                <w:sz w:val="20"/>
                <w:szCs w:val="20"/>
              </w:rPr>
              <w:t>Metric</w:t>
            </w:r>
          </w:p>
        </w:tc>
        <w:tc>
          <w:tcPr>
            <w:tcW w:w="2080" w:type="dxa"/>
            <w:shd w:val="clear" w:color="auto" w:fill="1F3864"/>
            <w:tcMar>
              <w:top w:w="90" w:type="dxa"/>
              <w:left w:w="130" w:type="dxa"/>
              <w:bottom w:w="90" w:type="dxa"/>
              <w:right w:w="130" w:type="dxa"/>
            </w:tcMar>
            <w:vAlign w:val="center"/>
          </w:tcPr>
          <w:p w14:paraId="0E92BD6F" w14:textId="77777777" w:rsidR="00AB4906" w:rsidRDefault="00000000">
            <w:r>
              <w:rPr>
                <w:b/>
                <w:bCs/>
                <w:color w:val="FFFFFF"/>
                <w:sz w:val="20"/>
                <w:szCs w:val="20"/>
              </w:rPr>
              <w:t>Result</w:t>
            </w:r>
          </w:p>
        </w:tc>
        <w:tc>
          <w:tcPr>
            <w:tcW w:w="2080" w:type="dxa"/>
            <w:shd w:val="clear" w:color="auto" w:fill="1F3864"/>
            <w:tcMar>
              <w:top w:w="90" w:type="dxa"/>
              <w:left w:w="130" w:type="dxa"/>
              <w:bottom w:w="90" w:type="dxa"/>
              <w:right w:w="130" w:type="dxa"/>
            </w:tcMar>
            <w:vAlign w:val="center"/>
          </w:tcPr>
          <w:p w14:paraId="2E7A0000" w14:textId="77777777" w:rsidR="00AB4906" w:rsidRDefault="00000000">
            <w:r>
              <w:rPr>
                <w:b/>
                <w:bCs/>
                <w:color w:val="FFFFFF"/>
                <w:sz w:val="20"/>
                <w:szCs w:val="20"/>
              </w:rPr>
              <w:t>Threshold</w:t>
            </w:r>
          </w:p>
        </w:tc>
        <w:tc>
          <w:tcPr>
            <w:tcW w:w="2080" w:type="dxa"/>
            <w:shd w:val="clear" w:color="auto" w:fill="1F3864"/>
            <w:tcMar>
              <w:top w:w="90" w:type="dxa"/>
              <w:left w:w="130" w:type="dxa"/>
              <w:bottom w:w="90" w:type="dxa"/>
              <w:right w:w="130" w:type="dxa"/>
            </w:tcMar>
            <w:vAlign w:val="center"/>
          </w:tcPr>
          <w:p w14:paraId="195ECE14" w14:textId="77777777" w:rsidR="00AB4906" w:rsidRDefault="00000000">
            <w:r>
              <w:rPr>
                <w:b/>
                <w:bCs/>
                <w:color w:val="FFFFFF"/>
                <w:sz w:val="20"/>
                <w:szCs w:val="20"/>
              </w:rPr>
              <w:t>Verdict</w:t>
            </w:r>
          </w:p>
        </w:tc>
      </w:tr>
      <w:tr w:rsidR="00AB4906" w14:paraId="3C0E25FE" w14:textId="77777777">
        <w:trPr>
          <w:cantSplit/>
        </w:trPr>
        <w:tc>
          <w:tcPr>
            <w:tcW w:w="3120" w:type="dxa"/>
            <w:tcMar>
              <w:top w:w="90" w:type="dxa"/>
              <w:left w:w="130" w:type="dxa"/>
              <w:bottom w:w="90" w:type="dxa"/>
              <w:right w:w="130" w:type="dxa"/>
            </w:tcMar>
            <w:vAlign w:val="center"/>
          </w:tcPr>
          <w:p w14:paraId="615B60D9" w14:textId="77777777" w:rsidR="00AB4906" w:rsidRDefault="00000000">
            <w:r>
              <w:rPr>
                <w:sz w:val="20"/>
                <w:szCs w:val="20"/>
              </w:rPr>
              <w:t>Average pairwise correlation (ex-benchmark)</w:t>
            </w:r>
          </w:p>
        </w:tc>
        <w:tc>
          <w:tcPr>
            <w:tcW w:w="2080" w:type="dxa"/>
            <w:tcMar>
              <w:top w:w="90" w:type="dxa"/>
              <w:left w:w="130" w:type="dxa"/>
              <w:bottom w:w="90" w:type="dxa"/>
              <w:right w:w="130" w:type="dxa"/>
            </w:tcMar>
            <w:vAlign w:val="center"/>
          </w:tcPr>
          <w:p w14:paraId="099F44F8" w14:textId="77777777" w:rsidR="00AB4906" w:rsidRDefault="00000000">
            <w:r>
              <w:rPr>
                <w:sz w:val="20"/>
                <w:szCs w:val="20"/>
              </w:rPr>
              <w:t>0.173</w:t>
            </w:r>
          </w:p>
        </w:tc>
        <w:tc>
          <w:tcPr>
            <w:tcW w:w="2080" w:type="dxa"/>
            <w:tcMar>
              <w:top w:w="90" w:type="dxa"/>
              <w:left w:w="130" w:type="dxa"/>
              <w:bottom w:w="90" w:type="dxa"/>
              <w:right w:w="130" w:type="dxa"/>
            </w:tcMar>
            <w:vAlign w:val="center"/>
          </w:tcPr>
          <w:p w14:paraId="3E25934B" w14:textId="77777777" w:rsidR="00AB4906" w:rsidRDefault="00000000">
            <w:r>
              <w:rPr>
                <w:sz w:val="20"/>
                <w:szCs w:val="20"/>
              </w:rPr>
              <w:t>&lt; 0.500</w:t>
            </w:r>
          </w:p>
        </w:tc>
        <w:tc>
          <w:tcPr>
            <w:tcW w:w="2080" w:type="dxa"/>
            <w:tcMar>
              <w:top w:w="90" w:type="dxa"/>
              <w:left w:w="130" w:type="dxa"/>
              <w:bottom w:w="90" w:type="dxa"/>
              <w:right w:w="130" w:type="dxa"/>
            </w:tcMar>
            <w:vAlign w:val="center"/>
          </w:tcPr>
          <w:p w14:paraId="42907CBD" w14:textId="77777777" w:rsidR="00AB4906" w:rsidRDefault="00000000">
            <w:r>
              <w:rPr>
                <w:b/>
                <w:bCs/>
                <w:color w:val="1D9E75"/>
                <w:sz w:val="20"/>
                <w:szCs w:val="20"/>
              </w:rPr>
              <w:t>CONFIRMED</w:t>
            </w:r>
          </w:p>
        </w:tc>
      </w:tr>
      <w:tr w:rsidR="00AB4906" w14:paraId="7459B59D" w14:textId="77777777">
        <w:trPr>
          <w:cantSplit/>
        </w:trPr>
        <w:tc>
          <w:tcPr>
            <w:tcW w:w="3120" w:type="dxa"/>
            <w:shd w:val="clear" w:color="auto" w:fill="EEF3FA"/>
            <w:tcMar>
              <w:top w:w="90" w:type="dxa"/>
              <w:left w:w="130" w:type="dxa"/>
              <w:bottom w:w="90" w:type="dxa"/>
              <w:right w:w="130" w:type="dxa"/>
            </w:tcMar>
            <w:vAlign w:val="center"/>
          </w:tcPr>
          <w:p w14:paraId="05D4581F" w14:textId="77777777" w:rsidR="00AB4906" w:rsidRDefault="00000000">
            <w:r>
              <w:rPr>
                <w:sz w:val="20"/>
                <w:szCs w:val="20"/>
              </w:rPr>
              <w:t>AZN.L – GSK.L correlation</w:t>
            </w:r>
          </w:p>
        </w:tc>
        <w:tc>
          <w:tcPr>
            <w:tcW w:w="2080" w:type="dxa"/>
            <w:shd w:val="clear" w:color="auto" w:fill="EEF3FA"/>
            <w:tcMar>
              <w:top w:w="90" w:type="dxa"/>
              <w:left w:w="130" w:type="dxa"/>
              <w:bottom w:w="90" w:type="dxa"/>
              <w:right w:w="130" w:type="dxa"/>
            </w:tcMar>
            <w:vAlign w:val="center"/>
          </w:tcPr>
          <w:p w14:paraId="3E453E61" w14:textId="77777777" w:rsidR="00AB4906" w:rsidRDefault="00000000">
            <w:r>
              <w:rPr>
                <w:sz w:val="20"/>
                <w:szCs w:val="20"/>
              </w:rPr>
              <w:t>0.546</w:t>
            </w:r>
          </w:p>
        </w:tc>
        <w:tc>
          <w:tcPr>
            <w:tcW w:w="2080" w:type="dxa"/>
            <w:shd w:val="clear" w:color="auto" w:fill="EEF3FA"/>
            <w:tcMar>
              <w:top w:w="90" w:type="dxa"/>
              <w:left w:w="130" w:type="dxa"/>
              <w:bottom w:w="90" w:type="dxa"/>
              <w:right w:w="130" w:type="dxa"/>
            </w:tcMar>
            <w:vAlign w:val="center"/>
          </w:tcPr>
          <w:p w14:paraId="0176F405" w14:textId="77777777" w:rsidR="00AB4906" w:rsidRDefault="00000000">
            <w:r>
              <w:rPr>
                <w:sz w:val="20"/>
                <w:szCs w:val="20"/>
              </w:rPr>
              <w:t>n/a (flagged)</w:t>
            </w:r>
          </w:p>
        </w:tc>
        <w:tc>
          <w:tcPr>
            <w:tcW w:w="2080" w:type="dxa"/>
            <w:shd w:val="clear" w:color="auto" w:fill="EEF3FA"/>
            <w:tcMar>
              <w:top w:w="90" w:type="dxa"/>
              <w:left w:w="130" w:type="dxa"/>
              <w:bottom w:w="90" w:type="dxa"/>
              <w:right w:w="130" w:type="dxa"/>
            </w:tcMar>
            <w:vAlign w:val="center"/>
          </w:tcPr>
          <w:p w14:paraId="4B7C230E" w14:textId="77777777" w:rsidR="00AB4906" w:rsidRDefault="00000000">
            <w:r>
              <w:rPr>
                <w:i/>
                <w:iCs/>
                <w:sz w:val="20"/>
                <w:szCs w:val="20"/>
              </w:rPr>
              <w:t>Moderate</w:t>
            </w:r>
          </w:p>
        </w:tc>
      </w:tr>
      <w:tr w:rsidR="00AB4906" w14:paraId="30FC2CDE" w14:textId="77777777">
        <w:trPr>
          <w:cantSplit/>
        </w:trPr>
        <w:tc>
          <w:tcPr>
            <w:tcW w:w="3120" w:type="dxa"/>
            <w:tcMar>
              <w:top w:w="90" w:type="dxa"/>
              <w:left w:w="130" w:type="dxa"/>
              <w:bottom w:w="90" w:type="dxa"/>
              <w:right w:w="130" w:type="dxa"/>
            </w:tcMar>
            <w:vAlign w:val="center"/>
          </w:tcPr>
          <w:p w14:paraId="3099320F" w14:textId="77777777" w:rsidR="00AB4906" w:rsidRDefault="00000000">
            <w:r>
              <w:rPr>
                <w:sz w:val="20"/>
                <w:szCs w:val="20"/>
              </w:rPr>
              <w:t>SHEL.L – AUTO.L correlation</w:t>
            </w:r>
          </w:p>
        </w:tc>
        <w:tc>
          <w:tcPr>
            <w:tcW w:w="2080" w:type="dxa"/>
            <w:tcMar>
              <w:top w:w="90" w:type="dxa"/>
              <w:left w:w="130" w:type="dxa"/>
              <w:bottom w:w="90" w:type="dxa"/>
              <w:right w:w="130" w:type="dxa"/>
            </w:tcMar>
            <w:vAlign w:val="center"/>
          </w:tcPr>
          <w:p w14:paraId="00224431" w14:textId="77777777" w:rsidR="00AB4906" w:rsidRDefault="00000000">
            <w:r>
              <w:rPr>
                <w:sz w:val="20"/>
                <w:szCs w:val="20"/>
              </w:rPr>
              <w:t>−0.053</w:t>
            </w:r>
          </w:p>
        </w:tc>
        <w:tc>
          <w:tcPr>
            <w:tcW w:w="2080" w:type="dxa"/>
            <w:tcMar>
              <w:top w:w="90" w:type="dxa"/>
              <w:left w:w="130" w:type="dxa"/>
              <w:bottom w:w="90" w:type="dxa"/>
              <w:right w:w="130" w:type="dxa"/>
            </w:tcMar>
            <w:vAlign w:val="center"/>
          </w:tcPr>
          <w:p w14:paraId="3D9EBE01" w14:textId="77777777" w:rsidR="00AB4906" w:rsidRDefault="00000000">
            <w:r>
              <w:rPr>
                <w:sz w:val="20"/>
                <w:szCs w:val="20"/>
              </w:rPr>
              <w:t>n/a</w:t>
            </w:r>
          </w:p>
        </w:tc>
        <w:tc>
          <w:tcPr>
            <w:tcW w:w="2080" w:type="dxa"/>
            <w:tcMar>
              <w:top w:w="90" w:type="dxa"/>
              <w:left w:w="130" w:type="dxa"/>
              <w:bottom w:w="90" w:type="dxa"/>
              <w:right w:w="130" w:type="dxa"/>
            </w:tcMar>
            <w:vAlign w:val="center"/>
          </w:tcPr>
          <w:p w14:paraId="0DEBFAAB" w14:textId="77777777" w:rsidR="00AB4906" w:rsidRDefault="00000000">
            <w:r>
              <w:rPr>
                <w:i/>
                <w:iCs/>
                <w:sz w:val="20"/>
                <w:szCs w:val="20"/>
              </w:rPr>
              <w:t>Near-zero</w:t>
            </w:r>
          </w:p>
        </w:tc>
      </w:tr>
    </w:tbl>
    <w:p w14:paraId="555203B5" w14:textId="77777777" w:rsidR="00AB4906" w:rsidRDefault="00AB4906">
      <w:pPr>
        <w:spacing w:before="80" w:after="280"/>
        <w:jc w:val="center"/>
      </w:pPr>
    </w:p>
    <w:p w14:paraId="46652666" w14:textId="77777777" w:rsidR="00AB4906" w:rsidRDefault="00000000">
      <w:r>
        <w:br w:type="page"/>
      </w:r>
    </w:p>
    <w:p w14:paraId="317EE342" w14:textId="77777777" w:rsidR="00AB4906" w:rsidRDefault="00000000">
      <w:pPr>
        <w:pStyle w:val="Heading1"/>
      </w:pPr>
      <w:bookmarkStart w:id="5" w:name="_Toc233032907"/>
      <w:r>
        <w:lastRenderedPageBreak/>
        <w:t>Section 3: Measuring Systemic Risk — Individual Asset Beta</w:t>
      </w:r>
      <w:bookmarkEnd w:id="5"/>
    </w:p>
    <w:p w14:paraId="6BE12A66" w14:textId="77777777" w:rsidR="00AB4906" w:rsidRDefault="00000000">
      <w:pPr>
        <w:spacing w:after="200" w:line="360" w:lineRule="auto"/>
        <w:jc w:val="both"/>
      </w:pPr>
      <w:r>
        <w:t>Beta measures the degree to which an asset amplifies or dampens market-wide price movements. It is calculated as the covariance of the asset’s returns with the market’s returns, divided by the variance of the market’s returns:</w:t>
      </w:r>
    </w:p>
    <w:p w14:paraId="38247993" w14:textId="77777777" w:rsidR="00AB4906" w:rsidRDefault="00000000">
      <w:pPr>
        <w:spacing w:before="120" w:after="200"/>
        <w:jc w:val="center"/>
      </w:pPr>
      <w:r>
        <w:rPr>
          <w:rFonts w:ascii="Cambria Math" w:eastAsia="Cambria Math" w:hAnsi="Cambria Math" w:cs="Cambria Math"/>
          <w:i/>
          <w:iCs/>
          <w:sz w:val="24"/>
          <w:szCs w:val="24"/>
        </w:rPr>
        <w:t>βᵢ = Cov</w:t>
      </w:r>
      <w:r w:rsidR="005211DD">
        <w:rPr>
          <w:rFonts w:ascii="Cambria Math" w:eastAsia="Cambria Math" w:hAnsi="Cambria Math" w:cs="Cambria Math"/>
          <w:i/>
          <w:iCs/>
          <w:sz w:val="24"/>
          <w:szCs w:val="24"/>
        </w:rPr>
        <w:t xml:space="preserve"> </w:t>
      </w:r>
      <w:r>
        <w:rPr>
          <w:rFonts w:ascii="Cambria Math" w:eastAsia="Cambria Math" w:hAnsi="Cambria Math" w:cs="Cambria Math"/>
          <w:i/>
          <w:iCs/>
          <w:sz w:val="24"/>
          <w:szCs w:val="24"/>
        </w:rPr>
        <w:t>(Rᵢ, Rₘ) ÷ Var(Rₘ)</w:t>
      </w:r>
    </w:p>
    <w:p w14:paraId="6A58D33E" w14:textId="77777777" w:rsidR="005211DD" w:rsidRDefault="005211DD" w:rsidP="005211DD">
      <w:pPr>
        <w:keepNext/>
        <w:spacing w:before="160" w:after="80"/>
        <w:jc w:val="center"/>
      </w:pPr>
      <w:r>
        <w:rPr>
          <w:noProof/>
        </w:rPr>
        <w:drawing>
          <wp:inline distT="0" distB="0" distL="0" distR="0" wp14:anchorId="120CD1EB" wp14:editId="180D0748">
            <wp:extent cx="5668434" cy="2834217"/>
            <wp:effectExtent l="12700" t="12700" r="8890" b="10795"/>
            <wp:docPr id="6082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86" name="Picture 60822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0609" cy="2855305"/>
                    </a:xfrm>
                    <a:prstGeom prst="rect">
                      <a:avLst/>
                    </a:prstGeom>
                    <a:ln>
                      <a:solidFill>
                        <a:schemeClr val="accent1"/>
                      </a:solidFill>
                    </a:ln>
                  </pic:spPr>
                </pic:pic>
              </a:graphicData>
            </a:graphic>
          </wp:inline>
        </w:drawing>
      </w:r>
    </w:p>
    <w:p w14:paraId="6CACDF5E" w14:textId="74D8327B" w:rsidR="00AB4906" w:rsidRDefault="005211DD" w:rsidP="005211DD">
      <w:pPr>
        <w:pStyle w:val="Caption"/>
        <w:jc w:val="center"/>
      </w:pPr>
      <w:r>
        <w:t xml:space="preserve">Figure </w:t>
      </w:r>
      <w:fldSimple w:instr=" SEQ Figure \* ARABIC ">
        <w:r w:rsidR="00EA1FB0">
          <w:rPr>
            <w:noProof/>
          </w:rPr>
          <w:t>2</w:t>
        </w:r>
      </w:fldSimple>
      <w:r>
        <w:t xml:space="preserve">: </w:t>
      </w:r>
      <w:r w:rsidRPr="0011014E">
        <w:t>Individual asset Beta vs. FTSE 100, 6-year weekly window.</w:t>
      </w:r>
    </w:p>
    <w:p w14:paraId="3F01FDED" w14:textId="77777777" w:rsidR="00AB4906" w:rsidRDefault="00AB4906" w:rsidP="005211DD">
      <w:pPr>
        <w:spacing w:before="80" w:after="280"/>
        <w:jc w:val="center"/>
      </w:pPr>
    </w:p>
    <w:p w14:paraId="4A7752C6" w14:textId="2AE88535" w:rsidR="005211DD" w:rsidRDefault="005211DD" w:rsidP="005211DD">
      <w:pPr>
        <w:pStyle w:val="Caption"/>
        <w:keepNext/>
        <w:jc w:val="center"/>
      </w:pPr>
      <w:r>
        <w:t xml:space="preserve">Table </w:t>
      </w:r>
      <w:fldSimple w:instr=" SEQ Table \* ARABIC ">
        <w:r w:rsidR="00EA1FB0">
          <w:rPr>
            <w:noProof/>
          </w:rPr>
          <w:t>3</w:t>
        </w:r>
      </w:fldSimple>
      <w:r>
        <w:t xml:space="preserve">: </w:t>
      </w:r>
      <w:r w:rsidRPr="000D7528">
        <w:t>Individual asset Beta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080"/>
        <w:gridCol w:w="4160"/>
      </w:tblGrid>
      <w:tr w:rsidR="00AB4906" w14:paraId="3C1E2C69" w14:textId="77777777">
        <w:tc>
          <w:tcPr>
            <w:tcW w:w="1560" w:type="dxa"/>
            <w:shd w:val="clear" w:color="auto" w:fill="1F3864"/>
            <w:tcMar>
              <w:top w:w="90" w:type="dxa"/>
              <w:left w:w="130" w:type="dxa"/>
              <w:bottom w:w="90" w:type="dxa"/>
              <w:right w:w="130" w:type="dxa"/>
            </w:tcMar>
            <w:vAlign w:val="center"/>
          </w:tcPr>
          <w:p w14:paraId="5EAF626D" w14:textId="77777777" w:rsidR="00AB4906" w:rsidRDefault="00000000">
            <w:r>
              <w:rPr>
                <w:b/>
                <w:bCs/>
                <w:color w:val="FFFFFF"/>
                <w:sz w:val="20"/>
                <w:szCs w:val="20"/>
              </w:rPr>
              <w:t>Ticker</w:t>
            </w:r>
          </w:p>
        </w:tc>
        <w:tc>
          <w:tcPr>
            <w:tcW w:w="1560" w:type="dxa"/>
            <w:shd w:val="clear" w:color="auto" w:fill="1F3864"/>
            <w:tcMar>
              <w:top w:w="90" w:type="dxa"/>
              <w:left w:w="130" w:type="dxa"/>
              <w:bottom w:w="90" w:type="dxa"/>
              <w:right w:w="130" w:type="dxa"/>
            </w:tcMar>
            <w:vAlign w:val="center"/>
          </w:tcPr>
          <w:p w14:paraId="095FCA0A" w14:textId="77777777" w:rsidR="00AB4906" w:rsidRDefault="00000000">
            <w:r>
              <w:rPr>
                <w:b/>
                <w:bCs/>
                <w:color w:val="FFFFFF"/>
                <w:sz w:val="20"/>
                <w:szCs w:val="20"/>
              </w:rPr>
              <w:t>Beta (β)</w:t>
            </w:r>
          </w:p>
        </w:tc>
        <w:tc>
          <w:tcPr>
            <w:tcW w:w="2080" w:type="dxa"/>
            <w:shd w:val="clear" w:color="auto" w:fill="1F3864"/>
            <w:tcMar>
              <w:top w:w="90" w:type="dxa"/>
              <w:left w:w="130" w:type="dxa"/>
              <w:bottom w:w="90" w:type="dxa"/>
              <w:right w:w="130" w:type="dxa"/>
            </w:tcMar>
            <w:vAlign w:val="center"/>
          </w:tcPr>
          <w:p w14:paraId="3AD69E53" w14:textId="77777777" w:rsidR="00AB4906" w:rsidRDefault="00000000">
            <w:r>
              <w:rPr>
                <w:b/>
                <w:bCs/>
                <w:color w:val="FFFFFF"/>
                <w:sz w:val="20"/>
                <w:szCs w:val="20"/>
              </w:rPr>
              <w:t>Classification</w:t>
            </w:r>
          </w:p>
        </w:tc>
        <w:tc>
          <w:tcPr>
            <w:tcW w:w="4160" w:type="dxa"/>
            <w:shd w:val="clear" w:color="auto" w:fill="1F3864"/>
            <w:tcMar>
              <w:top w:w="90" w:type="dxa"/>
              <w:left w:w="130" w:type="dxa"/>
              <w:bottom w:w="90" w:type="dxa"/>
              <w:right w:w="130" w:type="dxa"/>
            </w:tcMar>
            <w:vAlign w:val="center"/>
          </w:tcPr>
          <w:p w14:paraId="5684B4F0" w14:textId="77777777" w:rsidR="00AB4906" w:rsidRDefault="00000000">
            <w:r>
              <w:rPr>
                <w:b/>
                <w:bCs/>
                <w:color w:val="FFFFFF"/>
                <w:sz w:val="20"/>
                <w:szCs w:val="20"/>
              </w:rPr>
              <w:t>Interpretation</w:t>
            </w:r>
          </w:p>
        </w:tc>
      </w:tr>
      <w:tr w:rsidR="00AB4906" w14:paraId="001630A3" w14:textId="77777777">
        <w:trPr>
          <w:cantSplit/>
        </w:trPr>
        <w:tc>
          <w:tcPr>
            <w:tcW w:w="1560" w:type="dxa"/>
            <w:tcMar>
              <w:top w:w="90" w:type="dxa"/>
              <w:left w:w="130" w:type="dxa"/>
              <w:bottom w:w="90" w:type="dxa"/>
              <w:right w:w="130" w:type="dxa"/>
            </w:tcMar>
            <w:vAlign w:val="center"/>
          </w:tcPr>
          <w:p w14:paraId="6C9A8E16" w14:textId="77777777" w:rsidR="00AB4906" w:rsidRDefault="00000000">
            <w:r>
              <w:rPr>
                <w:sz w:val="20"/>
                <w:szCs w:val="20"/>
              </w:rPr>
              <w:t>AZN.L</w:t>
            </w:r>
          </w:p>
        </w:tc>
        <w:tc>
          <w:tcPr>
            <w:tcW w:w="1560" w:type="dxa"/>
            <w:tcMar>
              <w:top w:w="90" w:type="dxa"/>
              <w:left w:w="130" w:type="dxa"/>
              <w:bottom w:w="90" w:type="dxa"/>
              <w:right w:w="130" w:type="dxa"/>
            </w:tcMar>
            <w:vAlign w:val="center"/>
          </w:tcPr>
          <w:p w14:paraId="0049C8F3" w14:textId="77777777" w:rsidR="00AB4906" w:rsidRDefault="00000000">
            <w:r>
              <w:rPr>
                <w:b/>
                <w:bCs/>
                <w:color w:val="1D9E75"/>
                <w:sz w:val="20"/>
                <w:szCs w:val="20"/>
              </w:rPr>
              <w:t>0.901</w:t>
            </w:r>
          </w:p>
        </w:tc>
        <w:tc>
          <w:tcPr>
            <w:tcW w:w="2080" w:type="dxa"/>
            <w:tcMar>
              <w:top w:w="90" w:type="dxa"/>
              <w:left w:w="130" w:type="dxa"/>
              <w:bottom w:w="90" w:type="dxa"/>
              <w:right w:w="130" w:type="dxa"/>
            </w:tcMar>
            <w:vAlign w:val="center"/>
          </w:tcPr>
          <w:p w14:paraId="29AEB56C" w14:textId="77777777" w:rsidR="00AB4906" w:rsidRDefault="00000000">
            <w:r>
              <w:rPr>
                <w:sz w:val="20"/>
                <w:szCs w:val="20"/>
              </w:rPr>
              <w:t>Defensive</w:t>
            </w:r>
          </w:p>
        </w:tc>
        <w:tc>
          <w:tcPr>
            <w:tcW w:w="4160" w:type="dxa"/>
            <w:tcMar>
              <w:top w:w="90" w:type="dxa"/>
              <w:left w:w="130" w:type="dxa"/>
              <w:bottom w:w="90" w:type="dxa"/>
              <w:right w:w="130" w:type="dxa"/>
            </w:tcMar>
            <w:vAlign w:val="center"/>
          </w:tcPr>
          <w:p w14:paraId="2E72AAFB" w14:textId="77777777" w:rsidR="00AB4906" w:rsidRDefault="00000000">
            <w:r>
              <w:rPr>
                <w:sz w:val="20"/>
                <w:szCs w:val="20"/>
              </w:rPr>
              <w:t>Dampens market moves</w:t>
            </w:r>
          </w:p>
        </w:tc>
      </w:tr>
      <w:tr w:rsidR="00AB4906" w14:paraId="337B9408" w14:textId="77777777">
        <w:trPr>
          <w:cantSplit/>
        </w:trPr>
        <w:tc>
          <w:tcPr>
            <w:tcW w:w="1560" w:type="dxa"/>
            <w:shd w:val="clear" w:color="auto" w:fill="EEF3FA"/>
            <w:tcMar>
              <w:top w:w="90" w:type="dxa"/>
              <w:left w:w="130" w:type="dxa"/>
              <w:bottom w:w="90" w:type="dxa"/>
              <w:right w:w="130" w:type="dxa"/>
            </w:tcMar>
            <w:vAlign w:val="center"/>
          </w:tcPr>
          <w:p w14:paraId="6E547B55" w14:textId="77777777" w:rsidR="00AB4906" w:rsidRDefault="00000000">
            <w:r>
              <w:rPr>
                <w:sz w:val="20"/>
                <w:szCs w:val="20"/>
              </w:rPr>
              <w:t>GSK.L</w:t>
            </w:r>
          </w:p>
        </w:tc>
        <w:tc>
          <w:tcPr>
            <w:tcW w:w="1560" w:type="dxa"/>
            <w:shd w:val="clear" w:color="auto" w:fill="EEF3FA"/>
            <w:tcMar>
              <w:top w:w="90" w:type="dxa"/>
              <w:left w:w="130" w:type="dxa"/>
              <w:bottom w:w="90" w:type="dxa"/>
              <w:right w:w="130" w:type="dxa"/>
            </w:tcMar>
            <w:vAlign w:val="center"/>
          </w:tcPr>
          <w:p w14:paraId="3A0C6CD5" w14:textId="77777777" w:rsidR="00AB4906" w:rsidRDefault="00000000">
            <w:r>
              <w:rPr>
                <w:b/>
                <w:bCs/>
                <w:color w:val="1D9E75"/>
                <w:sz w:val="20"/>
                <w:szCs w:val="20"/>
              </w:rPr>
              <w:t>0.834</w:t>
            </w:r>
          </w:p>
        </w:tc>
        <w:tc>
          <w:tcPr>
            <w:tcW w:w="2080" w:type="dxa"/>
            <w:shd w:val="clear" w:color="auto" w:fill="EEF3FA"/>
            <w:tcMar>
              <w:top w:w="90" w:type="dxa"/>
              <w:left w:w="130" w:type="dxa"/>
              <w:bottom w:w="90" w:type="dxa"/>
              <w:right w:w="130" w:type="dxa"/>
            </w:tcMar>
            <w:vAlign w:val="center"/>
          </w:tcPr>
          <w:p w14:paraId="09B7FFB9" w14:textId="77777777" w:rsidR="00AB4906" w:rsidRDefault="00000000">
            <w:r>
              <w:rPr>
                <w:sz w:val="20"/>
                <w:szCs w:val="20"/>
              </w:rPr>
              <w:t>Defensive</w:t>
            </w:r>
          </w:p>
        </w:tc>
        <w:tc>
          <w:tcPr>
            <w:tcW w:w="4160" w:type="dxa"/>
            <w:shd w:val="clear" w:color="auto" w:fill="EEF3FA"/>
            <w:tcMar>
              <w:top w:w="90" w:type="dxa"/>
              <w:left w:w="130" w:type="dxa"/>
              <w:bottom w:w="90" w:type="dxa"/>
              <w:right w:w="130" w:type="dxa"/>
            </w:tcMar>
            <w:vAlign w:val="center"/>
          </w:tcPr>
          <w:p w14:paraId="72DA1599" w14:textId="77777777" w:rsidR="00AB4906" w:rsidRDefault="00000000">
            <w:r>
              <w:rPr>
                <w:sz w:val="20"/>
                <w:szCs w:val="20"/>
              </w:rPr>
              <w:t>Dampens market moves</w:t>
            </w:r>
          </w:p>
        </w:tc>
      </w:tr>
      <w:tr w:rsidR="00AB4906" w14:paraId="2BCFE3E8" w14:textId="77777777">
        <w:trPr>
          <w:cantSplit/>
        </w:trPr>
        <w:tc>
          <w:tcPr>
            <w:tcW w:w="1560" w:type="dxa"/>
            <w:tcMar>
              <w:top w:w="90" w:type="dxa"/>
              <w:left w:w="130" w:type="dxa"/>
              <w:bottom w:w="90" w:type="dxa"/>
              <w:right w:w="130" w:type="dxa"/>
            </w:tcMar>
            <w:vAlign w:val="center"/>
          </w:tcPr>
          <w:p w14:paraId="26EABDB7" w14:textId="77777777" w:rsidR="00AB4906" w:rsidRDefault="00000000">
            <w:r>
              <w:rPr>
                <w:sz w:val="20"/>
                <w:szCs w:val="20"/>
              </w:rPr>
              <w:t>SHEL.L</w:t>
            </w:r>
          </w:p>
        </w:tc>
        <w:tc>
          <w:tcPr>
            <w:tcW w:w="1560" w:type="dxa"/>
            <w:tcMar>
              <w:top w:w="90" w:type="dxa"/>
              <w:left w:w="130" w:type="dxa"/>
              <w:bottom w:w="90" w:type="dxa"/>
              <w:right w:w="130" w:type="dxa"/>
            </w:tcMar>
            <w:vAlign w:val="center"/>
          </w:tcPr>
          <w:p w14:paraId="167CE1E9" w14:textId="77777777" w:rsidR="00AB4906" w:rsidRDefault="00000000">
            <w:r>
              <w:rPr>
                <w:b/>
                <w:bCs/>
                <w:color w:val="C0392B"/>
                <w:sz w:val="20"/>
                <w:szCs w:val="20"/>
              </w:rPr>
              <w:t>1.118</w:t>
            </w:r>
          </w:p>
        </w:tc>
        <w:tc>
          <w:tcPr>
            <w:tcW w:w="2080" w:type="dxa"/>
            <w:tcMar>
              <w:top w:w="90" w:type="dxa"/>
              <w:left w:w="130" w:type="dxa"/>
              <w:bottom w:w="90" w:type="dxa"/>
              <w:right w:w="130" w:type="dxa"/>
            </w:tcMar>
            <w:vAlign w:val="center"/>
          </w:tcPr>
          <w:p w14:paraId="4FF3659C" w14:textId="77777777" w:rsidR="00AB4906" w:rsidRDefault="00000000">
            <w:r>
              <w:rPr>
                <w:sz w:val="20"/>
                <w:szCs w:val="20"/>
              </w:rPr>
              <w:t>Aggressive</w:t>
            </w:r>
          </w:p>
        </w:tc>
        <w:tc>
          <w:tcPr>
            <w:tcW w:w="4160" w:type="dxa"/>
            <w:tcMar>
              <w:top w:w="90" w:type="dxa"/>
              <w:left w:w="130" w:type="dxa"/>
              <w:bottom w:w="90" w:type="dxa"/>
              <w:right w:w="130" w:type="dxa"/>
            </w:tcMar>
            <w:vAlign w:val="center"/>
          </w:tcPr>
          <w:p w14:paraId="478DF3D4" w14:textId="77777777" w:rsidR="00AB4906" w:rsidRDefault="00000000">
            <w:r>
              <w:rPr>
                <w:sz w:val="20"/>
                <w:szCs w:val="20"/>
              </w:rPr>
              <w:t>Amplifies market moves — the portfolio’s only above-market holding</w:t>
            </w:r>
          </w:p>
        </w:tc>
      </w:tr>
      <w:tr w:rsidR="00AB4906" w14:paraId="1517C943" w14:textId="77777777">
        <w:trPr>
          <w:cantSplit/>
        </w:trPr>
        <w:tc>
          <w:tcPr>
            <w:tcW w:w="1560" w:type="dxa"/>
            <w:shd w:val="clear" w:color="auto" w:fill="EEF3FA"/>
            <w:tcMar>
              <w:top w:w="90" w:type="dxa"/>
              <w:left w:w="130" w:type="dxa"/>
              <w:bottom w:w="90" w:type="dxa"/>
              <w:right w:w="130" w:type="dxa"/>
            </w:tcMar>
            <w:vAlign w:val="center"/>
          </w:tcPr>
          <w:p w14:paraId="61671797" w14:textId="77777777" w:rsidR="00AB4906" w:rsidRDefault="00000000">
            <w:r>
              <w:rPr>
                <w:sz w:val="20"/>
                <w:szCs w:val="20"/>
              </w:rPr>
              <w:t>AUTO.L</w:t>
            </w:r>
          </w:p>
        </w:tc>
        <w:tc>
          <w:tcPr>
            <w:tcW w:w="1560" w:type="dxa"/>
            <w:shd w:val="clear" w:color="auto" w:fill="EEF3FA"/>
            <w:tcMar>
              <w:top w:w="90" w:type="dxa"/>
              <w:left w:w="130" w:type="dxa"/>
              <w:bottom w:w="90" w:type="dxa"/>
              <w:right w:w="130" w:type="dxa"/>
            </w:tcMar>
            <w:vAlign w:val="center"/>
          </w:tcPr>
          <w:p w14:paraId="4B00F3AA" w14:textId="77777777" w:rsidR="00AB4906" w:rsidRDefault="00000000">
            <w:r>
              <w:rPr>
                <w:b/>
                <w:bCs/>
                <w:color w:val="1D9E75"/>
                <w:sz w:val="20"/>
                <w:szCs w:val="20"/>
              </w:rPr>
              <w:t>0.687</w:t>
            </w:r>
          </w:p>
        </w:tc>
        <w:tc>
          <w:tcPr>
            <w:tcW w:w="2080" w:type="dxa"/>
            <w:shd w:val="clear" w:color="auto" w:fill="EEF3FA"/>
            <w:tcMar>
              <w:top w:w="90" w:type="dxa"/>
              <w:left w:w="130" w:type="dxa"/>
              <w:bottom w:w="90" w:type="dxa"/>
              <w:right w:w="130" w:type="dxa"/>
            </w:tcMar>
            <w:vAlign w:val="center"/>
          </w:tcPr>
          <w:p w14:paraId="7E90AB9A" w14:textId="77777777" w:rsidR="00AB4906" w:rsidRDefault="00000000">
            <w:r>
              <w:rPr>
                <w:sz w:val="20"/>
                <w:szCs w:val="20"/>
              </w:rPr>
              <w:t>Defensive</w:t>
            </w:r>
          </w:p>
        </w:tc>
        <w:tc>
          <w:tcPr>
            <w:tcW w:w="4160" w:type="dxa"/>
            <w:shd w:val="clear" w:color="auto" w:fill="EEF3FA"/>
            <w:tcMar>
              <w:top w:w="90" w:type="dxa"/>
              <w:left w:w="130" w:type="dxa"/>
              <w:bottom w:w="90" w:type="dxa"/>
              <w:right w:w="130" w:type="dxa"/>
            </w:tcMar>
            <w:vAlign w:val="center"/>
          </w:tcPr>
          <w:p w14:paraId="0F1433E6" w14:textId="77777777" w:rsidR="00AB4906" w:rsidRDefault="00000000">
            <w:r>
              <w:rPr>
                <w:sz w:val="20"/>
                <w:szCs w:val="20"/>
              </w:rPr>
              <w:t>Most defensive holding in the portfolio</w:t>
            </w:r>
          </w:p>
        </w:tc>
      </w:tr>
    </w:tbl>
    <w:p w14:paraId="4C90C67D" w14:textId="77777777" w:rsidR="005211DD" w:rsidRDefault="005211DD">
      <w:pPr>
        <w:spacing w:after="200" w:line="360" w:lineRule="auto"/>
        <w:jc w:val="both"/>
        <w:rPr>
          <w:i/>
          <w:iCs/>
          <w:color w:val="595959"/>
          <w:sz w:val="18"/>
          <w:szCs w:val="18"/>
        </w:rPr>
      </w:pPr>
    </w:p>
    <w:p w14:paraId="691B7742" w14:textId="77777777" w:rsidR="00AB4906" w:rsidRDefault="00000000">
      <w:pPr>
        <w:spacing w:after="200" w:line="360" w:lineRule="auto"/>
        <w:jc w:val="both"/>
      </w:pPr>
      <w:r>
        <w:t xml:space="preserve">A noteworthy finding emerges from this table: Auto Trader — nominally a “growth” technology and consumer-platform stock — exhibits the lowest Beta of all four assets (0.687). Independent research corroborates this result: published Beta estimates for Auto Trader Group cluster around 0.5, a consequence of its near-monopoly market position and highly stable subscription-style cash flows, which insulate the stock from broader market swings despite its growth-sector classification. Shell, conversely, is the only aggressive holding in the portfolio </w:t>
      </w:r>
      <w:r>
        <w:lastRenderedPageBreak/>
        <w:t>(β = 1.118), consistent with the energy sector’s established sensitivity to commodity prices and currency movements.</w:t>
      </w:r>
    </w:p>
    <w:p w14:paraId="5DBB149D" w14:textId="77777777" w:rsidR="00AB4906" w:rsidRDefault="00000000">
      <w:pPr>
        <w:spacing w:after="200" w:line="360" w:lineRule="auto"/>
        <w:jc w:val="both"/>
      </w:pPr>
      <w:r>
        <w:rPr>
          <w:i/>
          <w:iCs/>
        </w:rPr>
        <w:t>A robustness check using a shorter 3-year lookback window was performed during development. It revealed that AstraZeneca and GSK’s Beta classifications are highly window-dependent — both flipped from defensive to aggressive under the shorter window, while Shell flipped in the opposite direction. This instability is itself a meaningful finding, discussed further in Section 6: short-window Beta estimates for these UK equities should be treated with caution. The 6-year window was retained as the primary basis for this report specifically because it is less sensitive to short-term regime noise, and for direct consistency with the data window already established in Project 3.</w:t>
      </w:r>
    </w:p>
    <w:p w14:paraId="6D12AB9E" w14:textId="77777777" w:rsidR="00AB4906" w:rsidRDefault="00000000">
      <w:r>
        <w:br w:type="page"/>
      </w:r>
    </w:p>
    <w:p w14:paraId="004EAB69" w14:textId="77777777" w:rsidR="00AB4906" w:rsidRDefault="00000000">
      <w:pPr>
        <w:pStyle w:val="Heading1"/>
      </w:pPr>
      <w:bookmarkStart w:id="6" w:name="_Toc233032908"/>
      <w:r>
        <w:lastRenderedPageBreak/>
        <w:t>Section 4: Deriving Portfolio Weights</w:t>
      </w:r>
      <w:bookmarkEnd w:id="6"/>
    </w:p>
    <w:p w14:paraId="65129AE8" w14:textId="77777777" w:rsidR="00AB4906" w:rsidRDefault="00000000">
      <w:pPr>
        <w:spacing w:after="200" w:line="360" w:lineRule="auto"/>
        <w:jc w:val="both"/>
      </w:pPr>
      <w:r>
        <w:t>Rather than assigning arbitrary allocation percentages, portfolio weights were derived systematically through an inverse-Beta methodology: assets with lower, more defensive Beta receive proportionally larger allocations, since they contribute less systemic risk per dollar deployed. Resulting weights were bounded to between 10% and 35% per asset, ensuring the portfolio remains a genuine four-way diversified structure rather than collapsing into a concentrated bet on whichever single stock happens to carry the lowest Beta.</w:t>
      </w:r>
    </w:p>
    <w:p w14:paraId="15CDA63A" w14:textId="77777777" w:rsidR="00AB4906" w:rsidRDefault="00000000">
      <w:pPr>
        <w:pStyle w:val="Heading2"/>
      </w:pPr>
      <w:bookmarkStart w:id="7" w:name="_Toc233032909"/>
      <w:r>
        <w:t>4.1 Resulting Allocation</w:t>
      </w:r>
      <w:bookmarkEnd w:id="7"/>
    </w:p>
    <w:p w14:paraId="0D6ECF2C" w14:textId="1A8CE52D" w:rsidR="005211DD" w:rsidRDefault="005211DD" w:rsidP="005211DD">
      <w:pPr>
        <w:pStyle w:val="Caption"/>
        <w:keepNext/>
        <w:jc w:val="center"/>
      </w:pPr>
      <w:r>
        <w:t xml:space="preserve">Table </w:t>
      </w:r>
      <w:fldSimple w:instr=" SEQ Table \* ARABIC ">
        <w:r w:rsidR="00EA1FB0">
          <w:rPr>
            <w:noProof/>
          </w:rPr>
          <w:t>4</w:t>
        </w:r>
      </w:fldSimple>
      <w:r>
        <w:t xml:space="preserve">: </w:t>
      </w:r>
      <w:r w:rsidRPr="00640155">
        <w:t>Final portfolio allocation by ticker, sector, Beta, and 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560"/>
        <w:gridCol w:w="1560"/>
        <w:gridCol w:w="2340"/>
      </w:tblGrid>
      <w:tr w:rsidR="00AB4906" w14:paraId="6BB3431F" w14:textId="77777777">
        <w:tc>
          <w:tcPr>
            <w:tcW w:w="1560" w:type="dxa"/>
            <w:shd w:val="clear" w:color="auto" w:fill="1F3864"/>
            <w:tcMar>
              <w:top w:w="90" w:type="dxa"/>
              <w:left w:w="130" w:type="dxa"/>
              <w:bottom w:w="90" w:type="dxa"/>
              <w:right w:w="130" w:type="dxa"/>
            </w:tcMar>
            <w:vAlign w:val="center"/>
          </w:tcPr>
          <w:p w14:paraId="6F0E8520" w14:textId="77777777" w:rsidR="00AB4906" w:rsidRDefault="00000000">
            <w:r>
              <w:rPr>
                <w:b/>
                <w:bCs/>
                <w:color w:val="FFFFFF"/>
                <w:sz w:val="20"/>
                <w:szCs w:val="20"/>
              </w:rPr>
              <w:t>Ticker</w:t>
            </w:r>
          </w:p>
        </w:tc>
        <w:tc>
          <w:tcPr>
            <w:tcW w:w="2340" w:type="dxa"/>
            <w:shd w:val="clear" w:color="auto" w:fill="1F3864"/>
            <w:tcMar>
              <w:top w:w="90" w:type="dxa"/>
              <w:left w:w="130" w:type="dxa"/>
              <w:bottom w:w="90" w:type="dxa"/>
              <w:right w:w="130" w:type="dxa"/>
            </w:tcMar>
            <w:vAlign w:val="center"/>
          </w:tcPr>
          <w:p w14:paraId="1B161B08" w14:textId="77777777" w:rsidR="00AB4906" w:rsidRDefault="00000000">
            <w:r>
              <w:rPr>
                <w:b/>
                <w:bCs/>
                <w:color w:val="FFFFFF"/>
                <w:sz w:val="20"/>
                <w:szCs w:val="20"/>
              </w:rPr>
              <w:t>Sector</w:t>
            </w:r>
          </w:p>
        </w:tc>
        <w:tc>
          <w:tcPr>
            <w:tcW w:w="1560" w:type="dxa"/>
            <w:shd w:val="clear" w:color="auto" w:fill="1F3864"/>
            <w:tcMar>
              <w:top w:w="90" w:type="dxa"/>
              <w:left w:w="130" w:type="dxa"/>
              <w:bottom w:w="90" w:type="dxa"/>
              <w:right w:w="130" w:type="dxa"/>
            </w:tcMar>
            <w:vAlign w:val="center"/>
          </w:tcPr>
          <w:p w14:paraId="3A17C5DE" w14:textId="77777777" w:rsidR="00AB4906" w:rsidRDefault="00000000">
            <w:r>
              <w:rPr>
                <w:b/>
                <w:bCs/>
                <w:color w:val="FFFFFF"/>
                <w:sz w:val="20"/>
                <w:szCs w:val="20"/>
              </w:rPr>
              <w:t>Beta</w:t>
            </w:r>
          </w:p>
        </w:tc>
        <w:tc>
          <w:tcPr>
            <w:tcW w:w="1560" w:type="dxa"/>
            <w:shd w:val="clear" w:color="auto" w:fill="1F3864"/>
            <w:tcMar>
              <w:top w:w="90" w:type="dxa"/>
              <w:left w:w="130" w:type="dxa"/>
              <w:bottom w:w="90" w:type="dxa"/>
              <w:right w:w="130" w:type="dxa"/>
            </w:tcMar>
            <w:vAlign w:val="center"/>
          </w:tcPr>
          <w:p w14:paraId="3D0EA5D2" w14:textId="77777777" w:rsidR="00AB4906" w:rsidRDefault="00000000">
            <w:r>
              <w:rPr>
                <w:b/>
                <w:bCs/>
                <w:color w:val="FFFFFF"/>
                <w:sz w:val="20"/>
                <w:szCs w:val="20"/>
              </w:rPr>
              <w:t>Weight</w:t>
            </w:r>
          </w:p>
        </w:tc>
        <w:tc>
          <w:tcPr>
            <w:tcW w:w="2340" w:type="dxa"/>
            <w:shd w:val="clear" w:color="auto" w:fill="1F3864"/>
            <w:tcMar>
              <w:top w:w="90" w:type="dxa"/>
              <w:left w:w="130" w:type="dxa"/>
              <w:bottom w:w="90" w:type="dxa"/>
              <w:right w:w="130" w:type="dxa"/>
            </w:tcMar>
            <w:vAlign w:val="center"/>
          </w:tcPr>
          <w:p w14:paraId="75FC50C3" w14:textId="77777777" w:rsidR="00AB4906" w:rsidRDefault="00000000">
            <w:r>
              <w:rPr>
                <w:b/>
                <w:bCs/>
                <w:color w:val="FFFFFF"/>
                <w:sz w:val="20"/>
                <w:szCs w:val="20"/>
              </w:rPr>
              <w:t>Allocated ($)</w:t>
            </w:r>
          </w:p>
        </w:tc>
      </w:tr>
      <w:tr w:rsidR="00AB4906" w14:paraId="1D9EA57D" w14:textId="77777777">
        <w:trPr>
          <w:cantSplit/>
        </w:trPr>
        <w:tc>
          <w:tcPr>
            <w:tcW w:w="1560" w:type="dxa"/>
            <w:tcMar>
              <w:top w:w="90" w:type="dxa"/>
              <w:left w:w="130" w:type="dxa"/>
              <w:bottom w:w="90" w:type="dxa"/>
              <w:right w:w="130" w:type="dxa"/>
            </w:tcMar>
            <w:vAlign w:val="center"/>
          </w:tcPr>
          <w:p w14:paraId="5722E6E2" w14:textId="77777777" w:rsidR="00AB4906" w:rsidRDefault="00000000">
            <w:r>
              <w:rPr>
                <w:sz w:val="20"/>
                <w:szCs w:val="20"/>
              </w:rPr>
              <w:t>AZN.L</w:t>
            </w:r>
          </w:p>
        </w:tc>
        <w:tc>
          <w:tcPr>
            <w:tcW w:w="2340" w:type="dxa"/>
            <w:tcMar>
              <w:top w:w="90" w:type="dxa"/>
              <w:left w:w="130" w:type="dxa"/>
              <w:bottom w:w="90" w:type="dxa"/>
              <w:right w:w="130" w:type="dxa"/>
            </w:tcMar>
            <w:vAlign w:val="center"/>
          </w:tcPr>
          <w:p w14:paraId="71005838" w14:textId="77777777" w:rsidR="00AB4906" w:rsidRDefault="00000000">
            <w:r>
              <w:rPr>
                <w:sz w:val="20"/>
                <w:szCs w:val="20"/>
              </w:rPr>
              <w:t>Pharmaceuticals</w:t>
            </w:r>
          </w:p>
        </w:tc>
        <w:tc>
          <w:tcPr>
            <w:tcW w:w="1560" w:type="dxa"/>
            <w:tcMar>
              <w:top w:w="90" w:type="dxa"/>
              <w:left w:w="130" w:type="dxa"/>
              <w:bottom w:w="90" w:type="dxa"/>
              <w:right w:w="130" w:type="dxa"/>
            </w:tcMar>
            <w:vAlign w:val="center"/>
          </w:tcPr>
          <w:p w14:paraId="354560AB" w14:textId="77777777" w:rsidR="00AB4906" w:rsidRDefault="00000000">
            <w:r>
              <w:rPr>
                <w:sz w:val="20"/>
                <w:szCs w:val="20"/>
              </w:rPr>
              <w:t>0.901</w:t>
            </w:r>
          </w:p>
        </w:tc>
        <w:tc>
          <w:tcPr>
            <w:tcW w:w="1560" w:type="dxa"/>
            <w:tcMar>
              <w:top w:w="90" w:type="dxa"/>
              <w:left w:w="130" w:type="dxa"/>
              <w:bottom w:w="90" w:type="dxa"/>
              <w:right w:w="130" w:type="dxa"/>
            </w:tcMar>
            <w:vAlign w:val="center"/>
          </w:tcPr>
          <w:p w14:paraId="419A516B" w14:textId="77777777" w:rsidR="00AB4906" w:rsidRDefault="00000000">
            <w:r>
              <w:rPr>
                <w:sz w:val="20"/>
                <w:szCs w:val="20"/>
              </w:rPr>
              <w:t>23.82%</w:t>
            </w:r>
          </w:p>
        </w:tc>
        <w:tc>
          <w:tcPr>
            <w:tcW w:w="2340" w:type="dxa"/>
            <w:tcMar>
              <w:top w:w="90" w:type="dxa"/>
              <w:left w:w="130" w:type="dxa"/>
              <w:bottom w:w="90" w:type="dxa"/>
              <w:right w:w="130" w:type="dxa"/>
            </w:tcMar>
            <w:vAlign w:val="center"/>
          </w:tcPr>
          <w:p w14:paraId="583252C8" w14:textId="77777777" w:rsidR="00AB4906" w:rsidRDefault="00000000">
            <w:r>
              <w:rPr>
                <w:b/>
                <w:bCs/>
                <w:sz w:val="20"/>
                <w:szCs w:val="20"/>
              </w:rPr>
              <w:t>$23,818.46</w:t>
            </w:r>
          </w:p>
        </w:tc>
      </w:tr>
      <w:tr w:rsidR="00AB4906" w14:paraId="232C932F" w14:textId="77777777">
        <w:trPr>
          <w:cantSplit/>
        </w:trPr>
        <w:tc>
          <w:tcPr>
            <w:tcW w:w="1560" w:type="dxa"/>
            <w:shd w:val="clear" w:color="auto" w:fill="EEF3FA"/>
            <w:tcMar>
              <w:top w:w="90" w:type="dxa"/>
              <w:left w:w="130" w:type="dxa"/>
              <w:bottom w:w="90" w:type="dxa"/>
              <w:right w:w="130" w:type="dxa"/>
            </w:tcMar>
            <w:vAlign w:val="center"/>
          </w:tcPr>
          <w:p w14:paraId="6A3F764A" w14:textId="77777777" w:rsidR="00AB4906" w:rsidRDefault="00000000">
            <w:r>
              <w:rPr>
                <w:sz w:val="20"/>
                <w:szCs w:val="20"/>
              </w:rPr>
              <w:t>GSK.L</w:t>
            </w:r>
          </w:p>
        </w:tc>
        <w:tc>
          <w:tcPr>
            <w:tcW w:w="2340" w:type="dxa"/>
            <w:shd w:val="clear" w:color="auto" w:fill="EEF3FA"/>
            <w:tcMar>
              <w:top w:w="90" w:type="dxa"/>
              <w:left w:w="130" w:type="dxa"/>
              <w:bottom w:w="90" w:type="dxa"/>
              <w:right w:w="130" w:type="dxa"/>
            </w:tcMar>
            <w:vAlign w:val="center"/>
          </w:tcPr>
          <w:p w14:paraId="1FA9D278" w14:textId="77777777" w:rsidR="00AB4906" w:rsidRDefault="00000000">
            <w:r>
              <w:rPr>
                <w:sz w:val="20"/>
                <w:szCs w:val="20"/>
              </w:rPr>
              <w:t>Pharmaceuticals</w:t>
            </w:r>
          </w:p>
        </w:tc>
        <w:tc>
          <w:tcPr>
            <w:tcW w:w="1560" w:type="dxa"/>
            <w:shd w:val="clear" w:color="auto" w:fill="EEF3FA"/>
            <w:tcMar>
              <w:top w:w="90" w:type="dxa"/>
              <w:left w:w="130" w:type="dxa"/>
              <w:bottom w:w="90" w:type="dxa"/>
              <w:right w:w="130" w:type="dxa"/>
            </w:tcMar>
            <w:vAlign w:val="center"/>
          </w:tcPr>
          <w:p w14:paraId="50FC1A69" w14:textId="77777777" w:rsidR="00AB4906" w:rsidRDefault="00000000">
            <w:r>
              <w:rPr>
                <w:sz w:val="20"/>
                <w:szCs w:val="20"/>
              </w:rPr>
              <w:t>0.834</w:t>
            </w:r>
          </w:p>
        </w:tc>
        <w:tc>
          <w:tcPr>
            <w:tcW w:w="1560" w:type="dxa"/>
            <w:shd w:val="clear" w:color="auto" w:fill="EEF3FA"/>
            <w:tcMar>
              <w:top w:w="90" w:type="dxa"/>
              <w:left w:w="130" w:type="dxa"/>
              <w:bottom w:w="90" w:type="dxa"/>
              <w:right w:w="130" w:type="dxa"/>
            </w:tcMar>
            <w:vAlign w:val="center"/>
          </w:tcPr>
          <w:p w14:paraId="728E1FA8" w14:textId="77777777" w:rsidR="00AB4906" w:rsidRDefault="00000000">
            <w:r>
              <w:rPr>
                <w:sz w:val="20"/>
                <w:szCs w:val="20"/>
              </w:rPr>
              <w:t>25.75%</w:t>
            </w:r>
          </w:p>
        </w:tc>
        <w:tc>
          <w:tcPr>
            <w:tcW w:w="2340" w:type="dxa"/>
            <w:shd w:val="clear" w:color="auto" w:fill="EEF3FA"/>
            <w:tcMar>
              <w:top w:w="90" w:type="dxa"/>
              <w:left w:w="130" w:type="dxa"/>
              <w:bottom w:w="90" w:type="dxa"/>
              <w:right w:w="130" w:type="dxa"/>
            </w:tcMar>
            <w:vAlign w:val="center"/>
          </w:tcPr>
          <w:p w14:paraId="5161775A" w14:textId="77777777" w:rsidR="00AB4906" w:rsidRDefault="00000000">
            <w:r>
              <w:rPr>
                <w:b/>
                <w:bCs/>
                <w:sz w:val="20"/>
                <w:szCs w:val="20"/>
              </w:rPr>
              <w:t>$25,753.23</w:t>
            </w:r>
          </w:p>
        </w:tc>
      </w:tr>
      <w:tr w:rsidR="00AB4906" w14:paraId="2F0302F7" w14:textId="77777777">
        <w:trPr>
          <w:cantSplit/>
        </w:trPr>
        <w:tc>
          <w:tcPr>
            <w:tcW w:w="1560" w:type="dxa"/>
            <w:tcMar>
              <w:top w:w="90" w:type="dxa"/>
              <w:left w:w="130" w:type="dxa"/>
              <w:bottom w:w="90" w:type="dxa"/>
              <w:right w:w="130" w:type="dxa"/>
            </w:tcMar>
            <w:vAlign w:val="center"/>
          </w:tcPr>
          <w:p w14:paraId="0017439A" w14:textId="77777777" w:rsidR="00AB4906" w:rsidRDefault="00000000">
            <w:r>
              <w:rPr>
                <w:sz w:val="20"/>
                <w:szCs w:val="20"/>
              </w:rPr>
              <w:t>SHEL.L</w:t>
            </w:r>
          </w:p>
        </w:tc>
        <w:tc>
          <w:tcPr>
            <w:tcW w:w="2340" w:type="dxa"/>
            <w:tcMar>
              <w:top w:w="90" w:type="dxa"/>
              <w:left w:w="130" w:type="dxa"/>
              <w:bottom w:w="90" w:type="dxa"/>
              <w:right w:w="130" w:type="dxa"/>
            </w:tcMar>
            <w:vAlign w:val="center"/>
          </w:tcPr>
          <w:p w14:paraId="1789100A" w14:textId="77777777" w:rsidR="00AB4906" w:rsidRDefault="00000000">
            <w:r>
              <w:rPr>
                <w:sz w:val="20"/>
                <w:szCs w:val="20"/>
              </w:rPr>
              <w:t>Energy</w:t>
            </w:r>
          </w:p>
        </w:tc>
        <w:tc>
          <w:tcPr>
            <w:tcW w:w="1560" w:type="dxa"/>
            <w:tcMar>
              <w:top w:w="90" w:type="dxa"/>
              <w:left w:w="130" w:type="dxa"/>
              <w:bottom w:w="90" w:type="dxa"/>
              <w:right w:w="130" w:type="dxa"/>
            </w:tcMar>
            <w:vAlign w:val="center"/>
          </w:tcPr>
          <w:p w14:paraId="0038FFBE" w14:textId="77777777" w:rsidR="00AB4906" w:rsidRDefault="00000000">
            <w:r>
              <w:rPr>
                <w:sz w:val="20"/>
                <w:szCs w:val="20"/>
              </w:rPr>
              <w:t>1.118</w:t>
            </w:r>
          </w:p>
        </w:tc>
        <w:tc>
          <w:tcPr>
            <w:tcW w:w="1560" w:type="dxa"/>
            <w:tcMar>
              <w:top w:w="90" w:type="dxa"/>
              <w:left w:w="130" w:type="dxa"/>
              <w:bottom w:w="90" w:type="dxa"/>
              <w:right w:w="130" w:type="dxa"/>
            </w:tcMar>
            <w:vAlign w:val="center"/>
          </w:tcPr>
          <w:p w14:paraId="25B7CE52" w14:textId="77777777" w:rsidR="00AB4906" w:rsidRDefault="00000000">
            <w:r>
              <w:rPr>
                <w:sz w:val="20"/>
                <w:szCs w:val="20"/>
              </w:rPr>
              <w:t>19.20%</w:t>
            </w:r>
          </w:p>
        </w:tc>
        <w:tc>
          <w:tcPr>
            <w:tcW w:w="2340" w:type="dxa"/>
            <w:tcMar>
              <w:top w:w="90" w:type="dxa"/>
              <w:left w:w="130" w:type="dxa"/>
              <w:bottom w:w="90" w:type="dxa"/>
              <w:right w:w="130" w:type="dxa"/>
            </w:tcMar>
            <w:vAlign w:val="center"/>
          </w:tcPr>
          <w:p w14:paraId="1772ED37" w14:textId="77777777" w:rsidR="00AB4906" w:rsidRDefault="00000000">
            <w:r>
              <w:rPr>
                <w:b/>
                <w:bCs/>
                <w:sz w:val="20"/>
                <w:szCs w:val="20"/>
              </w:rPr>
              <w:t>$19,198.54</w:t>
            </w:r>
          </w:p>
        </w:tc>
      </w:tr>
      <w:tr w:rsidR="00AB4906" w14:paraId="5403DA70" w14:textId="77777777">
        <w:trPr>
          <w:cantSplit/>
        </w:trPr>
        <w:tc>
          <w:tcPr>
            <w:tcW w:w="1560" w:type="dxa"/>
            <w:shd w:val="clear" w:color="auto" w:fill="EEF3FA"/>
            <w:tcMar>
              <w:top w:w="90" w:type="dxa"/>
              <w:left w:w="130" w:type="dxa"/>
              <w:bottom w:w="90" w:type="dxa"/>
              <w:right w:w="130" w:type="dxa"/>
            </w:tcMar>
            <w:vAlign w:val="center"/>
          </w:tcPr>
          <w:p w14:paraId="2195891C" w14:textId="77777777" w:rsidR="00AB4906" w:rsidRDefault="00000000">
            <w:r>
              <w:rPr>
                <w:sz w:val="20"/>
                <w:szCs w:val="20"/>
              </w:rPr>
              <w:t>AUTO.L</w:t>
            </w:r>
          </w:p>
        </w:tc>
        <w:tc>
          <w:tcPr>
            <w:tcW w:w="2340" w:type="dxa"/>
            <w:shd w:val="clear" w:color="auto" w:fill="EEF3FA"/>
            <w:tcMar>
              <w:top w:w="90" w:type="dxa"/>
              <w:left w:w="130" w:type="dxa"/>
              <w:bottom w:w="90" w:type="dxa"/>
              <w:right w:w="130" w:type="dxa"/>
            </w:tcMar>
            <w:vAlign w:val="center"/>
          </w:tcPr>
          <w:p w14:paraId="00B9C6AD" w14:textId="77777777" w:rsidR="00AB4906" w:rsidRDefault="00000000">
            <w:r>
              <w:rPr>
                <w:sz w:val="20"/>
                <w:szCs w:val="20"/>
              </w:rPr>
              <w:t>Technology / Consumer</w:t>
            </w:r>
          </w:p>
        </w:tc>
        <w:tc>
          <w:tcPr>
            <w:tcW w:w="1560" w:type="dxa"/>
            <w:shd w:val="clear" w:color="auto" w:fill="EEF3FA"/>
            <w:tcMar>
              <w:top w:w="90" w:type="dxa"/>
              <w:left w:w="130" w:type="dxa"/>
              <w:bottom w:w="90" w:type="dxa"/>
              <w:right w:w="130" w:type="dxa"/>
            </w:tcMar>
            <w:vAlign w:val="center"/>
          </w:tcPr>
          <w:p w14:paraId="7207839B" w14:textId="77777777" w:rsidR="00AB4906" w:rsidRDefault="00000000">
            <w:r>
              <w:rPr>
                <w:sz w:val="20"/>
                <w:szCs w:val="20"/>
              </w:rPr>
              <w:t>0.687</w:t>
            </w:r>
          </w:p>
        </w:tc>
        <w:tc>
          <w:tcPr>
            <w:tcW w:w="1560" w:type="dxa"/>
            <w:shd w:val="clear" w:color="auto" w:fill="EEF3FA"/>
            <w:tcMar>
              <w:top w:w="90" w:type="dxa"/>
              <w:left w:w="130" w:type="dxa"/>
              <w:bottom w:w="90" w:type="dxa"/>
              <w:right w:w="130" w:type="dxa"/>
            </w:tcMar>
            <w:vAlign w:val="center"/>
          </w:tcPr>
          <w:p w14:paraId="2550CA52" w14:textId="77777777" w:rsidR="00AB4906" w:rsidRDefault="00000000">
            <w:r>
              <w:rPr>
                <w:sz w:val="20"/>
                <w:szCs w:val="20"/>
              </w:rPr>
              <w:t>31.23%</w:t>
            </w:r>
          </w:p>
        </w:tc>
        <w:tc>
          <w:tcPr>
            <w:tcW w:w="2340" w:type="dxa"/>
            <w:shd w:val="clear" w:color="auto" w:fill="EEF3FA"/>
            <w:tcMar>
              <w:top w:w="90" w:type="dxa"/>
              <w:left w:w="130" w:type="dxa"/>
              <w:bottom w:w="90" w:type="dxa"/>
              <w:right w:w="130" w:type="dxa"/>
            </w:tcMar>
            <w:vAlign w:val="center"/>
          </w:tcPr>
          <w:p w14:paraId="276E7825" w14:textId="77777777" w:rsidR="00AB4906" w:rsidRDefault="00000000">
            <w:r>
              <w:rPr>
                <w:b/>
                <w:bCs/>
                <w:sz w:val="20"/>
                <w:szCs w:val="20"/>
              </w:rPr>
              <w:t>$31,229.77</w:t>
            </w:r>
          </w:p>
        </w:tc>
      </w:tr>
      <w:tr w:rsidR="00AB4906" w14:paraId="03B83C75" w14:textId="77777777">
        <w:trPr>
          <w:cantSplit/>
        </w:trPr>
        <w:tc>
          <w:tcPr>
            <w:tcW w:w="1560" w:type="dxa"/>
            <w:tcMar>
              <w:top w:w="90" w:type="dxa"/>
              <w:left w:w="130" w:type="dxa"/>
              <w:bottom w:w="90" w:type="dxa"/>
              <w:right w:w="130" w:type="dxa"/>
            </w:tcMar>
            <w:vAlign w:val="center"/>
          </w:tcPr>
          <w:p w14:paraId="32DFE0F7" w14:textId="77777777" w:rsidR="00AB4906" w:rsidRDefault="00000000">
            <w:r>
              <w:rPr>
                <w:b/>
                <w:bCs/>
                <w:sz w:val="20"/>
                <w:szCs w:val="20"/>
              </w:rPr>
              <w:t>TOTAL</w:t>
            </w:r>
          </w:p>
        </w:tc>
        <w:tc>
          <w:tcPr>
            <w:tcW w:w="2340" w:type="dxa"/>
            <w:tcMar>
              <w:top w:w="90" w:type="dxa"/>
              <w:left w:w="130" w:type="dxa"/>
              <w:bottom w:w="90" w:type="dxa"/>
              <w:right w:w="130" w:type="dxa"/>
            </w:tcMar>
            <w:vAlign w:val="center"/>
          </w:tcPr>
          <w:p w14:paraId="51C63B3F" w14:textId="77777777" w:rsidR="00AB4906" w:rsidRDefault="00AB4906"/>
        </w:tc>
        <w:tc>
          <w:tcPr>
            <w:tcW w:w="1560" w:type="dxa"/>
            <w:tcMar>
              <w:top w:w="90" w:type="dxa"/>
              <w:left w:w="130" w:type="dxa"/>
              <w:bottom w:w="90" w:type="dxa"/>
              <w:right w:w="130" w:type="dxa"/>
            </w:tcMar>
            <w:vAlign w:val="center"/>
          </w:tcPr>
          <w:p w14:paraId="3CDBBFB8" w14:textId="77777777" w:rsidR="00AB4906" w:rsidRDefault="00AB4906"/>
        </w:tc>
        <w:tc>
          <w:tcPr>
            <w:tcW w:w="1560" w:type="dxa"/>
            <w:tcMar>
              <w:top w:w="90" w:type="dxa"/>
              <w:left w:w="130" w:type="dxa"/>
              <w:bottom w:w="90" w:type="dxa"/>
              <w:right w:w="130" w:type="dxa"/>
            </w:tcMar>
            <w:vAlign w:val="center"/>
          </w:tcPr>
          <w:p w14:paraId="5556DBE5" w14:textId="77777777" w:rsidR="00AB4906" w:rsidRDefault="00000000">
            <w:r>
              <w:rPr>
                <w:b/>
                <w:bCs/>
                <w:sz w:val="20"/>
                <w:szCs w:val="20"/>
              </w:rPr>
              <w:t>100.00%</w:t>
            </w:r>
          </w:p>
        </w:tc>
        <w:tc>
          <w:tcPr>
            <w:tcW w:w="2340" w:type="dxa"/>
            <w:tcMar>
              <w:top w:w="90" w:type="dxa"/>
              <w:left w:w="130" w:type="dxa"/>
              <w:bottom w:w="90" w:type="dxa"/>
              <w:right w:w="130" w:type="dxa"/>
            </w:tcMar>
            <w:vAlign w:val="center"/>
          </w:tcPr>
          <w:p w14:paraId="003EC92C" w14:textId="77777777" w:rsidR="00AB4906" w:rsidRDefault="00000000">
            <w:r>
              <w:rPr>
                <w:b/>
                <w:bCs/>
                <w:color w:val="1F3864"/>
                <w:sz w:val="20"/>
                <w:szCs w:val="20"/>
              </w:rPr>
              <w:t>$100,000.00</w:t>
            </w:r>
          </w:p>
        </w:tc>
      </w:tr>
    </w:tbl>
    <w:p w14:paraId="4DF41312" w14:textId="77777777" w:rsidR="00AB4906" w:rsidRDefault="00AB4906">
      <w:pPr>
        <w:spacing w:before="80" w:after="280"/>
        <w:jc w:val="center"/>
      </w:pPr>
    </w:p>
    <w:p w14:paraId="278C7517" w14:textId="77777777" w:rsidR="005211DD" w:rsidRDefault="00000000" w:rsidP="005211DD">
      <w:pPr>
        <w:keepNext/>
        <w:spacing w:before="160" w:after="80"/>
        <w:jc w:val="center"/>
      </w:pPr>
      <w:r>
        <w:rPr>
          <w:noProof/>
        </w:rPr>
        <w:drawing>
          <wp:inline distT="0" distB="0" distL="0" distR="0" wp14:anchorId="0E5C9A55" wp14:editId="07BDD124">
            <wp:extent cx="3048000" cy="2571750"/>
            <wp:effectExtent l="12700" t="12700" r="12700" b="19050"/>
            <wp:docPr id="1413762883" name="Picture 141376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2571750"/>
                    </a:xfrm>
                    <a:prstGeom prst="rect">
                      <a:avLst/>
                    </a:prstGeom>
                    <a:ln>
                      <a:solidFill>
                        <a:schemeClr val="accent1"/>
                      </a:solidFill>
                    </a:ln>
                  </pic:spPr>
                </pic:pic>
              </a:graphicData>
            </a:graphic>
          </wp:inline>
        </w:drawing>
      </w:r>
    </w:p>
    <w:p w14:paraId="5274B4FE" w14:textId="35B2A7E1" w:rsidR="00AB4906" w:rsidRDefault="005211DD" w:rsidP="005211DD">
      <w:pPr>
        <w:pStyle w:val="Caption"/>
        <w:jc w:val="center"/>
      </w:pPr>
      <w:r>
        <w:t xml:space="preserve">Figure </w:t>
      </w:r>
      <w:fldSimple w:instr=" SEQ Figure \* ARABIC ">
        <w:r w:rsidR="00EA1FB0">
          <w:rPr>
            <w:noProof/>
          </w:rPr>
          <w:t>3</w:t>
        </w:r>
      </w:fldSimple>
      <w:r>
        <w:t xml:space="preserve">: </w:t>
      </w:r>
      <w:r w:rsidRPr="0013651F">
        <w:t>Capital allocation across the four-asset portfolio.</w:t>
      </w:r>
    </w:p>
    <w:p w14:paraId="6250529B" w14:textId="77777777" w:rsidR="00AB4906" w:rsidRDefault="00AB4906">
      <w:pPr>
        <w:spacing w:before="80" w:after="280"/>
        <w:jc w:val="center"/>
      </w:pPr>
    </w:p>
    <w:p w14:paraId="3E7DF873" w14:textId="77777777" w:rsidR="00AB4906" w:rsidRDefault="00000000">
      <w:r>
        <w:br w:type="page"/>
      </w:r>
    </w:p>
    <w:p w14:paraId="01B11C16" w14:textId="77777777" w:rsidR="00AB4906" w:rsidRDefault="00000000">
      <w:pPr>
        <w:pStyle w:val="Heading1"/>
      </w:pPr>
      <w:bookmarkStart w:id="8" w:name="_Toc233032910"/>
      <w:r>
        <w:lastRenderedPageBreak/>
        <w:t>Section 5: Structural Stop-Losses and Position Sizing</w:t>
      </w:r>
      <w:bookmarkEnd w:id="8"/>
    </w:p>
    <w:p w14:paraId="028F3656" w14:textId="77777777" w:rsidR="00AB4906" w:rsidRDefault="00000000">
      <w:pPr>
        <w:spacing w:after="200" w:line="360" w:lineRule="auto"/>
        <w:jc w:val="both"/>
      </w:pPr>
      <w:r>
        <w:t xml:space="preserve">Stop-loss distances were derived from each asset’s own historical volatility rather than a fixed arbitrary percentage, consistent with the ATR-based stop-loss methodology established in Project 1. The rule applied </w:t>
      </w:r>
      <w:proofErr w:type="gramStart"/>
      <w:r>
        <w:t>was:</w:t>
      </w:r>
      <w:proofErr w:type="gramEnd"/>
      <w:r>
        <w:t xml:space="preserve"> stop-loss percentage equals 2.0 times the weekly return standard deviation, bounded to a 5%–12% range so that no stop is unrealistically tight or unrealistically wide relative to the asset’s typical weekly movement.</w:t>
      </w:r>
    </w:p>
    <w:p w14:paraId="4B243984" w14:textId="77777777" w:rsidR="00AB4906" w:rsidRDefault="00000000">
      <w:pPr>
        <w:spacing w:after="200" w:line="360" w:lineRule="auto"/>
        <w:jc w:val="both"/>
      </w:pPr>
      <w:r>
        <w:t>The brief’s 1% Rule states that the maximum capital risked on any single position must be strictly limited to 1% of total account equity ($1,000 on a $100,000 base). The Position Sizing Funnel converts this rule into an exact position size: total capital is multiplied by the risk percentage to produce an absolute dollar-risk ceiling, which is divided by the per-share distance to the stop-loss price. This ensures that when volatility is high and a wider stop is required, position size automatically contracts — keeping dollar risk constant regardless of how volatile the underlying asset is.</w:t>
      </w:r>
    </w:p>
    <w:p w14:paraId="47BF573D" w14:textId="77777777" w:rsidR="00DA3680" w:rsidRDefault="00DA3680" w:rsidP="00DA3680">
      <w:pPr>
        <w:pStyle w:val="Caption"/>
        <w:keepNext/>
        <w:jc w:val="center"/>
      </w:pPr>
      <w:r>
        <w:t>Figure 8: Stop-loss levels and resulting position sizes under the brief’s 1% maximum risk-per-trade rule ($1,000 ceiling on $100,000 capital). Entry prices are the most recent available weekly closing prices as of the data pull (week ending 15 June 2026), quoted in GBX (pence).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1621"/>
        <w:gridCol w:w="1325"/>
        <w:gridCol w:w="1621"/>
        <w:gridCol w:w="2041"/>
        <w:gridCol w:w="1373"/>
      </w:tblGrid>
      <w:tr w:rsidR="00AB4906" w14:paraId="3F841FC3" w14:textId="77777777">
        <w:tc>
          <w:tcPr>
            <w:tcW w:w="1560" w:type="dxa"/>
            <w:shd w:val="clear" w:color="auto" w:fill="1F3A68"/>
            <w:tcMar>
              <w:top w:w="90" w:type="dxa"/>
              <w:left w:w="130" w:type="dxa"/>
              <w:bottom w:w="90" w:type="dxa"/>
              <w:right w:w="130" w:type="dxa"/>
            </w:tcMar>
            <w:vAlign w:val="center"/>
          </w:tcPr>
          <w:p w14:paraId="12828CA4" w14:textId="77777777" w:rsidR="00402B54" w:rsidRDefault="00000000">
            <w:r>
              <w:rPr>
                <w:b/>
                <w:sz w:val="18"/>
              </w:rPr>
              <w:t>Ticker</w:t>
            </w:r>
          </w:p>
        </w:tc>
        <w:tc>
          <w:tcPr>
            <w:tcW w:w="1872" w:type="dxa"/>
            <w:shd w:val="clear" w:color="auto" w:fill="1F3A68"/>
            <w:tcMar>
              <w:top w:w="90" w:type="dxa"/>
              <w:left w:w="130" w:type="dxa"/>
              <w:bottom w:w="90" w:type="dxa"/>
              <w:right w:w="130" w:type="dxa"/>
            </w:tcMar>
            <w:vAlign w:val="center"/>
          </w:tcPr>
          <w:p w14:paraId="355A1C03" w14:textId="77777777" w:rsidR="00402B54" w:rsidRDefault="00000000">
            <w:r>
              <w:rPr>
                <w:b/>
                <w:sz w:val="18"/>
              </w:rPr>
              <w:t>Entry Price (p)</w:t>
            </w:r>
          </w:p>
        </w:tc>
        <w:tc>
          <w:tcPr>
            <w:tcW w:w="1560" w:type="dxa"/>
            <w:shd w:val="clear" w:color="auto" w:fill="1F3A68"/>
            <w:tcMar>
              <w:top w:w="90" w:type="dxa"/>
              <w:left w:w="130" w:type="dxa"/>
              <w:bottom w:w="90" w:type="dxa"/>
              <w:right w:w="130" w:type="dxa"/>
            </w:tcMar>
            <w:vAlign w:val="center"/>
          </w:tcPr>
          <w:p w14:paraId="5CF16DEA" w14:textId="77777777" w:rsidR="00402B54" w:rsidRDefault="00000000">
            <w:r>
              <w:rPr>
                <w:b/>
                <w:sz w:val="18"/>
              </w:rPr>
              <w:t>Stop-Loss %</w:t>
            </w:r>
          </w:p>
        </w:tc>
        <w:tc>
          <w:tcPr>
            <w:tcW w:w="1872" w:type="dxa"/>
            <w:shd w:val="clear" w:color="auto" w:fill="1F3A68"/>
            <w:tcMar>
              <w:top w:w="90" w:type="dxa"/>
              <w:left w:w="130" w:type="dxa"/>
              <w:bottom w:w="90" w:type="dxa"/>
              <w:right w:w="130" w:type="dxa"/>
            </w:tcMar>
            <w:vAlign w:val="center"/>
          </w:tcPr>
          <w:p w14:paraId="35128725" w14:textId="77777777" w:rsidR="00402B54" w:rsidRDefault="00000000">
            <w:r>
              <w:rPr>
                <w:b/>
                <w:sz w:val="18"/>
              </w:rPr>
              <w:t>Stop-Loss Price (p)</w:t>
            </w:r>
          </w:p>
        </w:tc>
        <w:tc>
          <w:tcPr>
            <w:tcW w:w="2496" w:type="dxa"/>
            <w:shd w:val="clear" w:color="auto" w:fill="1F3A68"/>
            <w:tcMar>
              <w:top w:w="90" w:type="dxa"/>
              <w:left w:w="130" w:type="dxa"/>
              <w:bottom w:w="90" w:type="dxa"/>
              <w:right w:w="130" w:type="dxa"/>
            </w:tcMar>
            <w:vAlign w:val="center"/>
          </w:tcPr>
          <w:p w14:paraId="22D767D1" w14:textId="77777777" w:rsidR="00402B54" w:rsidRDefault="00000000">
            <w:r>
              <w:rPr>
                <w:b/>
                <w:sz w:val="18"/>
              </w:rPr>
              <w:t>Position Size (units)</w:t>
            </w:r>
          </w:p>
        </w:tc>
        <w:tc>
          <w:tcPr>
            <w:tcW w:w="1656" w:type="dxa"/>
            <w:shd w:val="clear" w:color="auto" w:fill="1F3A68"/>
            <w:vAlign w:val="center"/>
          </w:tcPr>
          <w:p w14:paraId="3CB67A71" w14:textId="77777777" w:rsidR="00402B54" w:rsidRDefault="00000000">
            <w:r>
              <w:rPr>
                <w:b/>
                <w:sz w:val="18"/>
              </w:rPr>
              <w:t>$ Risk if Stopped</w:t>
            </w:r>
          </w:p>
        </w:tc>
      </w:tr>
      <w:tr w:rsidR="00AB4906" w14:paraId="591085FB" w14:textId="77777777">
        <w:trPr>
          <w:cantSplit/>
        </w:trPr>
        <w:tc>
          <w:tcPr>
            <w:tcW w:w="1560" w:type="dxa"/>
            <w:tcMar>
              <w:top w:w="90" w:type="dxa"/>
              <w:left w:w="130" w:type="dxa"/>
              <w:bottom w:w="90" w:type="dxa"/>
              <w:right w:w="130" w:type="dxa"/>
            </w:tcMar>
            <w:vAlign w:val="center"/>
          </w:tcPr>
          <w:p w14:paraId="4AC34618" w14:textId="77777777" w:rsidR="00402B54" w:rsidRDefault="00000000">
            <w:r>
              <w:rPr>
                <w:sz w:val="18"/>
              </w:rPr>
              <w:t>AZN.L</w:t>
            </w:r>
          </w:p>
        </w:tc>
        <w:tc>
          <w:tcPr>
            <w:tcW w:w="1872" w:type="dxa"/>
            <w:tcMar>
              <w:top w:w="90" w:type="dxa"/>
              <w:left w:w="130" w:type="dxa"/>
              <w:bottom w:w="90" w:type="dxa"/>
              <w:right w:w="130" w:type="dxa"/>
            </w:tcMar>
            <w:vAlign w:val="center"/>
          </w:tcPr>
          <w:p w14:paraId="4064E0C8" w14:textId="77777777" w:rsidR="00402B54" w:rsidRDefault="00000000">
            <w:r>
              <w:rPr>
                <w:sz w:val="18"/>
              </w:rPr>
              <w:t>13,234.00</w:t>
            </w:r>
          </w:p>
        </w:tc>
        <w:tc>
          <w:tcPr>
            <w:tcW w:w="1560" w:type="dxa"/>
            <w:tcMar>
              <w:top w:w="90" w:type="dxa"/>
              <w:left w:w="130" w:type="dxa"/>
              <w:bottom w:w="90" w:type="dxa"/>
              <w:right w:w="130" w:type="dxa"/>
            </w:tcMar>
            <w:vAlign w:val="center"/>
          </w:tcPr>
          <w:p w14:paraId="79103F3B" w14:textId="77777777" w:rsidR="00402B54" w:rsidRDefault="00000000">
            <w:r>
              <w:rPr>
                <w:sz w:val="18"/>
              </w:rPr>
              <w:t>6.42%</w:t>
            </w:r>
          </w:p>
        </w:tc>
        <w:tc>
          <w:tcPr>
            <w:tcW w:w="1872" w:type="dxa"/>
            <w:tcMar>
              <w:top w:w="90" w:type="dxa"/>
              <w:left w:w="130" w:type="dxa"/>
              <w:bottom w:w="90" w:type="dxa"/>
              <w:right w:w="130" w:type="dxa"/>
            </w:tcMar>
            <w:vAlign w:val="center"/>
          </w:tcPr>
          <w:p w14:paraId="7F56ADD2" w14:textId="77777777" w:rsidR="00402B54" w:rsidRDefault="00000000">
            <w:r>
              <w:rPr>
                <w:sz w:val="18"/>
              </w:rPr>
              <w:t>12,384.23</w:t>
            </w:r>
          </w:p>
        </w:tc>
        <w:tc>
          <w:tcPr>
            <w:tcW w:w="2496" w:type="dxa"/>
            <w:tcMar>
              <w:top w:w="90" w:type="dxa"/>
              <w:left w:w="130" w:type="dxa"/>
              <w:bottom w:w="90" w:type="dxa"/>
              <w:right w:w="130" w:type="dxa"/>
            </w:tcMar>
            <w:vAlign w:val="center"/>
          </w:tcPr>
          <w:p w14:paraId="3B574701" w14:textId="77777777" w:rsidR="00402B54" w:rsidRDefault="00000000">
            <w:r>
              <w:rPr>
                <w:sz w:val="18"/>
              </w:rPr>
              <w:t>1</w:t>
            </w:r>
          </w:p>
        </w:tc>
        <w:tc>
          <w:tcPr>
            <w:tcW w:w="1656" w:type="dxa"/>
            <w:vAlign w:val="center"/>
          </w:tcPr>
          <w:p w14:paraId="1E4BB2A1" w14:textId="77777777" w:rsidR="00402B54" w:rsidRDefault="00000000">
            <w:r>
              <w:rPr>
                <w:sz w:val="18"/>
              </w:rPr>
              <w:t>$850</w:t>
            </w:r>
          </w:p>
        </w:tc>
      </w:tr>
      <w:tr w:rsidR="00AB4906" w14:paraId="29370271" w14:textId="77777777">
        <w:trPr>
          <w:cantSplit/>
        </w:trPr>
        <w:tc>
          <w:tcPr>
            <w:tcW w:w="1560" w:type="dxa"/>
            <w:shd w:val="clear" w:color="auto" w:fill="EEF3FA"/>
            <w:tcMar>
              <w:top w:w="90" w:type="dxa"/>
              <w:left w:w="130" w:type="dxa"/>
              <w:bottom w:w="90" w:type="dxa"/>
              <w:right w:w="130" w:type="dxa"/>
            </w:tcMar>
            <w:vAlign w:val="center"/>
          </w:tcPr>
          <w:p w14:paraId="69F0D090" w14:textId="77777777" w:rsidR="00402B54" w:rsidRDefault="00000000">
            <w:r>
              <w:rPr>
                <w:sz w:val="18"/>
              </w:rPr>
              <w:t>GSK.L</w:t>
            </w:r>
          </w:p>
        </w:tc>
        <w:tc>
          <w:tcPr>
            <w:tcW w:w="1872" w:type="dxa"/>
            <w:shd w:val="clear" w:color="auto" w:fill="EEF3FA"/>
            <w:tcMar>
              <w:top w:w="90" w:type="dxa"/>
              <w:left w:w="130" w:type="dxa"/>
              <w:bottom w:w="90" w:type="dxa"/>
              <w:right w:w="130" w:type="dxa"/>
            </w:tcMar>
            <w:vAlign w:val="center"/>
          </w:tcPr>
          <w:p w14:paraId="567E111B" w14:textId="77777777" w:rsidR="00402B54" w:rsidRDefault="00000000">
            <w:r>
              <w:rPr>
                <w:sz w:val="18"/>
              </w:rPr>
              <w:t>1,925.50</w:t>
            </w:r>
          </w:p>
        </w:tc>
        <w:tc>
          <w:tcPr>
            <w:tcW w:w="1560" w:type="dxa"/>
            <w:shd w:val="clear" w:color="auto" w:fill="EEF3FA"/>
            <w:tcMar>
              <w:top w:w="90" w:type="dxa"/>
              <w:left w:w="130" w:type="dxa"/>
              <w:bottom w:w="90" w:type="dxa"/>
              <w:right w:w="130" w:type="dxa"/>
            </w:tcMar>
            <w:vAlign w:val="center"/>
          </w:tcPr>
          <w:p w14:paraId="3D632F1F" w14:textId="77777777" w:rsidR="00402B54" w:rsidRDefault="00000000">
            <w:r>
              <w:rPr>
                <w:sz w:val="18"/>
              </w:rPr>
              <w:t>6.19%</w:t>
            </w:r>
          </w:p>
        </w:tc>
        <w:tc>
          <w:tcPr>
            <w:tcW w:w="1872" w:type="dxa"/>
            <w:shd w:val="clear" w:color="auto" w:fill="EEF3FA"/>
            <w:tcMar>
              <w:top w:w="90" w:type="dxa"/>
              <w:left w:w="130" w:type="dxa"/>
              <w:bottom w:w="90" w:type="dxa"/>
              <w:right w:w="130" w:type="dxa"/>
            </w:tcMar>
            <w:vAlign w:val="center"/>
          </w:tcPr>
          <w:p w14:paraId="21138AD6" w14:textId="77777777" w:rsidR="00402B54" w:rsidRDefault="00000000">
            <w:r>
              <w:rPr>
                <w:sz w:val="18"/>
              </w:rPr>
              <w:t>1,806.29</w:t>
            </w:r>
          </w:p>
        </w:tc>
        <w:tc>
          <w:tcPr>
            <w:tcW w:w="2496" w:type="dxa"/>
            <w:shd w:val="clear" w:color="auto" w:fill="EEF3FA"/>
            <w:tcMar>
              <w:top w:w="90" w:type="dxa"/>
              <w:left w:w="130" w:type="dxa"/>
              <w:bottom w:w="90" w:type="dxa"/>
              <w:right w:w="130" w:type="dxa"/>
            </w:tcMar>
            <w:vAlign w:val="center"/>
          </w:tcPr>
          <w:p w14:paraId="05C1EDAA" w14:textId="77777777" w:rsidR="00402B54" w:rsidRDefault="00000000">
            <w:r>
              <w:rPr>
                <w:sz w:val="18"/>
              </w:rPr>
              <w:t>8</w:t>
            </w:r>
          </w:p>
        </w:tc>
        <w:tc>
          <w:tcPr>
            <w:tcW w:w="1656" w:type="dxa"/>
            <w:vAlign w:val="center"/>
          </w:tcPr>
          <w:p w14:paraId="7BC755E4" w14:textId="77777777" w:rsidR="00402B54" w:rsidRDefault="00000000">
            <w:r>
              <w:rPr>
                <w:sz w:val="18"/>
              </w:rPr>
              <w:t>$954</w:t>
            </w:r>
          </w:p>
        </w:tc>
      </w:tr>
      <w:tr w:rsidR="00AB4906" w14:paraId="7768EC0E" w14:textId="77777777">
        <w:trPr>
          <w:cantSplit/>
        </w:trPr>
        <w:tc>
          <w:tcPr>
            <w:tcW w:w="1560" w:type="dxa"/>
            <w:tcMar>
              <w:top w:w="90" w:type="dxa"/>
              <w:left w:w="130" w:type="dxa"/>
              <w:bottom w:w="90" w:type="dxa"/>
              <w:right w:w="130" w:type="dxa"/>
            </w:tcMar>
            <w:vAlign w:val="center"/>
          </w:tcPr>
          <w:p w14:paraId="3E657135" w14:textId="77777777" w:rsidR="00402B54" w:rsidRDefault="00000000">
            <w:r>
              <w:rPr>
                <w:sz w:val="18"/>
              </w:rPr>
              <w:t>SHEL.L</w:t>
            </w:r>
          </w:p>
        </w:tc>
        <w:tc>
          <w:tcPr>
            <w:tcW w:w="1872" w:type="dxa"/>
            <w:tcMar>
              <w:top w:w="90" w:type="dxa"/>
              <w:left w:w="130" w:type="dxa"/>
              <w:bottom w:w="90" w:type="dxa"/>
              <w:right w:w="130" w:type="dxa"/>
            </w:tcMar>
            <w:vAlign w:val="center"/>
          </w:tcPr>
          <w:p w14:paraId="54B4D505" w14:textId="77777777" w:rsidR="00402B54" w:rsidRDefault="00000000">
            <w:r>
              <w:rPr>
                <w:sz w:val="18"/>
              </w:rPr>
              <w:t>2,993.50</w:t>
            </w:r>
          </w:p>
        </w:tc>
        <w:tc>
          <w:tcPr>
            <w:tcW w:w="1560" w:type="dxa"/>
            <w:tcMar>
              <w:top w:w="90" w:type="dxa"/>
              <w:left w:w="130" w:type="dxa"/>
              <w:bottom w:w="90" w:type="dxa"/>
              <w:right w:w="130" w:type="dxa"/>
            </w:tcMar>
            <w:vAlign w:val="center"/>
          </w:tcPr>
          <w:p w14:paraId="385D07B2" w14:textId="77777777" w:rsidR="00402B54" w:rsidRDefault="00000000">
            <w:r>
              <w:rPr>
                <w:sz w:val="18"/>
              </w:rPr>
              <w:t>7.21%</w:t>
            </w:r>
          </w:p>
        </w:tc>
        <w:tc>
          <w:tcPr>
            <w:tcW w:w="1872" w:type="dxa"/>
            <w:tcMar>
              <w:top w:w="90" w:type="dxa"/>
              <w:left w:w="130" w:type="dxa"/>
              <w:bottom w:w="90" w:type="dxa"/>
              <w:right w:w="130" w:type="dxa"/>
            </w:tcMar>
            <w:vAlign w:val="center"/>
          </w:tcPr>
          <w:p w14:paraId="63FCFA33" w14:textId="77777777" w:rsidR="00402B54" w:rsidRDefault="00000000">
            <w:r>
              <w:rPr>
                <w:sz w:val="18"/>
              </w:rPr>
              <w:t>2,777.70</w:t>
            </w:r>
          </w:p>
        </w:tc>
        <w:tc>
          <w:tcPr>
            <w:tcW w:w="2496" w:type="dxa"/>
            <w:tcMar>
              <w:top w:w="90" w:type="dxa"/>
              <w:left w:w="130" w:type="dxa"/>
              <w:bottom w:w="90" w:type="dxa"/>
              <w:right w:w="130" w:type="dxa"/>
            </w:tcMar>
            <w:vAlign w:val="center"/>
          </w:tcPr>
          <w:p w14:paraId="7B175BC1" w14:textId="77777777" w:rsidR="00402B54" w:rsidRDefault="00000000">
            <w:r>
              <w:rPr>
                <w:sz w:val="18"/>
              </w:rPr>
              <w:t>4</w:t>
            </w:r>
          </w:p>
        </w:tc>
        <w:tc>
          <w:tcPr>
            <w:tcW w:w="1656" w:type="dxa"/>
            <w:vAlign w:val="center"/>
          </w:tcPr>
          <w:p w14:paraId="4A27E42A" w14:textId="77777777" w:rsidR="00402B54" w:rsidRDefault="00000000">
            <w:r>
              <w:rPr>
                <w:sz w:val="18"/>
              </w:rPr>
              <w:t>$863</w:t>
            </w:r>
          </w:p>
        </w:tc>
      </w:tr>
      <w:tr w:rsidR="00AB4906" w14:paraId="018A34BB" w14:textId="77777777">
        <w:trPr>
          <w:cantSplit/>
        </w:trPr>
        <w:tc>
          <w:tcPr>
            <w:tcW w:w="1560" w:type="dxa"/>
            <w:shd w:val="clear" w:color="auto" w:fill="EEF3FA"/>
            <w:tcMar>
              <w:top w:w="90" w:type="dxa"/>
              <w:left w:w="130" w:type="dxa"/>
              <w:bottom w:w="90" w:type="dxa"/>
              <w:right w:w="130" w:type="dxa"/>
            </w:tcMar>
            <w:vAlign w:val="center"/>
          </w:tcPr>
          <w:p w14:paraId="0F34DC43" w14:textId="77777777" w:rsidR="00402B54" w:rsidRDefault="00000000">
            <w:r>
              <w:rPr>
                <w:sz w:val="18"/>
              </w:rPr>
              <w:t>AUTO.L</w:t>
            </w:r>
          </w:p>
        </w:tc>
        <w:tc>
          <w:tcPr>
            <w:tcW w:w="1872" w:type="dxa"/>
            <w:shd w:val="clear" w:color="auto" w:fill="EEF3FA"/>
            <w:tcMar>
              <w:top w:w="90" w:type="dxa"/>
              <w:left w:w="130" w:type="dxa"/>
              <w:bottom w:w="90" w:type="dxa"/>
              <w:right w:w="130" w:type="dxa"/>
            </w:tcMar>
            <w:vAlign w:val="center"/>
          </w:tcPr>
          <w:p w14:paraId="79F29D86" w14:textId="77777777" w:rsidR="00402B54" w:rsidRDefault="00000000">
            <w:r>
              <w:rPr>
                <w:sz w:val="18"/>
              </w:rPr>
              <w:t>478.00</w:t>
            </w:r>
          </w:p>
        </w:tc>
        <w:tc>
          <w:tcPr>
            <w:tcW w:w="1560" w:type="dxa"/>
            <w:shd w:val="clear" w:color="auto" w:fill="EEF3FA"/>
            <w:tcMar>
              <w:top w:w="90" w:type="dxa"/>
              <w:left w:w="130" w:type="dxa"/>
              <w:bottom w:w="90" w:type="dxa"/>
              <w:right w:w="130" w:type="dxa"/>
            </w:tcMar>
            <w:vAlign w:val="center"/>
          </w:tcPr>
          <w:p w14:paraId="6B921DCE" w14:textId="77777777" w:rsidR="00402B54" w:rsidRDefault="00000000">
            <w:r>
              <w:rPr>
                <w:sz w:val="18"/>
              </w:rPr>
              <w:t>7.22%</w:t>
            </w:r>
          </w:p>
        </w:tc>
        <w:tc>
          <w:tcPr>
            <w:tcW w:w="1872" w:type="dxa"/>
            <w:shd w:val="clear" w:color="auto" w:fill="EEF3FA"/>
            <w:tcMar>
              <w:top w:w="90" w:type="dxa"/>
              <w:left w:w="130" w:type="dxa"/>
              <w:bottom w:w="90" w:type="dxa"/>
              <w:right w:w="130" w:type="dxa"/>
            </w:tcMar>
            <w:vAlign w:val="center"/>
          </w:tcPr>
          <w:p w14:paraId="5F8E58E7" w14:textId="77777777" w:rsidR="00402B54" w:rsidRDefault="00000000">
            <w:r>
              <w:rPr>
                <w:sz w:val="18"/>
              </w:rPr>
              <w:t>443.49</w:t>
            </w:r>
          </w:p>
        </w:tc>
        <w:tc>
          <w:tcPr>
            <w:tcW w:w="2496" w:type="dxa"/>
            <w:shd w:val="clear" w:color="auto" w:fill="EEF3FA"/>
            <w:tcMar>
              <w:top w:w="90" w:type="dxa"/>
              <w:left w:w="130" w:type="dxa"/>
              <w:bottom w:w="90" w:type="dxa"/>
              <w:right w:w="130" w:type="dxa"/>
            </w:tcMar>
            <w:vAlign w:val="center"/>
          </w:tcPr>
          <w:p w14:paraId="72F57380" w14:textId="77777777" w:rsidR="00402B54" w:rsidRDefault="00000000">
            <w:r>
              <w:rPr>
                <w:sz w:val="18"/>
              </w:rPr>
              <w:t>28</w:t>
            </w:r>
          </w:p>
        </w:tc>
        <w:tc>
          <w:tcPr>
            <w:tcW w:w="1656" w:type="dxa"/>
            <w:vAlign w:val="center"/>
          </w:tcPr>
          <w:p w14:paraId="4D5CF0AE" w14:textId="77777777" w:rsidR="00402B54" w:rsidRDefault="00000000">
            <w:r>
              <w:rPr>
                <w:sz w:val="18"/>
              </w:rPr>
              <w:t>$966</w:t>
            </w:r>
          </w:p>
        </w:tc>
      </w:tr>
    </w:tbl>
    <w:p w14:paraId="2E15A487" w14:textId="77777777" w:rsidR="00AB4906" w:rsidRDefault="00AB4906">
      <w:pPr>
        <w:spacing w:before="80" w:after="280"/>
        <w:jc w:val="center"/>
      </w:pPr>
    </w:p>
    <w:p w14:paraId="0F55AA89" w14:textId="77777777" w:rsidR="00AB4906" w:rsidRDefault="00000000">
      <w:r>
        <w:br w:type="page"/>
      </w:r>
    </w:p>
    <w:p w14:paraId="647C006E" w14:textId="77777777" w:rsidR="00AB4906" w:rsidRDefault="00000000">
      <w:pPr>
        <w:pStyle w:val="Heading1"/>
      </w:pPr>
      <w:bookmarkStart w:id="9" w:name="_Toc233032911"/>
      <w:r>
        <w:lastRenderedPageBreak/>
        <w:t>Section 6: Gatekeeper Constraint Verification</w:t>
      </w:r>
      <w:bookmarkEnd w:id="9"/>
    </w:p>
    <w:p w14:paraId="04295611" w14:textId="77777777" w:rsidR="00AB4906" w:rsidRDefault="00000000">
      <w:pPr>
        <w:spacing w:after="200" w:line="360" w:lineRule="auto"/>
        <w:jc w:val="both"/>
      </w:pPr>
      <w:r>
        <w:t>Two hard pass/fail checks govern whether this portfolio structure is acceptable under the brief’s institutional risk framework. Both are evaluated below using the full 6-year weekly dataset, with a robustness check against a shorter 3-year window also reported, consistent with the chronological out-of-sample discipline established in Project 3’s Walk-Forward Optimisation.</w:t>
      </w:r>
    </w:p>
    <w:p w14:paraId="40D77ABB" w14:textId="77777777" w:rsidR="00AB4906" w:rsidRDefault="00000000">
      <w:pPr>
        <w:pStyle w:val="Heading2"/>
      </w:pPr>
      <w:bookmarkStart w:id="10" w:name="_Toc233032912"/>
      <w:r>
        <w:t>6.1 Constraint 1 — Defensive Systemic Risk (βₚ &lt; 1.0)</w:t>
      </w:r>
      <w:bookmarkEnd w:id="10"/>
    </w:p>
    <w:p w14:paraId="258C2663" w14:textId="77777777" w:rsidR="00AB4906" w:rsidRDefault="00000000">
      <w:pPr>
        <w:spacing w:before="120" w:after="200"/>
        <w:jc w:val="center"/>
      </w:pPr>
      <w:r>
        <w:rPr>
          <w:rFonts w:ascii="Cambria Math" w:eastAsia="Cambria Math" w:hAnsi="Cambria Math" w:cs="Cambria Math"/>
          <w:i/>
          <w:iCs/>
          <w:sz w:val="24"/>
          <w:szCs w:val="24"/>
        </w:rPr>
        <w:t>βₚ = Σ (wᵢ × βᵢ)</w:t>
      </w:r>
    </w:p>
    <w:p w14:paraId="0CA95E43" w14:textId="77777777" w:rsidR="00AB4906" w:rsidRDefault="00000000">
      <w:pPr>
        <w:spacing w:after="200" w:line="360" w:lineRule="auto"/>
        <w:jc w:val="both"/>
      </w:pPr>
      <w:r>
        <w:t>= (0.2382 × 0.901) + (0.2575 × 0.834) + (0.1920 × 1.118) + (0.3123 × 0.687</w:t>
      </w:r>
      <w:proofErr w:type="gramStart"/>
      <w:r>
        <w:t>)  =</w:t>
      </w:r>
      <w:proofErr w:type="gramEnd"/>
      <w:r>
        <w:t xml:space="preserve">  0.8587</w:t>
      </w:r>
    </w:p>
    <w:p w14:paraId="5891EFF4" w14:textId="77777777" w:rsidR="00AB4906" w:rsidRDefault="00000000">
      <w:pPr>
        <w:spacing w:after="200" w:line="360" w:lineRule="auto"/>
        <w:jc w:val="both"/>
      </w:pPr>
      <w:r>
        <w:rPr>
          <w:b/>
          <w:bCs/>
        </w:rPr>
        <w:t xml:space="preserve">VERDICT: PASSED. </w:t>
      </w:r>
      <w:r>
        <w:t>βₚ = 0.859, with a margin of 0.141 below the 1.0 ceiling. If the FTSE 100 falls 10%, this portfolio is structurally designed to fall by only approximately 8.6%.</w:t>
      </w:r>
    </w:p>
    <w:p w14:paraId="71AF45A5" w14:textId="77777777" w:rsidR="00AB4906" w:rsidRDefault="00000000">
      <w:pPr>
        <w:pStyle w:val="Heading2"/>
      </w:pPr>
      <w:bookmarkStart w:id="11" w:name="_Toc233032913"/>
      <w:r>
        <w:t>6.2 Constraint 2 — Maximum Portfolio Heat (≤ 8%)</w:t>
      </w:r>
      <w:bookmarkEnd w:id="11"/>
    </w:p>
    <w:p w14:paraId="6C0FBB42" w14:textId="77777777" w:rsidR="00AB4906" w:rsidRDefault="00000000">
      <w:pPr>
        <w:spacing w:after="200" w:line="360" w:lineRule="auto"/>
        <w:jc w:val="both"/>
      </w:pPr>
      <w:r>
        <w:t>Portfolio Heat measures the percentage of total capital that would be lost if every position’s stop-loss triggered simultaneously. To remain consistent with the brief’s 1% risk rule, this report calculates heat using execution-level risk after position sizing, rather than allocation-weighted notional exposure. In other words, heat is based on the actual dollar loss that would occur if the sized positions in Section 5 were stopped out together.</w:t>
      </w:r>
    </w:p>
    <w:p w14:paraId="328FB79B" w14:textId="77777777" w:rsidR="00DA3680" w:rsidRDefault="00DA3680" w:rsidP="00DA3680">
      <w:pPr>
        <w:pStyle w:val="Caption"/>
        <w:keepNext/>
        <w:jc w:val="center"/>
      </w:pPr>
      <w:r>
        <w:t>Figure 9: Execution-level Portfolio Heat contribution by asset after applying the 1% position-sizing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96"/>
        <w:gridCol w:w="1872"/>
        <w:gridCol w:w="3120"/>
      </w:tblGrid>
      <w:tr w:rsidR="00AB4906" w14:paraId="767CE863" w14:textId="77777777">
        <w:tc>
          <w:tcPr>
            <w:tcW w:w="1872" w:type="dxa"/>
            <w:shd w:val="clear" w:color="auto" w:fill="1F3A68"/>
            <w:tcMar>
              <w:top w:w="90" w:type="dxa"/>
              <w:left w:w="130" w:type="dxa"/>
              <w:bottom w:w="90" w:type="dxa"/>
              <w:right w:w="130" w:type="dxa"/>
            </w:tcMar>
            <w:vAlign w:val="center"/>
          </w:tcPr>
          <w:p w14:paraId="4E838D0D" w14:textId="77777777" w:rsidR="00402B54" w:rsidRDefault="00000000">
            <w:r>
              <w:rPr>
                <w:b/>
                <w:sz w:val="18"/>
              </w:rPr>
              <w:t>Ticker</w:t>
            </w:r>
          </w:p>
        </w:tc>
        <w:tc>
          <w:tcPr>
            <w:tcW w:w="2496" w:type="dxa"/>
            <w:shd w:val="clear" w:color="auto" w:fill="1F3A68"/>
            <w:tcMar>
              <w:top w:w="90" w:type="dxa"/>
              <w:left w:w="130" w:type="dxa"/>
              <w:bottom w:w="90" w:type="dxa"/>
              <w:right w:w="130" w:type="dxa"/>
            </w:tcMar>
            <w:vAlign w:val="center"/>
          </w:tcPr>
          <w:p w14:paraId="27C6FA19" w14:textId="77777777" w:rsidR="00402B54" w:rsidRDefault="00000000">
            <w:r>
              <w:rPr>
                <w:b/>
                <w:sz w:val="18"/>
              </w:rPr>
              <w:t>Actual $ Risk if Stopped</w:t>
            </w:r>
          </w:p>
        </w:tc>
        <w:tc>
          <w:tcPr>
            <w:tcW w:w="1872" w:type="dxa"/>
            <w:shd w:val="clear" w:color="auto" w:fill="1F3A68"/>
            <w:tcMar>
              <w:top w:w="90" w:type="dxa"/>
              <w:left w:w="130" w:type="dxa"/>
              <w:bottom w:w="90" w:type="dxa"/>
              <w:right w:w="130" w:type="dxa"/>
            </w:tcMar>
            <w:vAlign w:val="center"/>
          </w:tcPr>
          <w:p w14:paraId="17756AC6" w14:textId="77777777" w:rsidR="00402B54" w:rsidRDefault="00000000">
            <w:r>
              <w:rPr>
                <w:b/>
                <w:sz w:val="18"/>
              </w:rPr>
              <w:t>Heat Contribution (% of Capital)</w:t>
            </w:r>
          </w:p>
        </w:tc>
        <w:tc>
          <w:tcPr>
            <w:tcW w:w="3120" w:type="dxa"/>
            <w:shd w:val="clear" w:color="auto" w:fill="1F3A68"/>
            <w:tcMar>
              <w:top w:w="90" w:type="dxa"/>
              <w:left w:w="130" w:type="dxa"/>
              <w:bottom w:w="90" w:type="dxa"/>
              <w:right w:w="130" w:type="dxa"/>
            </w:tcMar>
            <w:vAlign w:val="center"/>
          </w:tcPr>
          <w:p w14:paraId="0E8DF1AB" w14:textId="77777777" w:rsidR="00402B54" w:rsidRDefault="00000000">
            <w:r>
              <w:rPr>
                <w:b/>
                <w:sz w:val="18"/>
              </w:rPr>
              <w:t>1% Rule Verdict</w:t>
            </w:r>
          </w:p>
        </w:tc>
      </w:tr>
      <w:tr w:rsidR="00AB4906" w14:paraId="2E716CEC" w14:textId="77777777">
        <w:trPr>
          <w:cantSplit/>
        </w:trPr>
        <w:tc>
          <w:tcPr>
            <w:tcW w:w="1872" w:type="dxa"/>
            <w:tcMar>
              <w:top w:w="90" w:type="dxa"/>
              <w:left w:w="130" w:type="dxa"/>
              <w:bottom w:w="90" w:type="dxa"/>
              <w:right w:w="130" w:type="dxa"/>
            </w:tcMar>
            <w:vAlign w:val="center"/>
          </w:tcPr>
          <w:p w14:paraId="30EC11CE" w14:textId="77777777" w:rsidR="00402B54" w:rsidRDefault="00000000">
            <w:r>
              <w:rPr>
                <w:b/>
                <w:sz w:val="18"/>
              </w:rPr>
              <w:t>AZN.L</w:t>
            </w:r>
          </w:p>
        </w:tc>
        <w:tc>
          <w:tcPr>
            <w:tcW w:w="2496" w:type="dxa"/>
            <w:tcMar>
              <w:top w:w="90" w:type="dxa"/>
              <w:left w:w="130" w:type="dxa"/>
              <w:bottom w:w="90" w:type="dxa"/>
              <w:right w:w="130" w:type="dxa"/>
            </w:tcMar>
            <w:vAlign w:val="center"/>
          </w:tcPr>
          <w:p w14:paraId="6B73DEA1" w14:textId="77777777" w:rsidR="00402B54" w:rsidRDefault="00000000">
            <w:r>
              <w:rPr>
                <w:sz w:val="18"/>
              </w:rPr>
              <w:t>$850</w:t>
            </w:r>
          </w:p>
        </w:tc>
        <w:tc>
          <w:tcPr>
            <w:tcW w:w="1872" w:type="dxa"/>
            <w:tcMar>
              <w:top w:w="90" w:type="dxa"/>
              <w:left w:w="130" w:type="dxa"/>
              <w:bottom w:w="90" w:type="dxa"/>
              <w:right w:w="130" w:type="dxa"/>
            </w:tcMar>
            <w:vAlign w:val="center"/>
          </w:tcPr>
          <w:p w14:paraId="5730BBAD" w14:textId="77777777" w:rsidR="00402B54" w:rsidRDefault="00000000">
            <w:r>
              <w:rPr>
                <w:sz w:val="18"/>
              </w:rPr>
              <w:t>0.85%</w:t>
            </w:r>
          </w:p>
        </w:tc>
        <w:tc>
          <w:tcPr>
            <w:tcW w:w="3120" w:type="dxa"/>
            <w:tcMar>
              <w:top w:w="90" w:type="dxa"/>
              <w:left w:w="130" w:type="dxa"/>
              <w:bottom w:w="90" w:type="dxa"/>
              <w:right w:w="130" w:type="dxa"/>
            </w:tcMar>
            <w:vAlign w:val="center"/>
          </w:tcPr>
          <w:p w14:paraId="039CB8FD" w14:textId="77777777" w:rsidR="00402B54" w:rsidRDefault="00000000">
            <w:r>
              <w:rPr>
                <w:color w:val="008000"/>
                <w:sz w:val="18"/>
              </w:rPr>
              <w:t>PASS</w:t>
            </w:r>
          </w:p>
        </w:tc>
      </w:tr>
      <w:tr w:rsidR="00AB4906" w14:paraId="25C0CD3B" w14:textId="77777777">
        <w:trPr>
          <w:cantSplit/>
        </w:trPr>
        <w:tc>
          <w:tcPr>
            <w:tcW w:w="1872" w:type="dxa"/>
            <w:shd w:val="clear" w:color="auto" w:fill="EEF3FA"/>
            <w:tcMar>
              <w:top w:w="90" w:type="dxa"/>
              <w:left w:w="130" w:type="dxa"/>
              <w:bottom w:w="90" w:type="dxa"/>
              <w:right w:w="130" w:type="dxa"/>
            </w:tcMar>
            <w:vAlign w:val="center"/>
          </w:tcPr>
          <w:p w14:paraId="506C5740" w14:textId="77777777" w:rsidR="00402B54" w:rsidRDefault="00000000">
            <w:r>
              <w:rPr>
                <w:b/>
                <w:sz w:val="18"/>
              </w:rPr>
              <w:t>GSK.L</w:t>
            </w:r>
          </w:p>
        </w:tc>
        <w:tc>
          <w:tcPr>
            <w:tcW w:w="2496" w:type="dxa"/>
            <w:shd w:val="clear" w:color="auto" w:fill="EEF3FA"/>
            <w:tcMar>
              <w:top w:w="90" w:type="dxa"/>
              <w:left w:w="130" w:type="dxa"/>
              <w:bottom w:w="90" w:type="dxa"/>
              <w:right w:w="130" w:type="dxa"/>
            </w:tcMar>
            <w:vAlign w:val="center"/>
          </w:tcPr>
          <w:p w14:paraId="675C10F5" w14:textId="77777777" w:rsidR="00402B54" w:rsidRDefault="00000000">
            <w:r>
              <w:rPr>
                <w:sz w:val="18"/>
              </w:rPr>
              <w:t>$954</w:t>
            </w:r>
          </w:p>
        </w:tc>
        <w:tc>
          <w:tcPr>
            <w:tcW w:w="1872" w:type="dxa"/>
            <w:shd w:val="clear" w:color="auto" w:fill="EEF3FA"/>
            <w:tcMar>
              <w:top w:w="90" w:type="dxa"/>
              <w:left w:w="130" w:type="dxa"/>
              <w:bottom w:w="90" w:type="dxa"/>
              <w:right w:w="130" w:type="dxa"/>
            </w:tcMar>
            <w:vAlign w:val="center"/>
          </w:tcPr>
          <w:p w14:paraId="5203779F" w14:textId="77777777" w:rsidR="00402B54" w:rsidRDefault="00000000">
            <w:r>
              <w:rPr>
                <w:sz w:val="18"/>
              </w:rPr>
              <w:t>0.95%</w:t>
            </w:r>
          </w:p>
        </w:tc>
        <w:tc>
          <w:tcPr>
            <w:tcW w:w="3120" w:type="dxa"/>
            <w:shd w:val="clear" w:color="auto" w:fill="EEF3FA"/>
            <w:tcMar>
              <w:top w:w="90" w:type="dxa"/>
              <w:left w:w="130" w:type="dxa"/>
              <w:bottom w:w="90" w:type="dxa"/>
              <w:right w:w="130" w:type="dxa"/>
            </w:tcMar>
            <w:vAlign w:val="center"/>
          </w:tcPr>
          <w:p w14:paraId="6A10E8D3" w14:textId="77777777" w:rsidR="00402B54" w:rsidRDefault="00000000">
            <w:r>
              <w:rPr>
                <w:color w:val="008000"/>
                <w:sz w:val="18"/>
              </w:rPr>
              <w:t>PASS</w:t>
            </w:r>
          </w:p>
        </w:tc>
      </w:tr>
      <w:tr w:rsidR="00AB4906" w14:paraId="33FD89A4" w14:textId="77777777">
        <w:trPr>
          <w:cantSplit/>
        </w:trPr>
        <w:tc>
          <w:tcPr>
            <w:tcW w:w="1872" w:type="dxa"/>
            <w:tcMar>
              <w:top w:w="90" w:type="dxa"/>
              <w:left w:w="130" w:type="dxa"/>
              <w:bottom w:w="90" w:type="dxa"/>
              <w:right w:w="130" w:type="dxa"/>
            </w:tcMar>
            <w:vAlign w:val="center"/>
          </w:tcPr>
          <w:p w14:paraId="708E1D75" w14:textId="77777777" w:rsidR="00402B54" w:rsidRDefault="00000000">
            <w:r>
              <w:rPr>
                <w:b/>
                <w:sz w:val="18"/>
              </w:rPr>
              <w:t>SHEL.L</w:t>
            </w:r>
          </w:p>
        </w:tc>
        <w:tc>
          <w:tcPr>
            <w:tcW w:w="2496" w:type="dxa"/>
            <w:tcMar>
              <w:top w:w="90" w:type="dxa"/>
              <w:left w:w="130" w:type="dxa"/>
              <w:bottom w:w="90" w:type="dxa"/>
              <w:right w:w="130" w:type="dxa"/>
            </w:tcMar>
            <w:vAlign w:val="center"/>
          </w:tcPr>
          <w:p w14:paraId="170D0738" w14:textId="77777777" w:rsidR="00402B54" w:rsidRDefault="00000000">
            <w:r>
              <w:rPr>
                <w:sz w:val="18"/>
              </w:rPr>
              <w:t>$863</w:t>
            </w:r>
          </w:p>
        </w:tc>
        <w:tc>
          <w:tcPr>
            <w:tcW w:w="1872" w:type="dxa"/>
            <w:tcMar>
              <w:top w:w="90" w:type="dxa"/>
              <w:left w:w="130" w:type="dxa"/>
              <w:bottom w:w="90" w:type="dxa"/>
              <w:right w:w="130" w:type="dxa"/>
            </w:tcMar>
            <w:vAlign w:val="center"/>
          </w:tcPr>
          <w:p w14:paraId="69DAB09B" w14:textId="77777777" w:rsidR="00402B54" w:rsidRDefault="00000000">
            <w:r>
              <w:rPr>
                <w:sz w:val="18"/>
              </w:rPr>
              <w:t>0.86%</w:t>
            </w:r>
          </w:p>
        </w:tc>
        <w:tc>
          <w:tcPr>
            <w:tcW w:w="3120" w:type="dxa"/>
            <w:tcMar>
              <w:top w:w="90" w:type="dxa"/>
              <w:left w:w="130" w:type="dxa"/>
              <w:bottom w:w="90" w:type="dxa"/>
              <w:right w:w="130" w:type="dxa"/>
            </w:tcMar>
            <w:vAlign w:val="center"/>
          </w:tcPr>
          <w:p w14:paraId="05B60C2B" w14:textId="77777777" w:rsidR="00402B54" w:rsidRDefault="00000000">
            <w:r>
              <w:rPr>
                <w:color w:val="008000"/>
                <w:sz w:val="18"/>
              </w:rPr>
              <w:t>PASS</w:t>
            </w:r>
          </w:p>
        </w:tc>
      </w:tr>
      <w:tr w:rsidR="00AB4906" w14:paraId="7F62A08E" w14:textId="77777777">
        <w:trPr>
          <w:cantSplit/>
        </w:trPr>
        <w:tc>
          <w:tcPr>
            <w:tcW w:w="1872" w:type="dxa"/>
            <w:shd w:val="clear" w:color="auto" w:fill="EEF3FA"/>
            <w:tcMar>
              <w:top w:w="90" w:type="dxa"/>
              <w:left w:w="130" w:type="dxa"/>
              <w:bottom w:w="90" w:type="dxa"/>
              <w:right w:w="130" w:type="dxa"/>
            </w:tcMar>
            <w:vAlign w:val="center"/>
          </w:tcPr>
          <w:p w14:paraId="20961F03" w14:textId="77777777" w:rsidR="00402B54" w:rsidRDefault="00000000">
            <w:r>
              <w:rPr>
                <w:b/>
                <w:sz w:val="18"/>
              </w:rPr>
              <w:t>AUTO.L</w:t>
            </w:r>
          </w:p>
        </w:tc>
        <w:tc>
          <w:tcPr>
            <w:tcW w:w="2496" w:type="dxa"/>
            <w:shd w:val="clear" w:color="auto" w:fill="EEF3FA"/>
            <w:tcMar>
              <w:top w:w="90" w:type="dxa"/>
              <w:left w:w="130" w:type="dxa"/>
              <w:bottom w:w="90" w:type="dxa"/>
              <w:right w:w="130" w:type="dxa"/>
            </w:tcMar>
            <w:vAlign w:val="center"/>
          </w:tcPr>
          <w:p w14:paraId="3A30860A" w14:textId="77777777" w:rsidR="00402B54" w:rsidRDefault="00000000">
            <w:r>
              <w:rPr>
                <w:sz w:val="18"/>
              </w:rPr>
              <w:t>$966</w:t>
            </w:r>
          </w:p>
        </w:tc>
        <w:tc>
          <w:tcPr>
            <w:tcW w:w="1872" w:type="dxa"/>
            <w:shd w:val="clear" w:color="auto" w:fill="EEF3FA"/>
            <w:tcMar>
              <w:top w:w="90" w:type="dxa"/>
              <w:left w:w="130" w:type="dxa"/>
              <w:bottom w:w="90" w:type="dxa"/>
              <w:right w:w="130" w:type="dxa"/>
            </w:tcMar>
            <w:vAlign w:val="center"/>
          </w:tcPr>
          <w:p w14:paraId="72930033" w14:textId="77777777" w:rsidR="00402B54" w:rsidRDefault="00000000">
            <w:r>
              <w:rPr>
                <w:sz w:val="18"/>
              </w:rPr>
              <w:t>0.97%</w:t>
            </w:r>
          </w:p>
        </w:tc>
        <w:tc>
          <w:tcPr>
            <w:tcW w:w="3120" w:type="dxa"/>
            <w:shd w:val="clear" w:color="auto" w:fill="EEF3FA"/>
            <w:tcMar>
              <w:top w:w="90" w:type="dxa"/>
              <w:left w:w="130" w:type="dxa"/>
              <w:bottom w:w="90" w:type="dxa"/>
              <w:right w:w="130" w:type="dxa"/>
            </w:tcMar>
            <w:vAlign w:val="center"/>
          </w:tcPr>
          <w:p w14:paraId="0C7BAB2D" w14:textId="77777777" w:rsidR="00402B54" w:rsidRDefault="00000000">
            <w:r>
              <w:rPr>
                <w:color w:val="008000"/>
                <w:sz w:val="18"/>
              </w:rPr>
              <w:t>PASS</w:t>
            </w:r>
          </w:p>
        </w:tc>
      </w:tr>
      <w:tr w:rsidR="00AB4906" w14:paraId="1443DEB3" w14:textId="77777777">
        <w:trPr>
          <w:cantSplit/>
        </w:trPr>
        <w:tc>
          <w:tcPr>
            <w:tcW w:w="1872" w:type="dxa"/>
            <w:tcMar>
              <w:top w:w="90" w:type="dxa"/>
              <w:left w:w="130" w:type="dxa"/>
              <w:bottom w:w="90" w:type="dxa"/>
              <w:right w:w="130" w:type="dxa"/>
            </w:tcMar>
            <w:vAlign w:val="center"/>
          </w:tcPr>
          <w:p w14:paraId="05B6652B" w14:textId="77777777" w:rsidR="00402B54" w:rsidRDefault="00000000">
            <w:r>
              <w:rPr>
                <w:b/>
                <w:sz w:val="18"/>
              </w:rPr>
              <w:t>TOTAL</w:t>
            </w:r>
          </w:p>
        </w:tc>
        <w:tc>
          <w:tcPr>
            <w:tcW w:w="2496" w:type="dxa"/>
            <w:tcMar>
              <w:top w:w="90" w:type="dxa"/>
              <w:left w:w="130" w:type="dxa"/>
              <w:bottom w:w="90" w:type="dxa"/>
              <w:right w:w="130" w:type="dxa"/>
            </w:tcMar>
            <w:vAlign w:val="center"/>
          </w:tcPr>
          <w:p w14:paraId="4153E695" w14:textId="77777777" w:rsidR="00402B54" w:rsidRDefault="00000000">
            <w:r>
              <w:rPr>
                <w:b/>
                <w:sz w:val="18"/>
              </w:rPr>
              <w:t>$3,633</w:t>
            </w:r>
          </w:p>
        </w:tc>
        <w:tc>
          <w:tcPr>
            <w:tcW w:w="1872" w:type="dxa"/>
            <w:tcMar>
              <w:top w:w="90" w:type="dxa"/>
              <w:left w:w="130" w:type="dxa"/>
              <w:bottom w:w="90" w:type="dxa"/>
              <w:right w:w="130" w:type="dxa"/>
            </w:tcMar>
            <w:vAlign w:val="center"/>
          </w:tcPr>
          <w:p w14:paraId="4AC1B24D" w14:textId="77777777" w:rsidR="00402B54" w:rsidRDefault="00000000">
            <w:r>
              <w:rPr>
                <w:b/>
                <w:sz w:val="18"/>
              </w:rPr>
              <w:t>3.63%</w:t>
            </w:r>
          </w:p>
        </w:tc>
        <w:tc>
          <w:tcPr>
            <w:tcW w:w="3120" w:type="dxa"/>
            <w:tcMar>
              <w:top w:w="90" w:type="dxa"/>
              <w:left w:w="130" w:type="dxa"/>
              <w:bottom w:w="90" w:type="dxa"/>
              <w:right w:w="130" w:type="dxa"/>
            </w:tcMar>
            <w:vAlign w:val="center"/>
          </w:tcPr>
          <w:p w14:paraId="03E21B74" w14:textId="77777777" w:rsidR="00402B54" w:rsidRDefault="00000000">
            <w:r>
              <w:rPr>
                <w:b/>
                <w:color w:val="008000"/>
                <w:sz w:val="18"/>
              </w:rPr>
              <w:t>PASS</w:t>
            </w:r>
          </w:p>
        </w:tc>
      </w:tr>
    </w:tbl>
    <w:p w14:paraId="0AC33D4A" w14:textId="77777777" w:rsidR="00DA3680" w:rsidRDefault="00DA3680" w:rsidP="00DA3680">
      <w:pPr>
        <w:keepNext/>
        <w:spacing w:before="160" w:after="80"/>
        <w:jc w:val="center"/>
      </w:pPr>
    </w:p>
    <w:p w14:paraId="7F130590" w14:textId="77777777" w:rsidR="00DA3680" w:rsidRDefault="00000000" w:rsidP="00DA3680">
      <w:pPr>
        <w:keepNext/>
        <w:spacing w:before="160" w:after="80"/>
        <w:jc w:val="center"/>
      </w:pPr>
      <w:r>
        <w:rPr>
          <w:noProof/>
        </w:rPr>
        <w:drawing>
          <wp:inline distT="0" distB="0" distL="0" distR="0" wp14:anchorId="3D97666E" wp14:editId="74416C90">
            <wp:extent cx="5029200" cy="1043188"/>
            <wp:effectExtent l="0" t="0" r="0" b="0"/>
            <wp:docPr id="1569782029" name="Picture 156978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heat_363.png"/>
                    <pic:cNvPicPr/>
                  </pic:nvPicPr>
                  <pic:blipFill>
                    <a:blip r:embed="rId15"/>
                    <a:stretch>
                      <a:fillRect/>
                    </a:stretch>
                  </pic:blipFill>
                  <pic:spPr>
                    <a:xfrm>
                      <a:off x="0" y="0"/>
                      <a:ext cx="5029200" cy="1043188"/>
                    </a:xfrm>
                    <a:prstGeom prst="rect">
                      <a:avLst/>
                    </a:prstGeom>
                  </pic:spPr>
                </pic:pic>
              </a:graphicData>
            </a:graphic>
          </wp:inline>
        </w:drawing>
      </w:r>
    </w:p>
    <w:p w14:paraId="17C962AC" w14:textId="77777777" w:rsidR="00AB4906" w:rsidRDefault="00DA3680" w:rsidP="00DA3680">
      <w:pPr>
        <w:pStyle w:val="Caption"/>
        <w:jc w:val="center"/>
      </w:pPr>
      <w:r>
        <w:t>Figure 10: Total Portfolio Heat (3.63%) against the 8% gatekeeper ceiling.</w:t>
      </w:r>
    </w:p>
    <w:p w14:paraId="23DB0F9E" w14:textId="77777777" w:rsidR="00AB4906" w:rsidRDefault="00000000">
      <w:pPr>
        <w:spacing w:after="200" w:line="360" w:lineRule="auto"/>
        <w:jc w:val="both"/>
      </w:pPr>
      <w:r>
        <w:rPr>
          <w:b/>
        </w:rPr>
        <w:lastRenderedPageBreak/>
        <w:t>VERDICT: PASSED.</w:t>
      </w:r>
      <w:r>
        <w:t xml:space="preserve"> Execution-level Total Portfolio Heat = $3,633 (3.63%), with a margin of 4.37 percentage points below the 8% ceiling. This means that even if all four stop-losses triggered simultaneously, the combined portfolio loss would remain safely below the institutional gatekeeper limit and below the theoretical 4% cap implied by four positions each limited to a maximum 1% risk.</w:t>
      </w:r>
    </w:p>
    <w:p w14:paraId="25F2DD8B" w14:textId="77777777" w:rsidR="00AB4906" w:rsidRDefault="00000000">
      <w:pPr>
        <w:pStyle w:val="Heading2"/>
      </w:pPr>
      <w:bookmarkStart w:id="12" w:name="_Toc233032914"/>
      <w:r>
        <w:t>6.3 Robustness Check: 3-Year Lookback Window</w:t>
      </w:r>
      <w:bookmarkEnd w:id="12"/>
    </w:p>
    <w:p w14:paraId="7129D95C" w14:textId="77777777" w:rsidR="00AB4906" w:rsidRDefault="00000000">
      <w:pPr>
        <w:spacing w:after="200" w:line="360" w:lineRule="auto"/>
        <w:jc w:val="both"/>
      </w:pPr>
      <w:r>
        <w:t>Both gatekeeper calculations were repeated using a shorter 3-year lookback window (22 June 2023 – 22 June 2026), as a robustness check, consistent with the chronological validation discipline used throughout Project 3.</w:t>
      </w:r>
    </w:p>
    <w:p w14:paraId="6D84A3A4" w14:textId="77777777" w:rsidR="00DA3680" w:rsidRDefault="00DA3680" w:rsidP="00DA3680">
      <w:pPr>
        <w:pStyle w:val="Caption"/>
        <w:keepNext/>
        <w:jc w:val="center"/>
      </w:pPr>
      <w:r>
        <w:t>Figure 11: Beta classification, 6-year vs. 3-year lookback windows. AstraZeneca and GSK invert classification entirely depending on window length.</w:t>
      </w:r>
    </w:p>
    <w:tbl>
      <w:tblPr>
        <w:tblW w:w="9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733"/>
        <w:gridCol w:w="1733"/>
        <w:gridCol w:w="1733"/>
        <w:gridCol w:w="1733"/>
      </w:tblGrid>
      <w:tr w:rsidR="00AB4906" w14:paraId="44D7A797" w14:textId="77777777">
        <w:tc>
          <w:tcPr>
            <w:tcW w:w="2080" w:type="dxa"/>
            <w:shd w:val="clear" w:color="auto" w:fill="1F3864"/>
            <w:tcMar>
              <w:top w:w="90" w:type="dxa"/>
              <w:left w:w="130" w:type="dxa"/>
              <w:bottom w:w="90" w:type="dxa"/>
              <w:right w:w="130" w:type="dxa"/>
            </w:tcMar>
            <w:vAlign w:val="center"/>
          </w:tcPr>
          <w:p w14:paraId="1486C923" w14:textId="77777777" w:rsidR="00AB4906" w:rsidRDefault="00000000">
            <w:r>
              <w:rPr>
                <w:b/>
                <w:bCs/>
                <w:color w:val="FFFFFF"/>
                <w:sz w:val="20"/>
                <w:szCs w:val="20"/>
              </w:rPr>
              <w:t>Window</w:t>
            </w:r>
          </w:p>
        </w:tc>
        <w:tc>
          <w:tcPr>
            <w:tcW w:w="1733" w:type="dxa"/>
            <w:shd w:val="clear" w:color="auto" w:fill="1F3864"/>
            <w:tcMar>
              <w:top w:w="90" w:type="dxa"/>
              <w:left w:w="130" w:type="dxa"/>
              <w:bottom w:w="90" w:type="dxa"/>
              <w:right w:w="130" w:type="dxa"/>
            </w:tcMar>
            <w:vAlign w:val="center"/>
          </w:tcPr>
          <w:p w14:paraId="11DEEF40" w14:textId="77777777" w:rsidR="00AB4906" w:rsidRDefault="00000000">
            <w:r>
              <w:rPr>
                <w:b/>
                <w:bCs/>
                <w:color w:val="FFFFFF"/>
                <w:sz w:val="20"/>
                <w:szCs w:val="20"/>
              </w:rPr>
              <w:t>AZN.L β</w:t>
            </w:r>
          </w:p>
        </w:tc>
        <w:tc>
          <w:tcPr>
            <w:tcW w:w="1733" w:type="dxa"/>
            <w:shd w:val="clear" w:color="auto" w:fill="1F3864"/>
            <w:tcMar>
              <w:top w:w="90" w:type="dxa"/>
              <w:left w:w="130" w:type="dxa"/>
              <w:bottom w:w="90" w:type="dxa"/>
              <w:right w:w="130" w:type="dxa"/>
            </w:tcMar>
            <w:vAlign w:val="center"/>
          </w:tcPr>
          <w:p w14:paraId="308D322F" w14:textId="77777777" w:rsidR="00AB4906" w:rsidRDefault="00000000">
            <w:r>
              <w:rPr>
                <w:b/>
                <w:bCs/>
                <w:color w:val="FFFFFF"/>
                <w:sz w:val="20"/>
                <w:szCs w:val="20"/>
              </w:rPr>
              <w:t>GSK.L β</w:t>
            </w:r>
          </w:p>
        </w:tc>
        <w:tc>
          <w:tcPr>
            <w:tcW w:w="1733" w:type="dxa"/>
            <w:shd w:val="clear" w:color="auto" w:fill="1F3864"/>
            <w:tcMar>
              <w:top w:w="90" w:type="dxa"/>
              <w:left w:w="130" w:type="dxa"/>
              <w:bottom w:w="90" w:type="dxa"/>
              <w:right w:w="130" w:type="dxa"/>
            </w:tcMar>
            <w:vAlign w:val="center"/>
          </w:tcPr>
          <w:p w14:paraId="33CAF6F0" w14:textId="77777777" w:rsidR="00AB4906" w:rsidRDefault="00000000">
            <w:r>
              <w:rPr>
                <w:b/>
                <w:bCs/>
                <w:color w:val="FFFFFF"/>
                <w:sz w:val="20"/>
                <w:szCs w:val="20"/>
              </w:rPr>
              <w:t>SHEL.L β</w:t>
            </w:r>
          </w:p>
        </w:tc>
        <w:tc>
          <w:tcPr>
            <w:tcW w:w="1733" w:type="dxa"/>
            <w:shd w:val="clear" w:color="auto" w:fill="1F3864"/>
            <w:tcMar>
              <w:top w:w="90" w:type="dxa"/>
              <w:left w:w="130" w:type="dxa"/>
              <w:bottom w:w="90" w:type="dxa"/>
              <w:right w:w="130" w:type="dxa"/>
            </w:tcMar>
            <w:vAlign w:val="center"/>
          </w:tcPr>
          <w:p w14:paraId="0C702211" w14:textId="77777777" w:rsidR="00AB4906" w:rsidRDefault="00000000">
            <w:r>
              <w:rPr>
                <w:b/>
                <w:bCs/>
                <w:color w:val="FFFFFF"/>
                <w:sz w:val="20"/>
                <w:szCs w:val="20"/>
              </w:rPr>
              <w:t>AUTO.L β</w:t>
            </w:r>
          </w:p>
        </w:tc>
      </w:tr>
      <w:tr w:rsidR="00AB4906" w14:paraId="66923627" w14:textId="77777777">
        <w:trPr>
          <w:cantSplit/>
        </w:trPr>
        <w:tc>
          <w:tcPr>
            <w:tcW w:w="2080" w:type="dxa"/>
            <w:tcMar>
              <w:top w:w="90" w:type="dxa"/>
              <w:left w:w="130" w:type="dxa"/>
              <w:bottom w:w="90" w:type="dxa"/>
              <w:right w:w="130" w:type="dxa"/>
            </w:tcMar>
            <w:vAlign w:val="center"/>
          </w:tcPr>
          <w:p w14:paraId="2045154A" w14:textId="77777777" w:rsidR="00AB4906" w:rsidRDefault="00000000">
            <w:r>
              <w:rPr>
                <w:sz w:val="20"/>
                <w:szCs w:val="20"/>
              </w:rPr>
              <w:t>6-year (primary)</w:t>
            </w:r>
          </w:p>
        </w:tc>
        <w:tc>
          <w:tcPr>
            <w:tcW w:w="1733" w:type="dxa"/>
            <w:tcMar>
              <w:top w:w="90" w:type="dxa"/>
              <w:left w:w="130" w:type="dxa"/>
              <w:bottom w:w="90" w:type="dxa"/>
              <w:right w:w="130" w:type="dxa"/>
            </w:tcMar>
            <w:vAlign w:val="center"/>
          </w:tcPr>
          <w:p w14:paraId="154E6BA9" w14:textId="77777777" w:rsidR="00AB4906" w:rsidRDefault="00000000">
            <w:r>
              <w:rPr>
                <w:sz w:val="20"/>
                <w:szCs w:val="20"/>
              </w:rPr>
              <w:t>0.901 (Defensive)</w:t>
            </w:r>
          </w:p>
        </w:tc>
        <w:tc>
          <w:tcPr>
            <w:tcW w:w="1733" w:type="dxa"/>
            <w:tcMar>
              <w:top w:w="90" w:type="dxa"/>
              <w:left w:w="130" w:type="dxa"/>
              <w:bottom w:w="90" w:type="dxa"/>
              <w:right w:w="130" w:type="dxa"/>
            </w:tcMar>
            <w:vAlign w:val="center"/>
          </w:tcPr>
          <w:p w14:paraId="7C84F993" w14:textId="77777777" w:rsidR="00AB4906" w:rsidRDefault="00000000">
            <w:r>
              <w:rPr>
                <w:sz w:val="20"/>
                <w:szCs w:val="20"/>
              </w:rPr>
              <w:t>0.834 (Defensive)</w:t>
            </w:r>
          </w:p>
        </w:tc>
        <w:tc>
          <w:tcPr>
            <w:tcW w:w="1733" w:type="dxa"/>
            <w:tcMar>
              <w:top w:w="90" w:type="dxa"/>
              <w:left w:w="130" w:type="dxa"/>
              <w:bottom w:w="90" w:type="dxa"/>
              <w:right w:w="130" w:type="dxa"/>
            </w:tcMar>
            <w:vAlign w:val="center"/>
          </w:tcPr>
          <w:p w14:paraId="14676BAD" w14:textId="77777777" w:rsidR="00AB4906" w:rsidRDefault="00000000">
            <w:r>
              <w:rPr>
                <w:color w:val="C0392B"/>
                <w:sz w:val="20"/>
                <w:szCs w:val="20"/>
              </w:rPr>
              <w:t>1.118 (Aggressive)</w:t>
            </w:r>
          </w:p>
        </w:tc>
        <w:tc>
          <w:tcPr>
            <w:tcW w:w="1733" w:type="dxa"/>
            <w:tcMar>
              <w:top w:w="90" w:type="dxa"/>
              <w:left w:w="130" w:type="dxa"/>
              <w:bottom w:w="90" w:type="dxa"/>
              <w:right w:w="130" w:type="dxa"/>
            </w:tcMar>
            <w:vAlign w:val="center"/>
          </w:tcPr>
          <w:p w14:paraId="5E9A7548" w14:textId="77777777" w:rsidR="00AB4906" w:rsidRDefault="00000000">
            <w:r>
              <w:rPr>
                <w:sz w:val="20"/>
                <w:szCs w:val="20"/>
              </w:rPr>
              <w:t>0.687 (Defensive)</w:t>
            </w:r>
          </w:p>
        </w:tc>
      </w:tr>
      <w:tr w:rsidR="00AB4906" w14:paraId="62792268" w14:textId="77777777">
        <w:trPr>
          <w:cantSplit/>
        </w:trPr>
        <w:tc>
          <w:tcPr>
            <w:tcW w:w="2080" w:type="dxa"/>
            <w:shd w:val="clear" w:color="auto" w:fill="EEF3FA"/>
            <w:tcMar>
              <w:top w:w="90" w:type="dxa"/>
              <w:left w:w="130" w:type="dxa"/>
              <w:bottom w:w="90" w:type="dxa"/>
              <w:right w:w="130" w:type="dxa"/>
            </w:tcMar>
            <w:vAlign w:val="center"/>
          </w:tcPr>
          <w:p w14:paraId="12345EB2" w14:textId="77777777" w:rsidR="00AB4906" w:rsidRDefault="00000000">
            <w:r>
              <w:rPr>
                <w:sz w:val="20"/>
                <w:szCs w:val="20"/>
              </w:rPr>
              <w:t>3-year (check)</w:t>
            </w:r>
          </w:p>
        </w:tc>
        <w:tc>
          <w:tcPr>
            <w:tcW w:w="1733" w:type="dxa"/>
            <w:shd w:val="clear" w:color="auto" w:fill="EEF3FA"/>
            <w:tcMar>
              <w:top w:w="90" w:type="dxa"/>
              <w:left w:w="130" w:type="dxa"/>
              <w:bottom w:w="90" w:type="dxa"/>
              <w:right w:w="130" w:type="dxa"/>
            </w:tcMar>
            <w:vAlign w:val="center"/>
          </w:tcPr>
          <w:p w14:paraId="7E21950C" w14:textId="77777777" w:rsidR="00AB4906" w:rsidRDefault="00000000">
            <w:r>
              <w:rPr>
                <w:color w:val="C0392B"/>
                <w:sz w:val="20"/>
                <w:szCs w:val="20"/>
              </w:rPr>
              <w:t>1.193 (Aggressive)</w:t>
            </w:r>
          </w:p>
        </w:tc>
        <w:tc>
          <w:tcPr>
            <w:tcW w:w="1733" w:type="dxa"/>
            <w:shd w:val="clear" w:color="auto" w:fill="EEF3FA"/>
            <w:tcMar>
              <w:top w:w="90" w:type="dxa"/>
              <w:left w:w="130" w:type="dxa"/>
              <w:bottom w:w="90" w:type="dxa"/>
              <w:right w:w="130" w:type="dxa"/>
            </w:tcMar>
            <w:vAlign w:val="center"/>
          </w:tcPr>
          <w:p w14:paraId="695FEB03" w14:textId="77777777" w:rsidR="00AB4906" w:rsidRDefault="00000000">
            <w:r>
              <w:rPr>
                <w:color w:val="C0392B"/>
                <w:sz w:val="20"/>
                <w:szCs w:val="20"/>
              </w:rPr>
              <w:t>1.027 (Aggressive)</w:t>
            </w:r>
          </w:p>
        </w:tc>
        <w:tc>
          <w:tcPr>
            <w:tcW w:w="1733" w:type="dxa"/>
            <w:shd w:val="clear" w:color="auto" w:fill="EEF3FA"/>
            <w:tcMar>
              <w:top w:w="90" w:type="dxa"/>
              <w:left w:w="130" w:type="dxa"/>
              <w:bottom w:w="90" w:type="dxa"/>
              <w:right w:w="130" w:type="dxa"/>
            </w:tcMar>
            <w:vAlign w:val="center"/>
          </w:tcPr>
          <w:p w14:paraId="1FC7C375" w14:textId="77777777" w:rsidR="00AB4906" w:rsidRDefault="00000000">
            <w:r>
              <w:rPr>
                <w:sz w:val="20"/>
                <w:szCs w:val="20"/>
              </w:rPr>
              <w:t>0.731 (Defensive)</w:t>
            </w:r>
          </w:p>
        </w:tc>
        <w:tc>
          <w:tcPr>
            <w:tcW w:w="1733" w:type="dxa"/>
            <w:shd w:val="clear" w:color="auto" w:fill="EEF3FA"/>
            <w:tcMar>
              <w:top w:w="90" w:type="dxa"/>
              <w:left w:w="130" w:type="dxa"/>
              <w:bottom w:w="90" w:type="dxa"/>
              <w:right w:w="130" w:type="dxa"/>
            </w:tcMar>
            <w:vAlign w:val="center"/>
          </w:tcPr>
          <w:p w14:paraId="4DA23286" w14:textId="77777777" w:rsidR="00AB4906" w:rsidRDefault="00000000">
            <w:r>
              <w:rPr>
                <w:sz w:val="20"/>
                <w:szCs w:val="20"/>
              </w:rPr>
              <w:t>0.671 (Defensive)</w:t>
            </w:r>
          </w:p>
        </w:tc>
      </w:tr>
    </w:tbl>
    <w:p w14:paraId="5C29E6EA" w14:textId="77777777" w:rsidR="00AB4906" w:rsidRDefault="00AB4906" w:rsidP="00DA3680">
      <w:pPr>
        <w:spacing w:before="80" w:after="280"/>
        <w:jc w:val="center"/>
      </w:pPr>
    </w:p>
    <w:p w14:paraId="4E8C97DE" w14:textId="77777777" w:rsidR="00DA3680" w:rsidRDefault="00DA3680" w:rsidP="00DA3680">
      <w:pPr>
        <w:pStyle w:val="Caption"/>
        <w:keepNext/>
        <w:jc w:val="center"/>
      </w:pPr>
      <w:r>
        <w:t>Figure 12: Gatekeeper and Sharpe Ratio results, 6-year vs. 3-year lookback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B4906" w14:paraId="1374FD98" w14:textId="77777777">
        <w:tc>
          <w:tcPr>
            <w:tcW w:w="2340" w:type="dxa"/>
            <w:shd w:val="clear" w:color="auto" w:fill="1F3864"/>
            <w:tcMar>
              <w:top w:w="90" w:type="dxa"/>
              <w:left w:w="130" w:type="dxa"/>
              <w:bottom w:w="90" w:type="dxa"/>
              <w:right w:w="130" w:type="dxa"/>
            </w:tcMar>
            <w:vAlign w:val="center"/>
          </w:tcPr>
          <w:p w14:paraId="02AAF8F8" w14:textId="77777777" w:rsidR="00AB4906" w:rsidRDefault="00000000">
            <w:r>
              <w:rPr>
                <w:b/>
                <w:bCs/>
                <w:color w:val="FFFFFF"/>
                <w:sz w:val="20"/>
                <w:szCs w:val="20"/>
              </w:rPr>
              <w:t>Window</w:t>
            </w:r>
          </w:p>
        </w:tc>
        <w:tc>
          <w:tcPr>
            <w:tcW w:w="2340" w:type="dxa"/>
            <w:shd w:val="clear" w:color="auto" w:fill="1F3864"/>
            <w:tcMar>
              <w:top w:w="90" w:type="dxa"/>
              <w:left w:w="130" w:type="dxa"/>
              <w:bottom w:w="90" w:type="dxa"/>
              <w:right w:w="130" w:type="dxa"/>
            </w:tcMar>
            <w:vAlign w:val="center"/>
          </w:tcPr>
          <w:p w14:paraId="741DE2FC" w14:textId="77777777" w:rsidR="00AB4906" w:rsidRDefault="00000000">
            <w:r>
              <w:rPr>
                <w:b/>
                <w:bCs/>
                <w:color w:val="FFFFFF"/>
                <w:sz w:val="20"/>
                <w:szCs w:val="20"/>
              </w:rPr>
              <w:t>Portfolio Beta</w:t>
            </w:r>
          </w:p>
        </w:tc>
        <w:tc>
          <w:tcPr>
            <w:tcW w:w="2340" w:type="dxa"/>
            <w:shd w:val="clear" w:color="auto" w:fill="1F3864"/>
            <w:tcMar>
              <w:top w:w="90" w:type="dxa"/>
              <w:left w:w="130" w:type="dxa"/>
              <w:bottom w:w="90" w:type="dxa"/>
              <w:right w:w="130" w:type="dxa"/>
            </w:tcMar>
            <w:vAlign w:val="center"/>
          </w:tcPr>
          <w:p w14:paraId="3999D3C9" w14:textId="77777777" w:rsidR="00AB4906" w:rsidRDefault="00000000">
            <w:r>
              <w:rPr>
                <w:b/>
                <w:bCs/>
                <w:color w:val="FFFFFF"/>
                <w:sz w:val="20"/>
                <w:szCs w:val="20"/>
              </w:rPr>
              <w:t>Portfolio Heat</w:t>
            </w:r>
          </w:p>
        </w:tc>
        <w:tc>
          <w:tcPr>
            <w:tcW w:w="2340" w:type="dxa"/>
            <w:shd w:val="clear" w:color="auto" w:fill="1F3864"/>
            <w:tcMar>
              <w:top w:w="90" w:type="dxa"/>
              <w:left w:w="130" w:type="dxa"/>
              <w:bottom w:w="90" w:type="dxa"/>
              <w:right w:w="130" w:type="dxa"/>
            </w:tcMar>
            <w:vAlign w:val="center"/>
          </w:tcPr>
          <w:p w14:paraId="5D5EA88C" w14:textId="77777777" w:rsidR="00AB4906" w:rsidRDefault="00000000">
            <w:r>
              <w:rPr>
                <w:b/>
                <w:bCs/>
                <w:color w:val="FFFFFF"/>
                <w:sz w:val="20"/>
                <w:szCs w:val="20"/>
              </w:rPr>
              <w:t>Sharpe Ratio</w:t>
            </w:r>
          </w:p>
        </w:tc>
      </w:tr>
      <w:tr w:rsidR="00AB4906" w14:paraId="4EA676A5" w14:textId="77777777">
        <w:trPr>
          <w:cantSplit/>
        </w:trPr>
        <w:tc>
          <w:tcPr>
            <w:tcW w:w="2340" w:type="dxa"/>
            <w:tcMar>
              <w:top w:w="90" w:type="dxa"/>
              <w:left w:w="130" w:type="dxa"/>
              <w:bottom w:w="90" w:type="dxa"/>
              <w:right w:w="130" w:type="dxa"/>
            </w:tcMar>
            <w:vAlign w:val="center"/>
          </w:tcPr>
          <w:p w14:paraId="0A3177EE" w14:textId="77777777" w:rsidR="00AB4906" w:rsidRDefault="00000000">
            <w:r>
              <w:rPr>
                <w:sz w:val="20"/>
                <w:szCs w:val="20"/>
              </w:rPr>
              <w:t>6-year (primary)</w:t>
            </w:r>
          </w:p>
        </w:tc>
        <w:tc>
          <w:tcPr>
            <w:tcW w:w="2340" w:type="dxa"/>
            <w:tcMar>
              <w:top w:w="90" w:type="dxa"/>
              <w:left w:w="130" w:type="dxa"/>
              <w:bottom w:w="90" w:type="dxa"/>
              <w:right w:w="130" w:type="dxa"/>
            </w:tcMar>
            <w:vAlign w:val="center"/>
          </w:tcPr>
          <w:p w14:paraId="26D2926B" w14:textId="77777777" w:rsidR="00402B54" w:rsidRDefault="00000000">
            <w:r>
              <w:rPr>
                <w:color w:val="008000"/>
                <w:sz w:val="18"/>
              </w:rPr>
              <w:t>0.859 (PASS)</w:t>
            </w:r>
          </w:p>
        </w:tc>
        <w:tc>
          <w:tcPr>
            <w:tcW w:w="2340" w:type="dxa"/>
            <w:tcMar>
              <w:top w:w="90" w:type="dxa"/>
              <w:left w:w="130" w:type="dxa"/>
              <w:bottom w:w="90" w:type="dxa"/>
              <w:right w:w="130" w:type="dxa"/>
            </w:tcMar>
            <w:vAlign w:val="center"/>
          </w:tcPr>
          <w:p w14:paraId="7747EC1C" w14:textId="77777777" w:rsidR="00402B54" w:rsidRDefault="00000000">
            <w:r>
              <w:rPr>
                <w:color w:val="008000"/>
                <w:sz w:val="18"/>
              </w:rPr>
              <w:t>3.63% (PASS)</w:t>
            </w:r>
          </w:p>
        </w:tc>
        <w:tc>
          <w:tcPr>
            <w:tcW w:w="2340" w:type="dxa"/>
            <w:tcMar>
              <w:top w:w="90" w:type="dxa"/>
              <w:left w:w="130" w:type="dxa"/>
              <w:bottom w:w="90" w:type="dxa"/>
              <w:right w:w="130" w:type="dxa"/>
            </w:tcMar>
            <w:vAlign w:val="center"/>
          </w:tcPr>
          <w:p w14:paraId="1D39D4D3" w14:textId="77777777" w:rsidR="00AB4906" w:rsidRDefault="00000000">
            <w:r>
              <w:rPr>
                <w:color w:val="C0392B"/>
                <w:sz w:val="20"/>
                <w:szCs w:val="20"/>
              </w:rPr>
              <w:t>0.007</w:t>
            </w:r>
          </w:p>
        </w:tc>
      </w:tr>
      <w:tr w:rsidR="00AB4906" w14:paraId="7D655B06" w14:textId="77777777">
        <w:trPr>
          <w:cantSplit/>
        </w:trPr>
        <w:tc>
          <w:tcPr>
            <w:tcW w:w="2340" w:type="dxa"/>
            <w:shd w:val="clear" w:color="auto" w:fill="EEF3FA"/>
            <w:tcMar>
              <w:top w:w="90" w:type="dxa"/>
              <w:left w:w="130" w:type="dxa"/>
              <w:bottom w:w="90" w:type="dxa"/>
              <w:right w:w="130" w:type="dxa"/>
            </w:tcMar>
            <w:vAlign w:val="center"/>
          </w:tcPr>
          <w:p w14:paraId="63228988" w14:textId="77777777" w:rsidR="00AB4906" w:rsidRDefault="00000000">
            <w:r>
              <w:rPr>
                <w:sz w:val="20"/>
                <w:szCs w:val="20"/>
              </w:rPr>
              <w:t>3-year (check)</w:t>
            </w:r>
          </w:p>
        </w:tc>
        <w:tc>
          <w:tcPr>
            <w:tcW w:w="2340" w:type="dxa"/>
            <w:shd w:val="clear" w:color="auto" w:fill="EEF3FA"/>
            <w:tcMar>
              <w:top w:w="90" w:type="dxa"/>
              <w:left w:w="130" w:type="dxa"/>
              <w:bottom w:w="90" w:type="dxa"/>
              <w:right w:w="130" w:type="dxa"/>
            </w:tcMar>
            <w:vAlign w:val="center"/>
          </w:tcPr>
          <w:p w14:paraId="3F030E55" w14:textId="77777777" w:rsidR="00402B54" w:rsidRDefault="00000000">
            <w:r>
              <w:rPr>
                <w:color w:val="008000"/>
                <w:sz w:val="18"/>
              </w:rPr>
              <w:t>0.857 (PASS)</w:t>
            </w:r>
          </w:p>
        </w:tc>
        <w:tc>
          <w:tcPr>
            <w:tcW w:w="2340" w:type="dxa"/>
            <w:shd w:val="clear" w:color="auto" w:fill="EEF3FA"/>
            <w:tcMar>
              <w:top w:w="90" w:type="dxa"/>
              <w:left w:w="130" w:type="dxa"/>
              <w:bottom w:w="90" w:type="dxa"/>
              <w:right w:w="130" w:type="dxa"/>
            </w:tcMar>
            <w:vAlign w:val="center"/>
          </w:tcPr>
          <w:p w14:paraId="7349AA3E" w14:textId="77777777" w:rsidR="00402B54" w:rsidRDefault="00000000">
            <w:r>
              <w:rPr>
                <w:color w:val="008000"/>
                <w:sz w:val="18"/>
              </w:rPr>
              <w:t>3.59% (PASS)</w:t>
            </w:r>
          </w:p>
        </w:tc>
        <w:tc>
          <w:tcPr>
            <w:tcW w:w="2340" w:type="dxa"/>
            <w:shd w:val="clear" w:color="auto" w:fill="EEF3FA"/>
            <w:tcMar>
              <w:top w:w="90" w:type="dxa"/>
              <w:left w:w="130" w:type="dxa"/>
              <w:bottom w:w="90" w:type="dxa"/>
              <w:right w:w="130" w:type="dxa"/>
            </w:tcMar>
            <w:vAlign w:val="center"/>
          </w:tcPr>
          <w:p w14:paraId="6C1504C8" w14:textId="77777777" w:rsidR="00AB4906" w:rsidRDefault="00000000">
            <w:r>
              <w:rPr>
                <w:b/>
                <w:bCs/>
                <w:color w:val="C0392B"/>
                <w:sz w:val="20"/>
                <w:szCs w:val="20"/>
              </w:rPr>
              <w:t>−0.084</w:t>
            </w:r>
          </w:p>
        </w:tc>
      </w:tr>
    </w:tbl>
    <w:p w14:paraId="3461E473" w14:textId="77777777" w:rsidR="00AB4906" w:rsidRDefault="00AB4906">
      <w:pPr>
        <w:spacing w:before="80" w:after="280"/>
        <w:jc w:val="center"/>
      </w:pPr>
    </w:p>
    <w:p w14:paraId="2A85DF94" w14:textId="77777777" w:rsidR="00DA3680" w:rsidRDefault="00000000">
      <w:pPr>
        <w:spacing w:after="200" w:line="360" w:lineRule="auto"/>
        <w:jc w:val="both"/>
      </w:pPr>
      <w:r>
        <w:t>Both gatekeeper constraints pass comfortably under either window. The inverse-Beta weighting procedure controls systematic exposure, while the fixed-fractional 1% position-sizing rule keeps execution-level heat below the 8% ceiling. The Sharpe Ratio, however, is not protected by either mechanism, and it worsens materially under the shorter window (from 0.007 to −0.084) — a directly relevant finding addressed in full in Section 7. The 6-year window was retained as this report’s primary basis specifically because of the Beta-instability finding in Figure 11: a shorter window is materially more sensitive to short-term regime noise for at least two of the four assets in this portfolio.</w:t>
      </w:r>
    </w:p>
    <w:p w14:paraId="6CDEF566" w14:textId="77777777" w:rsidR="00AB4906" w:rsidRDefault="00000000">
      <w:pPr>
        <w:pStyle w:val="Heading2"/>
      </w:pPr>
      <w:bookmarkStart w:id="13" w:name="_Toc233032915"/>
      <w:r>
        <w:t>6.4 Overall Gatekeeper Status</w:t>
      </w:r>
      <w:bookmarkEnd w:id="13"/>
    </w:p>
    <w:p w14:paraId="40793294" w14:textId="77777777" w:rsidR="00AB4906" w:rsidRDefault="00000000">
      <w:pPr>
        <w:spacing w:after="200" w:line="360" w:lineRule="auto"/>
        <w:jc w:val="both"/>
      </w:pPr>
      <w:r>
        <w:rPr>
          <w:b/>
          <w:bCs/>
        </w:rPr>
        <w:t xml:space="preserve">ALL GATEKEEPER CONSTRAINTS PASSED </w:t>
      </w:r>
      <w:r>
        <w:t>(6-year primary window; corroborated under the 3-year robustness check).</w:t>
      </w:r>
    </w:p>
    <w:p w14:paraId="04964098" w14:textId="77777777" w:rsidR="00AB4906" w:rsidRDefault="00000000">
      <w:pPr>
        <w:pStyle w:val="Heading1"/>
      </w:pPr>
      <w:bookmarkStart w:id="14" w:name="_Toc233032916"/>
      <w:r>
        <w:lastRenderedPageBreak/>
        <w:t>Section 7: Evaluating the Architecture — The Sharpe Ratio</w:t>
      </w:r>
      <w:bookmarkEnd w:id="14"/>
    </w:p>
    <w:p w14:paraId="1338BF1E" w14:textId="77777777" w:rsidR="00AB4906" w:rsidRDefault="00000000">
      <w:pPr>
        <w:spacing w:after="200" w:line="360" w:lineRule="auto"/>
        <w:jc w:val="both"/>
      </w:pPr>
      <w:r>
        <w:t>Passing the gatekeeper constraints in Section 6 confirms that the portfolio is safe — it does not confirm that the portfolio is good. The Sharpe Ratio evaluates risk-adjusted return: a nominal return cannot be judged in isolation, only relative to the volatility endured to achieve it.</w:t>
      </w:r>
    </w:p>
    <w:p w14:paraId="0308A8B6" w14:textId="77777777" w:rsidR="00AB4906" w:rsidRDefault="00000000">
      <w:pPr>
        <w:spacing w:before="120" w:after="200"/>
        <w:jc w:val="center"/>
      </w:pPr>
      <w:r>
        <w:rPr>
          <w:rFonts w:ascii="Cambria Math" w:eastAsia="Cambria Math" w:hAnsi="Cambria Math" w:cs="Cambria Math"/>
          <w:i/>
          <w:iCs/>
          <w:sz w:val="24"/>
          <w:szCs w:val="24"/>
        </w:rPr>
        <w:t xml:space="preserve">Sharpe Ratio = (Rₚ − </w:t>
      </w:r>
      <w:proofErr w:type="spellStart"/>
      <w:r>
        <w:rPr>
          <w:rFonts w:ascii="Cambria Math" w:eastAsia="Cambria Math" w:hAnsi="Cambria Math" w:cs="Cambria Math"/>
          <w:i/>
          <w:iCs/>
          <w:sz w:val="24"/>
          <w:szCs w:val="24"/>
        </w:rPr>
        <w:t>R_f</w:t>
      </w:r>
      <w:proofErr w:type="spellEnd"/>
      <w:r>
        <w:rPr>
          <w:rFonts w:ascii="Cambria Math" w:eastAsia="Cambria Math" w:hAnsi="Cambria Math" w:cs="Cambria Math"/>
          <w:i/>
          <w:iCs/>
          <w:sz w:val="24"/>
          <w:szCs w:val="24"/>
        </w:rPr>
        <w:t>) ÷ σₚ</w:t>
      </w:r>
    </w:p>
    <w:p w14:paraId="7E3CF42D" w14:textId="6B2C5D1B" w:rsidR="00DA3680" w:rsidRDefault="00DA3680" w:rsidP="00DA3680">
      <w:pPr>
        <w:pStyle w:val="Caption"/>
        <w:keepNext/>
        <w:jc w:val="center"/>
      </w:pPr>
      <w:r>
        <w:t xml:space="preserve">Table </w:t>
      </w:r>
      <w:fldSimple w:instr=" SEQ Table \* ARABIC ">
        <w:r w:rsidR="00EA1FB0">
          <w:rPr>
            <w:noProof/>
          </w:rPr>
          <w:t>5</w:t>
        </w:r>
      </w:fldSimple>
      <w:r>
        <w:t xml:space="preserve">: </w:t>
      </w:r>
      <w:r w:rsidRPr="007045FB">
        <w:t>Sharpe Ratio inputs and result, 6-year primary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4906" w14:paraId="1BFB6793" w14:textId="77777777">
        <w:tc>
          <w:tcPr>
            <w:tcW w:w="4680" w:type="dxa"/>
            <w:shd w:val="clear" w:color="auto" w:fill="1F3864"/>
            <w:tcMar>
              <w:top w:w="90" w:type="dxa"/>
              <w:left w:w="130" w:type="dxa"/>
              <w:bottom w:w="90" w:type="dxa"/>
              <w:right w:w="130" w:type="dxa"/>
            </w:tcMar>
            <w:vAlign w:val="center"/>
          </w:tcPr>
          <w:p w14:paraId="03706D0C" w14:textId="77777777" w:rsidR="00AB4906" w:rsidRDefault="00000000">
            <w:r>
              <w:rPr>
                <w:b/>
                <w:bCs/>
                <w:color w:val="FFFFFF"/>
                <w:sz w:val="20"/>
                <w:szCs w:val="20"/>
              </w:rPr>
              <w:t>Metric</w:t>
            </w:r>
          </w:p>
        </w:tc>
        <w:tc>
          <w:tcPr>
            <w:tcW w:w="4680" w:type="dxa"/>
            <w:shd w:val="clear" w:color="auto" w:fill="1F3864"/>
            <w:tcMar>
              <w:top w:w="90" w:type="dxa"/>
              <w:left w:w="130" w:type="dxa"/>
              <w:bottom w:w="90" w:type="dxa"/>
              <w:right w:w="130" w:type="dxa"/>
            </w:tcMar>
            <w:vAlign w:val="center"/>
          </w:tcPr>
          <w:p w14:paraId="0B1411CC" w14:textId="77777777" w:rsidR="00AB4906" w:rsidRDefault="00000000">
            <w:r>
              <w:rPr>
                <w:b/>
                <w:bCs/>
                <w:color w:val="FFFFFF"/>
                <w:sz w:val="20"/>
                <w:szCs w:val="20"/>
              </w:rPr>
              <w:t>Value</w:t>
            </w:r>
          </w:p>
        </w:tc>
      </w:tr>
      <w:tr w:rsidR="00AB4906" w14:paraId="686B9AB9" w14:textId="77777777">
        <w:trPr>
          <w:cantSplit/>
        </w:trPr>
        <w:tc>
          <w:tcPr>
            <w:tcW w:w="4680" w:type="dxa"/>
            <w:tcMar>
              <w:top w:w="90" w:type="dxa"/>
              <w:left w:w="130" w:type="dxa"/>
              <w:bottom w:w="90" w:type="dxa"/>
              <w:right w:w="130" w:type="dxa"/>
            </w:tcMar>
            <w:vAlign w:val="center"/>
          </w:tcPr>
          <w:p w14:paraId="16C1292E" w14:textId="77777777" w:rsidR="00AB4906" w:rsidRDefault="00000000">
            <w:r>
              <w:rPr>
                <w:sz w:val="20"/>
                <w:szCs w:val="20"/>
              </w:rPr>
              <w:t>Portfolio Expected Annual Return</w:t>
            </w:r>
          </w:p>
        </w:tc>
        <w:tc>
          <w:tcPr>
            <w:tcW w:w="4680" w:type="dxa"/>
            <w:tcMar>
              <w:top w:w="90" w:type="dxa"/>
              <w:left w:w="130" w:type="dxa"/>
              <w:bottom w:w="90" w:type="dxa"/>
              <w:right w:w="130" w:type="dxa"/>
            </w:tcMar>
            <w:vAlign w:val="center"/>
          </w:tcPr>
          <w:p w14:paraId="0B5574B9" w14:textId="77777777" w:rsidR="00AB4906" w:rsidRDefault="00000000">
            <w:r>
              <w:rPr>
                <w:b/>
                <w:bCs/>
                <w:sz w:val="20"/>
                <w:szCs w:val="20"/>
              </w:rPr>
              <w:t>4.50%</w:t>
            </w:r>
          </w:p>
        </w:tc>
      </w:tr>
      <w:tr w:rsidR="00AB4906" w14:paraId="177EC232" w14:textId="77777777">
        <w:trPr>
          <w:cantSplit/>
        </w:trPr>
        <w:tc>
          <w:tcPr>
            <w:tcW w:w="4680" w:type="dxa"/>
            <w:shd w:val="clear" w:color="auto" w:fill="EEF3FA"/>
            <w:tcMar>
              <w:top w:w="90" w:type="dxa"/>
              <w:left w:w="130" w:type="dxa"/>
              <w:bottom w:w="90" w:type="dxa"/>
              <w:right w:w="130" w:type="dxa"/>
            </w:tcMar>
            <w:vAlign w:val="center"/>
          </w:tcPr>
          <w:p w14:paraId="031B89EC" w14:textId="77777777" w:rsidR="00AB4906" w:rsidRDefault="00000000">
            <w:r>
              <w:rPr>
                <w:sz w:val="20"/>
                <w:szCs w:val="20"/>
              </w:rPr>
              <w:t>Portfolio Annualised Volatility</w:t>
            </w:r>
          </w:p>
        </w:tc>
        <w:tc>
          <w:tcPr>
            <w:tcW w:w="4680" w:type="dxa"/>
            <w:shd w:val="clear" w:color="auto" w:fill="EEF3FA"/>
            <w:tcMar>
              <w:top w:w="90" w:type="dxa"/>
              <w:left w:w="130" w:type="dxa"/>
              <w:bottom w:w="90" w:type="dxa"/>
              <w:right w:w="130" w:type="dxa"/>
            </w:tcMar>
            <w:vAlign w:val="center"/>
          </w:tcPr>
          <w:p w14:paraId="5286C6A0" w14:textId="77777777" w:rsidR="00AB4906" w:rsidRDefault="00000000">
            <w:r>
              <w:rPr>
                <w:b/>
                <w:bCs/>
                <w:sz w:val="20"/>
                <w:szCs w:val="20"/>
              </w:rPr>
              <w:t>14.87%</w:t>
            </w:r>
          </w:p>
        </w:tc>
      </w:tr>
      <w:tr w:rsidR="00AB4906" w14:paraId="0E1AEA8B" w14:textId="77777777">
        <w:trPr>
          <w:cantSplit/>
        </w:trPr>
        <w:tc>
          <w:tcPr>
            <w:tcW w:w="4680" w:type="dxa"/>
            <w:tcMar>
              <w:top w:w="90" w:type="dxa"/>
              <w:left w:w="130" w:type="dxa"/>
              <w:bottom w:w="90" w:type="dxa"/>
              <w:right w:w="130" w:type="dxa"/>
            </w:tcMar>
            <w:vAlign w:val="center"/>
          </w:tcPr>
          <w:p w14:paraId="74ECA904" w14:textId="77777777" w:rsidR="00AB4906" w:rsidRDefault="00000000">
            <w:r>
              <w:rPr>
                <w:sz w:val="20"/>
                <w:szCs w:val="20"/>
              </w:rPr>
              <w:t>Risk-Free Rate (UK proxy)</w:t>
            </w:r>
          </w:p>
        </w:tc>
        <w:tc>
          <w:tcPr>
            <w:tcW w:w="4680" w:type="dxa"/>
            <w:tcMar>
              <w:top w:w="90" w:type="dxa"/>
              <w:left w:w="130" w:type="dxa"/>
              <w:bottom w:w="90" w:type="dxa"/>
              <w:right w:w="130" w:type="dxa"/>
            </w:tcMar>
            <w:vAlign w:val="center"/>
          </w:tcPr>
          <w:p w14:paraId="361CE8C7" w14:textId="77777777" w:rsidR="00AB4906" w:rsidRDefault="00000000">
            <w:r>
              <w:rPr>
                <w:b/>
                <w:bCs/>
                <w:sz w:val="20"/>
                <w:szCs w:val="20"/>
              </w:rPr>
              <w:t>4.40%</w:t>
            </w:r>
          </w:p>
        </w:tc>
      </w:tr>
      <w:tr w:rsidR="00AB4906" w14:paraId="554C764F" w14:textId="77777777">
        <w:trPr>
          <w:cantSplit/>
        </w:trPr>
        <w:tc>
          <w:tcPr>
            <w:tcW w:w="4680" w:type="dxa"/>
            <w:shd w:val="clear" w:color="auto" w:fill="EEF3FA"/>
            <w:tcMar>
              <w:top w:w="90" w:type="dxa"/>
              <w:left w:w="130" w:type="dxa"/>
              <w:bottom w:w="90" w:type="dxa"/>
              <w:right w:w="130" w:type="dxa"/>
            </w:tcMar>
            <w:vAlign w:val="center"/>
          </w:tcPr>
          <w:p w14:paraId="39A49E94" w14:textId="77777777" w:rsidR="00AB4906" w:rsidRDefault="00000000">
            <w:r>
              <w:rPr>
                <w:b/>
                <w:bCs/>
                <w:sz w:val="20"/>
                <w:szCs w:val="20"/>
              </w:rPr>
              <w:t>Sharpe Ratio</w:t>
            </w:r>
          </w:p>
        </w:tc>
        <w:tc>
          <w:tcPr>
            <w:tcW w:w="4680" w:type="dxa"/>
            <w:shd w:val="clear" w:color="auto" w:fill="EEF3FA"/>
            <w:tcMar>
              <w:top w:w="90" w:type="dxa"/>
              <w:left w:w="130" w:type="dxa"/>
              <w:bottom w:w="90" w:type="dxa"/>
              <w:right w:w="130" w:type="dxa"/>
            </w:tcMar>
            <w:vAlign w:val="center"/>
          </w:tcPr>
          <w:p w14:paraId="7B646390" w14:textId="77777777" w:rsidR="00AB4906" w:rsidRDefault="00000000">
            <w:r>
              <w:rPr>
                <w:b/>
                <w:bCs/>
                <w:color w:val="C0392B"/>
                <w:sz w:val="20"/>
                <w:szCs w:val="20"/>
              </w:rPr>
              <w:t>0.007</w:t>
            </w:r>
          </w:p>
        </w:tc>
      </w:tr>
    </w:tbl>
    <w:p w14:paraId="71639D39" w14:textId="77777777" w:rsidR="00AB4906" w:rsidRDefault="00AB4906" w:rsidP="00DA3680">
      <w:pPr>
        <w:spacing w:before="80" w:after="280"/>
      </w:pPr>
    </w:p>
    <w:p w14:paraId="15937C76" w14:textId="77777777" w:rsidR="00AB4906" w:rsidRDefault="00000000">
      <w:pPr>
        <w:spacing w:after="200" w:line="360" w:lineRule="auto"/>
        <w:jc w:val="both"/>
      </w:pPr>
      <w:r>
        <w:t>A Sharpe Ratio of 0.007 is weak: the portfolio’s expected annual return (4.50%) is barely above the UK risk-free rate (4.40%, consistent with the rate used in Project 2’s CAPM/WACC model), despite the portfolio carrying approximately 14.87% annualised volatility. In plain terms, the portfolio takes on meaningful equity risk for almost no expected compensation above simply holding government gilts over this specific historical window.</w:t>
      </w:r>
    </w:p>
    <w:p w14:paraId="561A6BCB" w14:textId="77777777" w:rsidR="00AB4906" w:rsidRDefault="00000000">
      <w:pPr>
        <w:spacing w:after="200" w:line="360" w:lineRule="auto"/>
        <w:jc w:val="both"/>
      </w:pPr>
      <w:r>
        <w:t>The cause traces directly to one holding. Auto Trader Group (AUTO.L) — the asset with both the lowest Beta (0.687) and consequently the largest portfolio weight (31.23%) — produced a negative annualised historical return of approximately −1.56% over the 6-year window. This is consistent with Auto Trader’s share price having fallen sharply over the trailing year before a partial recovery, meaning the earlier portion of the 6-year window captured the stock near historically elevated levels. Shell, by contrast, delivered the strongest historical return in the portfolio (approximately 13.52% annualised) but was deliberately underweighted (19.20%) precisely because it carries the portfolio’s only above-market Beta (1.118).</w:t>
      </w:r>
    </w:p>
    <w:p w14:paraId="4EA63C09" w14:textId="77777777" w:rsidR="00AB4906" w:rsidRDefault="00000000">
      <w:pPr>
        <w:pStyle w:val="Heading2"/>
      </w:pPr>
      <w:bookmarkStart w:id="15" w:name="_Toc233032917"/>
      <w:r>
        <w:t>7.1 Key Finding: Beta-Defensiveness and Risk-Adjusted Return Are Not the Same Goal</w:t>
      </w:r>
      <w:bookmarkEnd w:id="15"/>
    </w:p>
    <w:p w14:paraId="5A5A17AF" w14:textId="77777777" w:rsidR="00AB4906" w:rsidRDefault="00000000">
      <w:pPr>
        <w:spacing w:after="200" w:line="360" w:lineRule="auto"/>
        <w:jc w:val="both"/>
      </w:pPr>
      <w:r>
        <w:t xml:space="preserve">This result exposes a genuine and instructive tension in the brief’s own framework: optimising purely for low portfolio Beta does not produce a good Sharpe Ratio, because Beta measures sensitivity to market moves, not expected return. A portfolio can be maximally “safe” by the brief’s own definition — passing both the Beta and Heat gatekeepers with comfortable margin — and still deliver a mediocre risk-adjusted outcome over a specific historical window. This portfolio correctly prioritises the brief’s stated objective (capital preservation and </w:t>
      </w:r>
      <w:r>
        <w:lastRenderedPageBreak/>
        <w:t>systemic risk control) at some real cost to historical risk-adjusted performance, and that trade-off is reported transparently here rather than concealed by selectively choosing a more flattering data window.</w:t>
      </w:r>
    </w:p>
    <w:p w14:paraId="4D4B7C6D" w14:textId="77777777" w:rsidR="00AB4906" w:rsidRDefault="00000000">
      <w:pPr>
        <w:spacing w:after="200" w:line="360" w:lineRule="auto"/>
        <w:jc w:val="both"/>
      </w:pPr>
      <w:r>
        <w:rPr>
          <w:i/>
          <w:iCs/>
        </w:rPr>
        <w:t>As shown in Section 6.3, the 3-year robustness check worsened the Sharpe Ratio further (to −0.084) while leaving both gatekeeper constraints passing comfortably. This asymmetry is itself informative: the inverse-Beta weighting methodology is, by construction, resilient to producing Beta or Heat failures, but it carries no equivalent safeguard against weak risk-adjusted return, since defensiveness and profitability are independent properties of an asset, not two sides of the same measurement.</w:t>
      </w:r>
    </w:p>
    <w:p w14:paraId="63F131FE" w14:textId="77777777" w:rsidR="00AB4906" w:rsidRDefault="00000000">
      <w:r>
        <w:br w:type="page"/>
      </w:r>
    </w:p>
    <w:p w14:paraId="3717D9A8" w14:textId="77777777" w:rsidR="00AB4906" w:rsidRDefault="00000000">
      <w:pPr>
        <w:pStyle w:val="Heading1"/>
      </w:pPr>
      <w:bookmarkStart w:id="16" w:name="_Toc233032918"/>
      <w:r>
        <w:lastRenderedPageBreak/>
        <w:t>Section 8: Limitations</w:t>
      </w:r>
      <w:bookmarkEnd w:id="16"/>
    </w:p>
    <w:p w14:paraId="2905C997" w14:textId="77777777" w:rsidR="00AB4906" w:rsidRDefault="00000000">
      <w:pPr>
        <w:pStyle w:val="ListParagraph"/>
        <w:numPr>
          <w:ilvl w:val="0"/>
          <w:numId w:val="2"/>
        </w:numPr>
        <w:spacing w:after="200" w:line="360" w:lineRule="auto"/>
        <w:jc w:val="both"/>
      </w:pPr>
      <w:r>
        <w:rPr>
          <w:b/>
          <w:bCs/>
        </w:rPr>
        <w:t xml:space="preserve">Single-period weight optimisation. </w:t>
      </w:r>
      <w:r>
        <w:t>Portfolio weights were derived once from the full 6-year Beta estimate and held static. No periodic rebalancing schedule, drift tolerance, or trigger for re-optimising weights as prices and correlations evolve over time was modelled — a simplification appropriate for establishing a baseline allocation, but not a directly deployable rebalancing strategy as constructed.</w:t>
      </w:r>
    </w:p>
    <w:p w14:paraId="5E136B3D" w14:textId="77777777" w:rsidR="00AB4906" w:rsidRDefault="00000000">
      <w:pPr>
        <w:pStyle w:val="ListParagraph"/>
        <w:numPr>
          <w:ilvl w:val="0"/>
          <w:numId w:val="2"/>
        </w:numPr>
        <w:spacing w:after="200" w:line="360" w:lineRule="auto"/>
        <w:jc w:val="both"/>
      </w:pPr>
      <w:r>
        <w:rPr>
          <w:b/>
          <w:bCs/>
        </w:rPr>
        <w:t xml:space="preserve">Beta estimate instability. </w:t>
      </w:r>
      <w:r>
        <w:t>As demonstrated directly in Section 6.3, AstraZeneca and GSK’s Beta classifications invert entirely between the 6-year and 3-year lookback windows. This indicates that Beta, as estimated here, is a window-dependent quantity rather than a stable property of the underlying stock, and the gatekeeper verdicts in this report should be read with that instability in mind.</w:t>
      </w:r>
    </w:p>
    <w:p w14:paraId="2A05E4A5" w14:textId="77777777" w:rsidR="00AB4906" w:rsidRDefault="00000000">
      <w:pPr>
        <w:pStyle w:val="ListParagraph"/>
        <w:numPr>
          <w:ilvl w:val="0"/>
          <w:numId w:val="2"/>
        </w:numPr>
        <w:spacing w:after="200" w:line="360" w:lineRule="auto"/>
        <w:jc w:val="both"/>
      </w:pPr>
      <w:r>
        <w:rPr>
          <w:b/>
          <w:bCs/>
        </w:rPr>
        <w:t xml:space="preserve">Weak risk-adjusted return. </w:t>
      </w:r>
      <w:r>
        <w:t xml:space="preserve">The Sharpe Ratio of 0.007 (6-year window) is materially below the levels typically considered acceptable for a real capital </w:t>
      </w:r>
      <w:r w:rsidR="00DA3680">
        <w:t>allocation and</w:t>
      </w:r>
      <w:r>
        <w:t xml:space="preserve"> turns negative (−0.084) under the 3-year robustness check. This portfolio satisfies the brief’s defensiveness constraints but would not, on this evidence alone, represent an attractive risk-adjusted investment over the periods tested.</w:t>
      </w:r>
    </w:p>
    <w:p w14:paraId="3F214D7B" w14:textId="77777777" w:rsidR="00AB4906" w:rsidRDefault="00000000">
      <w:pPr>
        <w:pStyle w:val="ListParagraph"/>
        <w:numPr>
          <w:ilvl w:val="0"/>
          <w:numId w:val="2"/>
        </w:numPr>
        <w:spacing w:after="200" w:line="360" w:lineRule="auto"/>
        <w:jc w:val="both"/>
      </w:pPr>
      <w:r>
        <w:rPr>
          <w:b/>
          <w:bCs/>
        </w:rPr>
        <w:t xml:space="preserve">No transaction costs or slippage. </w:t>
      </w:r>
      <w:r>
        <w:t>The position-sizing and allocation calculations in this report do not deduct brokerage commission, bid-ask spread, or market-impact slippage. These costs would reduce net capital deployed and marginally affect the precision of the heat and weight calculations, though not their broad conclusions.</w:t>
      </w:r>
    </w:p>
    <w:p w14:paraId="7BA642B8" w14:textId="77777777" w:rsidR="00AB4906" w:rsidRDefault="00000000">
      <w:pPr>
        <w:pStyle w:val="ListParagraph"/>
        <w:numPr>
          <w:ilvl w:val="0"/>
          <w:numId w:val="2"/>
        </w:numPr>
        <w:spacing w:after="200" w:line="360" w:lineRule="auto"/>
        <w:jc w:val="both"/>
      </w:pPr>
      <w:r>
        <w:rPr>
          <w:b/>
          <w:bCs/>
        </w:rPr>
        <w:t xml:space="preserve">Static stop-loss assumption. </w:t>
      </w:r>
      <w:r>
        <w:t>Stop-loss levels are derived once from historical volatility at the point of construction and are not dynamically updated (for example, via a trailing or ATR-adjusted mechanism, as used in Project 1’s exit logic). A sustained change in any asset’s volatility regime would leave the stop-loss distances calculated here stale.</w:t>
      </w:r>
    </w:p>
    <w:p w14:paraId="345A8149" w14:textId="77777777" w:rsidR="00AB4906" w:rsidRDefault="00000000">
      <w:pPr>
        <w:pStyle w:val="ListParagraph"/>
        <w:numPr>
          <w:ilvl w:val="0"/>
          <w:numId w:val="2"/>
        </w:numPr>
        <w:spacing w:after="200" w:line="360" w:lineRule="auto"/>
        <w:jc w:val="both"/>
      </w:pPr>
      <w:r>
        <w:rPr>
          <w:b/>
          <w:bCs/>
        </w:rPr>
        <w:t xml:space="preserve">Benchmark choice. </w:t>
      </w:r>
      <w:r>
        <w:t>Beta was calculated against the FTSE 100 (^FTSE) rather than the S&amp;P 500 used in the brief’s own illustrative worked example, for direct consistency with Projects 1–3. Beta values, weights, and both gatekeeper results would differ under an S&amp;P 500 benchmark, given the FTSE 100’s materially different sector composition.</w:t>
      </w:r>
    </w:p>
    <w:p w14:paraId="0F1E8B57" w14:textId="77777777" w:rsidR="00AB4906" w:rsidRDefault="00000000">
      <w:pPr>
        <w:pStyle w:val="ListParagraph"/>
        <w:numPr>
          <w:ilvl w:val="0"/>
          <w:numId w:val="2"/>
        </w:numPr>
        <w:spacing w:after="200" w:line="360" w:lineRule="auto"/>
        <w:jc w:val="both"/>
      </w:pPr>
      <w:r>
        <w:rPr>
          <w:b/>
          <w:bCs/>
        </w:rPr>
        <w:t xml:space="preserve">Four-asset concentration. </w:t>
      </w:r>
      <w:r>
        <w:t>A genuinely diversified institutional portfolio would typically span considerably more than four holdings and more than three economic sectors. This report’s four-asset structure is sized appropriately for an educational exercise illustrating the underlying mechanics, not for a production-scale capital allocation.</w:t>
      </w:r>
    </w:p>
    <w:p w14:paraId="21D43677" w14:textId="77777777" w:rsidR="00AB4906" w:rsidRDefault="00000000">
      <w:r>
        <w:br w:type="page"/>
      </w:r>
    </w:p>
    <w:p w14:paraId="653A2D00" w14:textId="77777777" w:rsidR="00AB4906" w:rsidRDefault="00000000">
      <w:pPr>
        <w:pStyle w:val="Heading1"/>
      </w:pPr>
      <w:bookmarkStart w:id="17" w:name="_Toc233032919"/>
      <w:r>
        <w:lastRenderedPageBreak/>
        <w:t>Section 9: Conclusion</w:t>
      </w:r>
      <w:bookmarkEnd w:id="17"/>
    </w:p>
    <w:p w14:paraId="03DD3491" w14:textId="77777777" w:rsidR="00AB4906" w:rsidRDefault="00000000">
      <w:pPr>
        <w:pStyle w:val="Heading2"/>
      </w:pPr>
      <w:bookmarkStart w:id="18" w:name="_Toc233032920"/>
      <w:r>
        <w:t>9.1 Portfolio Findings</w:t>
      </w:r>
      <w:bookmarkEnd w:id="18"/>
    </w:p>
    <w:p w14:paraId="583650CD" w14:textId="77777777" w:rsidR="00AB4906" w:rsidRDefault="00000000">
      <w:pPr>
        <w:spacing w:after="200" w:line="360" w:lineRule="auto"/>
        <w:jc w:val="both"/>
      </w:pPr>
      <w:r>
        <w:t>This project constructed a $100,000 simulated portfolio across four minimally correlated assets — AZN.L, GSK.L, SHEL.L, and AUTO.L — derived weights systematically through inverse-Beta allocation, and verified the result against two institutional gatekeeper constraints. Both constraints passed with genuine margin under the primary 6-year window: Portfolio Beta (0.859) cleared the 1.0 ceiling, and execution-level Portfolio Heat (3.63%) cleared the 8% ceiling. Both constraints were corroborated under a 3-year robustness check, despite that shorter window inverting the Beta classification of two of the four underlying assets — itself a meaningful finding about the limits of how much confidence to place in any single Beta estimate.</w:t>
      </w:r>
    </w:p>
    <w:p w14:paraId="36C6B62B" w14:textId="77777777" w:rsidR="00AB4906" w:rsidRDefault="00000000">
      <w:pPr>
        <w:spacing w:after="200" w:line="360" w:lineRule="auto"/>
        <w:jc w:val="both"/>
      </w:pPr>
      <w:r>
        <w:t>The Sharpe Ratio was then used to evaluate whether this defensive structure still generates acceptable risk-adjusted returns. It does not, over either window tested — and that result is reported transparently as a genuine finding about the trade-off between defensiveness and performance, rather than adjusted away by re-selecting a more flattering data window. A portfolio satisfying defensive risk constraints is not automatically a well-performing one; Beta, Heat, and Sharpe Ratio each measure a materially different property of a portfolio, and a rigorous risk report should evaluate, and disclose, all three rather than only the ones that look favourable.</w:t>
      </w:r>
    </w:p>
    <w:p w14:paraId="00476678" w14:textId="77777777" w:rsidR="00AB4906" w:rsidRDefault="00000000">
      <w:pPr>
        <w:pStyle w:val="Heading2"/>
      </w:pPr>
      <w:bookmarkStart w:id="19" w:name="_Toc233032921"/>
      <w:r>
        <w:t>9.2 Individual Stock Conclusions</w:t>
      </w:r>
      <w:bookmarkEnd w:id="19"/>
    </w:p>
    <w:p w14:paraId="4E32AAB6" w14:textId="77777777" w:rsidR="00AB4906" w:rsidRDefault="00000000">
      <w:pPr>
        <w:spacing w:after="200" w:line="360" w:lineRule="auto"/>
        <w:jc w:val="both"/>
      </w:pPr>
      <w:r>
        <w:rPr>
          <w:b/>
          <w:bCs/>
        </w:rPr>
        <w:t xml:space="preserve">AstraZeneca (AZN.L). </w:t>
      </w:r>
      <w:r>
        <w:t>Allocated 23.82% of the portfolio ($23,818.46) at a defensive Beta of 0.901 under the primary window. This classification reverses to aggressive (1.193) under the 3-year robustness check — the most significant single instance of window-dependent Beta instability identified in this report.</w:t>
      </w:r>
    </w:p>
    <w:p w14:paraId="08CBECE7" w14:textId="77777777" w:rsidR="00AB4906" w:rsidRDefault="00000000">
      <w:pPr>
        <w:spacing w:after="200" w:line="360" w:lineRule="auto"/>
        <w:jc w:val="both"/>
      </w:pPr>
      <w:r>
        <w:rPr>
          <w:b/>
          <w:bCs/>
        </w:rPr>
        <w:t xml:space="preserve">GSK (GSK.L). </w:t>
      </w:r>
      <w:r>
        <w:t>Allocated 25.75% of the portfolio ($25,753.23) at a defensive Beta of 0.834. Like AstraZeneca, this classification reverses to aggressive (1.027) under the shorter window, reinforcing that the two pharmaceutical holdings’ defensiveness should not be treated as a fixed property.</w:t>
      </w:r>
    </w:p>
    <w:p w14:paraId="124C012F" w14:textId="77777777" w:rsidR="00AB4906" w:rsidRDefault="00000000">
      <w:pPr>
        <w:spacing w:after="200" w:line="360" w:lineRule="auto"/>
        <w:jc w:val="both"/>
      </w:pPr>
      <w:r>
        <w:rPr>
          <w:b/>
          <w:bCs/>
        </w:rPr>
        <w:t xml:space="preserve">Shell (SHEL.L). </w:t>
      </w:r>
      <w:r>
        <w:t>Allocated 19.20% of the portfolio ($19,198.54) — deliberately underweighted relative to its peers as the portfolio’s only aggressive holding (β = 1.118) under the primary window. Despite the lower allocation, Shell delivered the strongest individual historical return in the portfolio (approximately 13.52% annualised), illustrating directly that this report’s weighting methodology trades return potential for systemic-risk control.</w:t>
      </w:r>
    </w:p>
    <w:p w14:paraId="08D62272" w14:textId="77777777" w:rsidR="00AB4906" w:rsidRDefault="00000000">
      <w:pPr>
        <w:spacing w:after="200" w:line="360" w:lineRule="auto"/>
        <w:jc w:val="both"/>
      </w:pPr>
      <w:r>
        <w:rPr>
          <w:b/>
          <w:bCs/>
        </w:rPr>
        <w:t xml:space="preserve">Auto Trader Group (AUTO.L). </w:t>
      </w:r>
      <w:r>
        <w:t xml:space="preserve">Allocated the largest single weight in the portfolio (31.23%, $31,229.77) as its most defensive holding (β = 0.687 under the primary window, and the only asset whose classification does not reverse under the 3-year check). Despite this defensiveness, Auto Trader produced a negative annualised </w:t>
      </w:r>
      <w:r>
        <w:lastRenderedPageBreak/>
        <w:t>historical return (approximately −1.56%) over the 6-year window — the single largest contributor to this portfolio’s weak Sharpe Ratio, and the clearest individual illustration of Section 7’s central finding that defensiveness and profitability are independent properties of an asset.</w:t>
      </w:r>
    </w:p>
    <w:p w14:paraId="19F43600" w14:textId="77777777" w:rsidR="00AB4906" w:rsidRDefault="00000000">
      <w:pPr>
        <w:pStyle w:val="Heading2"/>
      </w:pPr>
      <w:bookmarkStart w:id="20" w:name="_Toc233032922"/>
      <w:r>
        <w:t>9.3 Key Learnings</w:t>
      </w:r>
      <w:bookmarkEnd w:id="20"/>
    </w:p>
    <w:p w14:paraId="48C85586" w14:textId="77777777" w:rsidR="00AB4906" w:rsidRDefault="00000000">
      <w:pPr>
        <w:pStyle w:val="ListParagraph"/>
        <w:numPr>
          <w:ilvl w:val="0"/>
          <w:numId w:val="2"/>
        </w:numPr>
        <w:spacing w:after="200" w:line="360" w:lineRule="auto"/>
        <w:jc w:val="both"/>
      </w:pPr>
      <w:r>
        <w:t>Beta estimates for UK pharmaceutical and energy equities are highly sensitive to the historical window chosen; a 6-year window was retained specifically for its relative stability over a shorter 3-year alternative.</w:t>
      </w:r>
    </w:p>
    <w:p w14:paraId="4885C002" w14:textId="77777777" w:rsidR="00AB4906" w:rsidRDefault="00000000">
      <w:pPr>
        <w:pStyle w:val="ListParagraph"/>
        <w:numPr>
          <w:ilvl w:val="0"/>
          <w:numId w:val="2"/>
        </w:numPr>
        <w:spacing w:after="200" w:line="360" w:lineRule="auto"/>
        <w:jc w:val="both"/>
      </w:pPr>
      <w:r>
        <w:t>Inverse-Beta weighting with bounded allocation (10%–35% per asset) prevents the optimiser from collapsing the portfolio into a concentrated bet on a single low-Beta asset.</w:t>
      </w:r>
    </w:p>
    <w:p w14:paraId="4E23EDC2" w14:textId="77777777" w:rsidR="00AB4906" w:rsidRDefault="00000000">
      <w:pPr>
        <w:pStyle w:val="ListParagraph"/>
        <w:numPr>
          <w:ilvl w:val="0"/>
          <w:numId w:val="2"/>
        </w:numPr>
        <w:spacing w:after="200" w:line="360" w:lineRule="auto"/>
        <w:jc w:val="both"/>
      </w:pPr>
      <w:r>
        <w:t>Stop-loss distances derived from each asset’s own historical volatility are more defensible than fixed arbitrary percentages, consistent with the ATR-based approach used in Project 1.</w:t>
      </w:r>
    </w:p>
    <w:p w14:paraId="53650DEE" w14:textId="77777777" w:rsidR="00AB4906" w:rsidRDefault="00000000">
      <w:pPr>
        <w:pStyle w:val="ListParagraph"/>
        <w:numPr>
          <w:ilvl w:val="0"/>
          <w:numId w:val="2"/>
        </w:numPr>
        <w:spacing w:after="200" w:line="360" w:lineRule="auto"/>
        <w:jc w:val="both"/>
      </w:pPr>
      <w:r>
        <w:t>Portfolio Heat is most meaningful when it is linked to the actual execution-level risk created by position sizing. In this refined version, heat is calculated from the dollar loss that would occur if all four sized positions reached their stop-losses, making the gatekeeper test directly consistent with the brief’s 1% maximum risk-per-position rule.</w:t>
      </w:r>
    </w:p>
    <w:p w14:paraId="66D45739" w14:textId="77777777" w:rsidR="00AB4906" w:rsidRDefault="00000000">
      <w:pPr>
        <w:pStyle w:val="ListParagraph"/>
        <w:numPr>
          <w:ilvl w:val="0"/>
          <w:numId w:val="2"/>
        </w:numPr>
        <w:spacing w:after="200" w:line="360" w:lineRule="auto"/>
        <w:jc w:val="both"/>
      </w:pPr>
      <w:r>
        <w:t>A portfolio satisfying defensive risk constraints is not automatically a well-performing one; Beta and Sharpe Ratio measure materially different things, and a rigorous risk report should disclose both, including when they point in different directions.</w:t>
      </w:r>
    </w:p>
    <w:p w14:paraId="7B2317E5" w14:textId="77777777" w:rsidR="00AB4906" w:rsidRDefault="00000000">
      <w:r>
        <w:br w:type="page"/>
      </w:r>
    </w:p>
    <w:p w14:paraId="0C58A581" w14:textId="77777777" w:rsidR="00AB4906" w:rsidRDefault="00000000">
      <w:pPr>
        <w:pStyle w:val="Heading1"/>
      </w:pPr>
      <w:bookmarkStart w:id="21" w:name="_Toc233032923"/>
      <w:r>
        <w:lastRenderedPageBreak/>
        <w:t>Disclaimer</w:t>
      </w:r>
      <w:bookmarkEnd w:id="21"/>
    </w:p>
    <w:p w14:paraId="3FD1FC56" w14:textId="77777777" w:rsidR="00AB4906" w:rsidRDefault="00000000">
      <w:pPr>
        <w:spacing w:after="200" w:line="360" w:lineRule="auto"/>
        <w:jc w:val="both"/>
      </w:pPr>
      <w:r>
        <w:t>This report and the analysis, charts, code, and figures contained within it were produced solely for educational purposes as part of the DecodeLabs Industrial Training Programme, Batch 2026. While it uses real historical market data for AstraZeneca (AZN.L), GSK (GSK.L), Shell (SHEL.L), and Auto Trader Group (AUTO.L), nothing in this document constitutes financial advice, investment advice, or a recommendation to buy, sell, or hold any security.</w:t>
      </w:r>
    </w:p>
    <w:p w14:paraId="75CA4B1A" w14:textId="77777777" w:rsidR="00AB4906" w:rsidRDefault="00000000">
      <w:pPr>
        <w:spacing w:after="200" w:line="360" w:lineRule="auto"/>
        <w:jc w:val="both"/>
      </w:pPr>
      <w:r>
        <w:t>The portfolio construction, Beta calculations, position-sizing methodology, and gatekeeper verifications presented here are the output of a systematic, educational portfolio-management exercise built for training purposes. They have not been reviewed by a qualified financial advisor, do not account for transaction costs, slippage, taxation, or any individual’s personal financial circumstances, risk tolerance, or investment objectives, and should not be relied upon to make any real trading or investment decision.</w:t>
      </w:r>
    </w:p>
    <w:p w14:paraId="6CB018CE" w14:textId="77777777" w:rsidR="00AB4906" w:rsidRDefault="00000000">
      <w:pPr>
        <w:spacing w:after="200" w:line="360" w:lineRule="auto"/>
        <w:jc w:val="both"/>
      </w:pPr>
      <w:r>
        <w:t>Historical Beta, correlation, and return calculations are not indicative of future results and are subject to well-documented limitations — including window-dependent instability, as directly demonstrated in Section 6.3 of this report — that this report has attempted, but cannot guarantee, to fully control for. All trading and investing involves risk, including the risk of loss of capital. Anyone considering an investment or trading decision involving any security mentioned in this report should seek independent financial advice from a qualified, regulated professional.</w:t>
      </w:r>
    </w:p>
    <w:p w14:paraId="3AB49A7C" w14:textId="77777777" w:rsidR="00AB4906" w:rsidRDefault="00000000">
      <w:pPr>
        <w:spacing w:after="200" w:line="360" w:lineRule="auto"/>
        <w:jc w:val="both"/>
      </w:pPr>
      <w:r>
        <w:t>The author is not a licensed financial advisor, and this document should not be treated as the output of one.</w:t>
      </w:r>
    </w:p>
    <w:sectPr w:rsidR="00AB4906" w:rsidSect="00D84F60">
      <w:footerReference w:type="default" r:id="rId16"/>
      <w:pgSz w:w="12240" w:h="15840"/>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48EEF" w14:textId="77777777" w:rsidR="00640D8A" w:rsidRDefault="00640D8A">
      <w:r>
        <w:separator/>
      </w:r>
    </w:p>
  </w:endnote>
  <w:endnote w:type="continuationSeparator" w:id="0">
    <w:p w14:paraId="2B7FBB53" w14:textId="77777777" w:rsidR="00640D8A" w:rsidRDefault="00640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78C2" w14:textId="77777777" w:rsidR="00AB4906" w:rsidRDefault="00AB490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CFDA" w14:textId="77777777" w:rsidR="00D84F60" w:rsidRDefault="00D84F60">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C1D6" w14:textId="77777777" w:rsidR="00D84F60" w:rsidRDefault="00D84F60">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F8509B4" w14:textId="77777777" w:rsidR="00D84F60" w:rsidRDefault="00D84F6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FEA4" w14:textId="77777777" w:rsidR="00640D8A" w:rsidRDefault="00640D8A">
      <w:r>
        <w:separator/>
      </w:r>
    </w:p>
  </w:footnote>
  <w:footnote w:type="continuationSeparator" w:id="0">
    <w:p w14:paraId="068E0E09" w14:textId="77777777" w:rsidR="00640D8A" w:rsidRDefault="00640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4A3" w14:textId="77777777" w:rsidR="00AB4906" w:rsidRDefault="00000000">
    <w:pPr>
      <w:pBdr>
        <w:bottom w:val="single" w:sz="4" w:space="4" w:color="BFBFBF"/>
      </w:pBdr>
    </w:pPr>
    <w:r>
      <w:rPr>
        <w:color w:val="595959"/>
        <w:sz w:val="16"/>
        <w:szCs w:val="16"/>
      </w:rPr>
      <w:t>DecodeLabs | Project 4: Portfolio Optimization &amp; Risk Management | Batch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4788" w14:textId="77777777" w:rsidR="00D84F60" w:rsidRDefault="00D84F60">
    <w:pPr>
      <w:pBdr>
        <w:bottom w:val="single" w:sz="4" w:space="4" w:color="BFBFBF"/>
      </w:pBdr>
    </w:pPr>
    <w:r>
      <w:rPr>
        <w:color w:val="595959"/>
        <w:sz w:val="16"/>
        <w:szCs w:val="16"/>
      </w:rPr>
      <w:t>DecodeLabs | Project 4: Portfolio Optimization &amp; Risk Management | Batch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F0F84"/>
    <w:multiLevelType w:val="hybridMultilevel"/>
    <w:tmpl w:val="ECE470B4"/>
    <w:lvl w:ilvl="0" w:tplc="32E6EBE4">
      <w:start w:val="1"/>
      <w:numFmt w:val="bullet"/>
      <w:lvlText w:val="•"/>
      <w:lvlJc w:val="left"/>
      <w:pPr>
        <w:ind w:left="560" w:hanging="280"/>
      </w:pPr>
    </w:lvl>
    <w:lvl w:ilvl="1" w:tplc="076647B2">
      <w:numFmt w:val="decimal"/>
      <w:lvlText w:val=""/>
      <w:lvlJc w:val="left"/>
    </w:lvl>
    <w:lvl w:ilvl="2" w:tplc="0020428C">
      <w:numFmt w:val="decimal"/>
      <w:lvlText w:val=""/>
      <w:lvlJc w:val="left"/>
    </w:lvl>
    <w:lvl w:ilvl="3" w:tplc="7E5AAAF2">
      <w:numFmt w:val="decimal"/>
      <w:lvlText w:val=""/>
      <w:lvlJc w:val="left"/>
    </w:lvl>
    <w:lvl w:ilvl="4" w:tplc="A6908F7A">
      <w:numFmt w:val="decimal"/>
      <w:lvlText w:val=""/>
      <w:lvlJc w:val="left"/>
    </w:lvl>
    <w:lvl w:ilvl="5" w:tplc="B92C55F2">
      <w:numFmt w:val="decimal"/>
      <w:lvlText w:val=""/>
      <w:lvlJc w:val="left"/>
    </w:lvl>
    <w:lvl w:ilvl="6" w:tplc="AE16F85C">
      <w:numFmt w:val="decimal"/>
      <w:lvlText w:val=""/>
      <w:lvlJc w:val="left"/>
    </w:lvl>
    <w:lvl w:ilvl="7" w:tplc="7A0476AE">
      <w:numFmt w:val="decimal"/>
      <w:lvlText w:val=""/>
      <w:lvlJc w:val="left"/>
    </w:lvl>
    <w:lvl w:ilvl="8" w:tplc="968ABBA8">
      <w:numFmt w:val="decimal"/>
      <w:lvlText w:val=""/>
      <w:lvlJc w:val="left"/>
    </w:lvl>
  </w:abstractNum>
  <w:abstractNum w:abstractNumId="1" w15:restartNumberingAfterBreak="0">
    <w:nsid w:val="692A31A8"/>
    <w:multiLevelType w:val="hybridMultilevel"/>
    <w:tmpl w:val="7B7A622C"/>
    <w:lvl w:ilvl="0" w:tplc="AC82729E">
      <w:start w:val="1"/>
      <w:numFmt w:val="bullet"/>
      <w:lvlText w:val="●"/>
      <w:lvlJc w:val="left"/>
      <w:pPr>
        <w:ind w:left="720" w:hanging="360"/>
      </w:pPr>
    </w:lvl>
    <w:lvl w:ilvl="1" w:tplc="A6A6C4AC">
      <w:start w:val="1"/>
      <w:numFmt w:val="bullet"/>
      <w:lvlText w:val="○"/>
      <w:lvlJc w:val="left"/>
      <w:pPr>
        <w:ind w:left="1440" w:hanging="360"/>
      </w:pPr>
    </w:lvl>
    <w:lvl w:ilvl="2" w:tplc="8FB0D674">
      <w:start w:val="1"/>
      <w:numFmt w:val="bullet"/>
      <w:lvlText w:val="■"/>
      <w:lvlJc w:val="left"/>
      <w:pPr>
        <w:ind w:left="2160" w:hanging="360"/>
      </w:pPr>
    </w:lvl>
    <w:lvl w:ilvl="3" w:tplc="B2B457B4">
      <w:start w:val="1"/>
      <w:numFmt w:val="bullet"/>
      <w:lvlText w:val="●"/>
      <w:lvlJc w:val="left"/>
      <w:pPr>
        <w:ind w:left="2880" w:hanging="360"/>
      </w:pPr>
    </w:lvl>
    <w:lvl w:ilvl="4" w:tplc="29EEFFFA">
      <w:start w:val="1"/>
      <w:numFmt w:val="bullet"/>
      <w:lvlText w:val="○"/>
      <w:lvlJc w:val="left"/>
      <w:pPr>
        <w:ind w:left="3600" w:hanging="360"/>
      </w:pPr>
    </w:lvl>
    <w:lvl w:ilvl="5" w:tplc="E2D23EA0">
      <w:start w:val="1"/>
      <w:numFmt w:val="bullet"/>
      <w:lvlText w:val="■"/>
      <w:lvlJc w:val="left"/>
      <w:pPr>
        <w:ind w:left="4320" w:hanging="360"/>
      </w:pPr>
    </w:lvl>
    <w:lvl w:ilvl="6" w:tplc="1160F3F8">
      <w:start w:val="1"/>
      <w:numFmt w:val="bullet"/>
      <w:lvlText w:val="●"/>
      <w:lvlJc w:val="left"/>
      <w:pPr>
        <w:ind w:left="5040" w:hanging="360"/>
      </w:pPr>
    </w:lvl>
    <w:lvl w:ilvl="7" w:tplc="FEB6156E">
      <w:start w:val="1"/>
      <w:numFmt w:val="bullet"/>
      <w:lvlText w:val="●"/>
      <w:lvlJc w:val="left"/>
      <w:pPr>
        <w:ind w:left="5760" w:hanging="360"/>
      </w:pPr>
    </w:lvl>
    <w:lvl w:ilvl="8" w:tplc="844A884C">
      <w:start w:val="1"/>
      <w:numFmt w:val="bullet"/>
      <w:lvlText w:val="●"/>
      <w:lvlJc w:val="left"/>
      <w:pPr>
        <w:ind w:left="6480" w:hanging="360"/>
      </w:pPr>
    </w:lvl>
  </w:abstractNum>
  <w:num w:numId="1" w16cid:durableId="398091469">
    <w:abstractNumId w:val="1"/>
    <w:lvlOverride w:ilvl="0">
      <w:startOverride w:val="1"/>
    </w:lvlOverride>
  </w:num>
  <w:num w:numId="2" w16cid:durableId="1025443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906"/>
    <w:rsid w:val="00272AFA"/>
    <w:rsid w:val="00402B54"/>
    <w:rsid w:val="005211DD"/>
    <w:rsid w:val="0055308D"/>
    <w:rsid w:val="005F572A"/>
    <w:rsid w:val="0061082E"/>
    <w:rsid w:val="00640D8A"/>
    <w:rsid w:val="00AB4906"/>
    <w:rsid w:val="00D84F60"/>
    <w:rsid w:val="00DA3680"/>
    <w:rsid w:val="00E76CB1"/>
    <w:rsid w:val="00EA1FB0"/>
    <w:rsid w:val="00F26B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74BC4"/>
  <w15:docId w15:val="{10AEAA00-5A75-8748-A711-B1D947CD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4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5211DD"/>
    <w:pPr>
      <w:spacing w:after="200"/>
    </w:pPr>
    <w:rPr>
      <w:i/>
      <w:iCs/>
      <w:color w:val="0E2841" w:themeColor="text2"/>
      <w:sz w:val="18"/>
      <w:szCs w:val="18"/>
    </w:rPr>
  </w:style>
  <w:style w:type="paragraph" w:styleId="TOCHeading">
    <w:name w:val="TOC Heading"/>
    <w:basedOn w:val="Heading1"/>
    <w:next w:val="Normal"/>
    <w:uiPriority w:val="39"/>
    <w:unhideWhenUsed/>
    <w:qFormat/>
    <w:rsid w:val="00D84F60"/>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272AFA"/>
    <w:pPr>
      <w:tabs>
        <w:tab w:val="right" w:leader="dot" w:pos="9710"/>
      </w:tabs>
      <w:spacing w:before="120" w:line="360" w:lineRule="auto"/>
    </w:pPr>
    <w:rPr>
      <w:rFonts w:asciiTheme="minorHAnsi" w:hAnsiTheme="minorHAnsi"/>
      <w:b/>
      <w:bCs/>
      <w:i/>
      <w:iCs/>
      <w:sz w:val="24"/>
      <w:szCs w:val="24"/>
    </w:rPr>
  </w:style>
  <w:style w:type="paragraph" w:styleId="TOC2">
    <w:name w:val="toc 2"/>
    <w:basedOn w:val="Normal"/>
    <w:next w:val="Normal"/>
    <w:autoRedefine/>
    <w:uiPriority w:val="39"/>
    <w:unhideWhenUsed/>
    <w:rsid w:val="00D84F60"/>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D84F60"/>
    <w:pPr>
      <w:ind w:left="440"/>
    </w:pPr>
    <w:rPr>
      <w:rFonts w:asciiTheme="minorHAnsi" w:hAnsiTheme="minorHAnsi"/>
      <w:sz w:val="20"/>
      <w:szCs w:val="20"/>
    </w:rPr>
  </w:style>
  <w:style w:type="paragraph" w:styleId="TOC4">
    <w:name w:val="toc 4"/>
    <w:basedOn w:val="Normal"/>
    <w:next w:val="Normal"/>
    <w:autoRedefine/>
    <w:uiPriority w:val="39"/>
    <w:semiHidden/>
    <w:unhideWhenUsed/>
    <w:rsid w:val="00D84F60"/>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84F60"/>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84F60"/>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84F60"/>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84F60"/>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84F60"/>
    <w:pPr>
      <w:ind w:left="1760"/>
    </w:pPr>
    <w:rPr>
      <w:rFonts w:asciiTheme="minorHAnsi" w:hAnsiTheme="minorHAnsi"/>
      <w:sz w:val="20"/>
      <w:szCs w:val="20"/>
    </w:rPr>
  </w:style>
  <w:style w:type="paragraph" w:styleId="Header">
    <w:name w:val="header"/>
    <w:basedOn w:val="Normal"/>
    <w:link w:val="HeaderChar"/>
    <w:uiPriority w:val="99"/>
    <w:unhideWhenUsed/>
    <w:rsid w:val="00D84F60"/>
    <w:pPr>
      <w:tabs>
        <w:tab w:val="center" w:pos="4513"/>
        <w:tab w:val="right" w:pos="9026"/>
      </w:tabs>
    </w:pPr>
  </w:style>
  <w:style w:type="character" w:customStyle="1" w:styleId="HeaderChar">
    <w:name w:val="Header Char"/>
    <w:basedOn w:val="DefaultParagraphFont"/>
    <w:link w:val="Header"/>
    <w:uiPriority w:val="99"/>
    <w:rsid w:val="00D84F60"/>
  </w:style>
  <w:style w:type="paragraph" w:styleId="Footer">
    <w:name w:val="footer"/>
    <w:basedOn w:val="Normal"/>
    <w:link w:val="FooterChar"/>
    <w:uiPriority w:val="99"/>
    <w:unhideWhenUsed/>
    <w:rsid w:val="00D84F60"/>
    <w:pPr>
      <w:tabs>
        <w:tab w:val="center" w:pos="4513"/>
        <w:tab w:val="right" w:pos="9026"/>
      </w:tabs>
    </w:pPr>
  </w:style>
  <w:style w:type="character" w:customStyle="1" w:styleId="FooterChar">
    <w:name w:val="Footer Char"/>
    <w:basedOn w:val="DefaultParagraphFont"/>
    <w:link w:val="Footer"/>
    <w:uiPriority w:val="99"/>
    <w:rsid w:val="00D84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14C92-0F60-5C44-8BB7-4FE3022A2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4542</Words>
  <Characters>25892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Rubel Hasan (U2573293)</cp:lastModifiedBy>
  <cp:revision>3</cp:revision>
  <cp:lastPrinted>2026-06-22T14:02:00Z</cp:lastPrinted>
  <dcterms:created xsi:type="dcterms:W3CDTF">2026-06-22T14:02:00Z</dcterms:created>
  <dcterms:modified xsi:type="dcterms:W3CDTF">2026-06-22T14:02:00Z</dcterms:modified>
</cp:coreProperties>
</file>