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 simple solution to the ``distance puzzle'' in trade</w:t>
      </w:r>
    </w:p>
    <w:tbl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 BRDR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FEs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1986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-0.859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-0.980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-0.857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distance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(0.033)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0.442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-0.220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 intra-national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(0.582)</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28566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-2556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5114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Intra-national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body29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Country-specific intra-national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Yes</w:t>
            </w:r>
          </w:p>
        </w:tc>
      </w:tr>
      <w:tr>
        <w:trPr>
          <w:trHeight w:val="360" w:hRule="auto"/>
        </w:trPr>
        body30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20" w:right="12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2025-02-24T21:19:21Z</dcterms:modified>
  <cp:category/>
</cp:coreProperties>
</file>