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pPr>
      <w:r>
        <w:t xml:space="preserve">A simple solution to the ``distance puzzle'' in trade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024"/>
        <w:gridCol w:w="1123"/>
        <w:gridCol w:w="1123"/>
        <w:gridCol w:w="1123"/>
        <w:gridCol w:w="1123"/>
        <w:gridCol w:w="1123"/>
      </w:tblGrid>
      <w:tr>
        <w:trPr>
          <w:cantSplit/>
          <w:trHeight w:val="360" w:hRule="auto"/>
        </w:trPr>
        <w:tc>
          <w:tcPr>
            <w:tcBorders>
              <w:top w:val="single" w:sz="6"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3" w:space="0" w:color="000000"/>
              <w:top w:val="single" w:sz="6"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OLS</w:t>
            </w:r>
          </w:p>
        </w:tc>
        <w:tc>
          <w:tcPr>
            <w:tcBorders>
              <w:bottom w:val="single" w:sz="3" w:space="0" w:color="000000"/>
              <w:top w:val="single" w:sz="6"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PPML</w:t>
            </w:r>
          </w:p>
        </w:tc>
        <w:tc>
          <w:tcPr>
            <w:tcBorders>
              <w:bottom w:val="single" w:sz="3" w:space="0" w:color="000000"/>
              <w:top w:val="single" w:sz="6"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 INTRA</w:t>
            </w:r>
          </w:p>
        </w:tc>
        <w:tc>
          <w:tcPr>
            <w:tcBorders>
              <w:bottom w:val="single" w:sz="3" w:space="0" w:color="000000"/>
              <w:top w:val="single" w:sz="6"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 BRDR</w:t>
            </w:r>
          </w:p>
        </w:tc>
        <w:tc>
          <w:tcPr>
            <w:tcBorders>
              <w:bottom w:val="single" w:sz="3" w:space="0" w:color="000000"/>
              <w:top w:val="single" w:sz="6"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 FEs</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Log distance 1986</w:t>
            </w:r>
          </w:p>
        </w:tc>
        <w:tc>
          <w:tcPr>
            <w:tcBorders>
              <w:top w:val="single" w:sz="3"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-1.168</w:t>
            </w:r>
          </w:p>
        </w:tc>
        <w:tc>
          <w:tcPr>
            <w:tcBorders>
              <w:top w:val="single" w:sz="3"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-0.859</w:t>
            </w:r>
          </w:p>
        </w:tc>
        <w:tc>
          <w:tcPr>
            <w:tcBorders>
              <w:top w:val="single" w:sz="3"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-0.980</w:t>
            </w:r>
          </w:p>
        </w:tc>
        <w:tc>
          <w:tcPr>
            <w:tcBorders>
              <w:top w:val="single" w:sz="3"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-0.857</w:t>
            </w:r>
          </w:p>
        </w:tc>
        <w:tc>
          <w:tcPr>
            <w:tcBorders>
              <w:top w:val="single" w:sz="3"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-0.910</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(0.044)</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(0.038)</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(0.073)</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(0.064)</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(0.033)</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Log distance 1990</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-1.155</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-0.834</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-0.940</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-0.819</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-0.879</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(0.042)</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(0.038)</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(0.074)</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(0.064)</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(0.033)</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Log distance 1994</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-1.211</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-0.835</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-0.915</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-0.796</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-0.860</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(0.046)</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(0.036)</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(0.073)</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(0.064)</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(0.032)</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Log distance 1998</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-1.248</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-0.847</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-0.887</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-0.770</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-0.833</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(0.043)</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(0.036)</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(0.072)</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(0.064)</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(0.032)</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Log distance 2002</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-1.241</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-0.848</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-0.884</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-0.767</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-0.829</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(0.044)</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(0.032)</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(0.072)</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(0.064)</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(0.033)</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Log distance 2006</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-1.261</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-0.836</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-0.872</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-0.754</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-0.811</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(0.044)</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(0.032)</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(0.072)</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(0.063)</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(0.033)</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Contiguity</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0.223</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0.437</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0.371</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0.574</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0.442</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(0.203)</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(0.084)</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(0.142)</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(0.157)</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(0.083)</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Colony</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0.670</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-0.222</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0.019</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0.027</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-0.220</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(0.149)</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(0.118)</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(0.159)</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(0.127)</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(0.118)</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Common language</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0.661</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0.248</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0.337</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0.352</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0.241</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(0.082)</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(0.078)</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(0.171)</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(0.139)</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(0.077)</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Log intra-national distance</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-0.488</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-0.602</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(0.102)</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(0.111)</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Intra-national trade dummy</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1.689</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3"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3"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3"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3"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(0.582)</w:t>
            </w:r>
          </w:p>
        </w:tc>
        <w:tc>
          <w:tcPr>
            <w:tcBorders>
              <w:bottom w:val="single" w:sz="3"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top w:val="single" w:sz="3"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25689</w:t>
            </w:r>
          </w:p>
        </w:tc>
        <w:tc>
          <w:tcPr>
            <w:tcBorders>
              <w:top w:val="single" w:sz="3"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28152</w:t>
            </w:r>
          </w:p>
        </w:tc>
        <w:tc>
          <w:tcPr>
            <w:tcBorders>
              <w:top w:val="single" w:sz="3"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28566</w:t>
            </w:r>
          </w:p>
        </w:tc>
        <w:tc>
          <w:tcPr>
            <w:tcBorders>
              <w:top w:val="single" w:sz="3"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28566</w:t>
            </w:r>
          </w:p>
        </w:tc>
        <w:tc>
          <w:tcPr>
            <w:tcBorders>
              <w:top w:val="single" w:sz="3"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28566</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R2</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0.843</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logLik (in thousands)</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-2194</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-7610</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-7335</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-2556</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AIC (in thousands)</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92</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4390</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15221</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14673</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5114</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Intra-national trade</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Yes</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Yes</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Yes</w:t>
            </w:r>
          </w:p>
        </w:tc>
      </w:tr>
      <w:tr>
        <w:trPr>
          <w:cantSplit/>
          <w:trHeight w:val="360" w:hRule="auto"/>
        </w:trPr>
        <w:tc>
          <w:tcPr>
            <w:tcBorders>
              <w:bottom w:val="single" w:sz="6" w:space="0" w:color="000000"/>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Country-specific intra-national fixed effects</w:t>
            </w:r>
          </w:p>
        </w:tc>
        <w:tc>
          <w:tcPr>
            <w:tcBorders>
              <w:bottom w:val="single" w:sz="6"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w:t>
            </w:r>
          </w:p>
        </w:tc>
        <w:tc>
          <w:tcPr>
            <w:tcBorders>
              <w:bottom w:val="single" w:sz="6"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w:t>
            </w:r>
          </w:p>
        </w:tc>
        <w:tc>
          <w:tcPr>
            <w:tcBorders>
              <w:bottom w:val="single" w:sz="6"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w:t>
            </w:r>
          </w:p>
        </w:tc>
        <w:tc>
          <w:tcPr>
            <w:tcBorders>
              <w:bottom w:val="single" w:sz="6"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w:t>
            </w:r>
          </w:p>
        </w:tc>
        <w:tc>
          <w:tcPr>
            <w:tcBorders>
              <w:bottom w:val="single" w:sz="6"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Yes</w:t>
            </w:r>
          </w:p>
        </w:tc>
      </w:tr>
      <w:tr>
        <w:trPr>
          <w:cantSplit/>
          <w:trHeight w:val="360" w:hRule="auto"/>
        </w:trPr>
        <w:tc>
          <w:tcPr>
            <w:gridSpan w:val="6"/>
            <w:tcBorders>
              <w:top w:val="single" w:sz="6" w:space="0" w:color="000000"/>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Notes: All estimates are obtained with data for the years 1986, 1990, 1994, 1998, 2002, and 2006, and use exporter-time and importer-time fixed effects. The estimates of the fixed effects are omitted for brevity. Columns (1) and (2) use data on international trade flows only. Column (1) employs the OLS estimator and column (2) uses the PPML estimator. Column (3) adds internal trade observations and uses intra-national distance as an additional covariate. Column (4) adds an indicator covariate for international trade. Finally, column (5) uses country-specific dummies for intra-national trade. Standard errors are clustered by country pair and are reported in parentheses. The bottom panel of the table reports the percentage change in the estimates of the effects of bilateral distance between 1986 and 2006.</w:t>
            </w:r>
          </w:p>
        </w:tc>
      </w:tr>
    </w:tbl>
    <w:sectPr xmlns:w="http://schemas.openxmlformats.org/wordprocessingml/2006/main">
      <w:pgMar w:header="720" w:bottom="1440" w:top="1440" w:right="1440" w:left="1440" w:footer="720" w:gutter="720"/>
      <w:pgSz w:h="16848" w:w="11952" w:orient="portrait"/>
      <w:type w:val="continuous"/>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2022-03-03T16:29:15Z</dcterms:modified>
  <cp:category/>
</cp:coreProperties>
</file>