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Estimating the Effects of Regional Trade Agreements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ENDG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LEAD</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PHSNG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GLBZN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RTA(t-12)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1986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2067</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8"/>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2022-03-03T16:29:18Z</dcterms:modified>
  <cp:category/>
</cp:coreProperties>
</file>