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A simple solution to the ``distance puzzle'' in trade</w:t>
      </w:r>
    </w:p>
    <w:tbl xmlns:a="http://schemas.openxmlformats.org/drawingml/2006/main" xmlns:pic="http://schemas.openxmlformats.org/drawingml/2006/picture">
      <w:tblPr>
        <w:tblLayout w:type="fixed"/>
        <w:jc w:val="center"/>
        <w:tblLook w:firstRow="1" w:lastRow="0" w:firstColumn="0" w:lastColumn="0" w:noHBand="0" w:noVBand="1"/>
      </w:tblPr>
      <w:tblGrid>
        <w:gridCol w:w="3024"/>
        <w:gridCol w:w="1123"/>
        <w:gridCol w:w="1123"/>
        <w:gridCol w:w="1123"/>
        <w:gridCol w:w="1123"/>
        <w:gridCol w:w="1123"/>
      </w:tblGrid>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 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 PPML</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(3) INTRA</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 BRDR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 FEs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1986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-1.168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-0.859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-0.980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-0.857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-0.879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-0.860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-0.811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0.442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intra-national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Intra-national trade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(0.582)</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28152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28566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logLik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-7610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-2556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AIC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15221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14673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5114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Intra-national trade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body29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Country-specific intra-national fixed effects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body30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employs the OLS estimator and column (2) uses the PPML estimator. Column (3) adds internal trade observations and uses intra-national distance as an additional covariate. Column (4) adds an indicator covariate for international trade. Finally, column (5) uses country-specific dummies for intra-national trade. Standard errors are clustered by country pair and are reported in parentheses. The bottom panel of the table reports the percentage change in the estimates of the effects of bilateral distance between 1986 and 2006.</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2023-03-03T11:16:20Z</dcterms:modified>
  <cp:category/>
</cp:coreProperties>
</file>