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 simple solution to the ``distance puzzle'' in trade</w:t>
      </w:r>
    </w:p>
    <w:tbl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 BRDR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FEs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1986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-0.859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-0.980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-0.857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0.442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intra-national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(0.582)</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-2556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5114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Country-specific intra-national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body30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2025-02-24T20:39:58Z</dcterms:modified>
  <cp:category/>
</cp:coreProperties>
</file>