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pPr>
      <w:r>
        <w:t xml:space="preserve">Estimating the Effects of Regional Trade Agreements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2"/>
        <w:gridCol w:w="864"/>
        <w:gridCol w:w="864"/>
        <w:gridCol w:w="864"/>
        <w:gridCol w:w="864"/>
        <w:gridCol w:w="864"/>
        <w:gridCol w:w="864"/>
        <w:gridCol w:w="864"/>
      </w:tblGrid>
      <w:tr>
        <w:trPr>
          <w:cantSplit/>
          <w:trHeight w:val="360"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OLS</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PPML</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INTRA</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ENDG</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LEAD</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PHSNG</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GLBZN</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-0.800</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Contiguity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language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RTA(t-12)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1986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1998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2002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28152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2067</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Intra-national trade</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gridSpan w:val="8"/>
            <w:tcBorders>
              <w:top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applies the OLS estimator and column (2) uses the PPML estimator. Column (3) adds intra-national trade observations and uses country-specific dummies for internal trade. Column (4) adds pair fixed effects. The estimates of the pair fixed effects are omitted for brevity. Column (5) introduces RTA lead. Column (6) allows for phasing-in effects of RTAs. Finally, column (7) accounts for the effects of globalization. Standard errors are clustered by country pair and are reported in parentheses.</w:t>
            </w:r>
          </w:p>
        </w:tc>
      </w:tr>
    </w:tbl>
    <w:sectPr xmlns:w="http://schemas.openxmlformats.org/wordprocessingml/2006/main">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2022-03-03T13:43:33Z</dcterms:modified>
  <cp:category/>
</cp:coreProperties>
</file>