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0B2545"/>
          <w:sz w:val="46"/>
        </w:rPr>
        <w:t>FINANCE ANALYTICS ASSESSMENT</w:t>
      </w:r>
    </w:p>
    <w:p>
      <w:pPr>
        <w:spacing w:after="280"/>
      </w:pPr>
      <w:r>
        <w:rPr>
          <w:rFonts w:ascii="Calibri" w:hAnsi="Calibri"/>
          <w:color w:val="556070"/>
          <w:sz w:val="28"/>
        </w:rPr>
        <w:t>Q2 2026 Amazon profitability, scalable data model, and 90-day automation plan</w:t>
      </w:r>
    </w:p>
    <w:p>
      <w:pPr>
        <w:spacing w:after="40"/>
      </w:pPr>
      <w:r>
        <w:rPr>
          <w:rFonts w:ascii="Calibri" w:hAnsi="Calibri"/>
          <w:b/>
          <w:color w:val="111827"/>
          <w:sz w:val="21"/>
        </w:rPr>
        <w:t xml:space="preserve">Audience: </w:t>
      </w:r>
      <w:r>
        <w:rPr>
          <w:rFonts w:ascii="Calibri" w:hAnsi="Calibri"/>
          <w:color w:val="111827"/>
          <w:sz w:val="21"/>
        </w:rPr>
        <w:t>Finance leadership</w:t>
      </w:r>
    </w:p>
    <w:p>
      <w:pPr>
        <w:spacing w:after="40"/>
      </w:pPr>
      <w:r>
        <w:rPr>
          <w:rFonts w:ascii="Calibri" w:hAnsi="Calibri"/>
          <w:b/>
          <w:color w:val="111827"/>
          <w:sz w:val="21"/>
        </w:rPr>
        <w:t xml:space="preserve">Period: </w:t>
      </w:r>
      <w:r>
        <w:rPr>
          <w:rFonts w:ascii="Calibri" w:hAnsi="Calibri"/>
          <w:color w:val="111827"/>
          <w:sz w:val="21"/>
        </w:rPr>
        <w:t>April 1-June 30, 2026</w:t>
      </w:r>
    </w:p>
    <w:p>
      <w:pPr>
        <w:spacing w:after="40"/>
      </w:pPr>
      <w:r>
        <w:rPr>
          <w:rFonts w:ascii="Calibri" w:hAnsi="Calibri"/>
          <w:b/>
          <w:color w:val="111827"/>
          <w:sz w:val="21"/>
        </w:rPr>
        <w:t xml:space="preserve">Scope: </w:t>
      </w:r>
      <w:r>
        <w:rPr>
          <w:rFonts w:ascii="Calibri" w:hAnsi="Calibri"/>
          <w:color w:val="111827"/>
          <w:sz w:val="21"/>
        </w:rPr>
        <w:t>Amazon settlements, product mapping, landed cost, and 6/30 inventory</w:t>
      </w:r>
    </w:p>
    <w:p>
      <w:pPr>
        <w:spacing w:after="40"/>
      </w:pPr>
      <w:r>
        <w:rPr>
          <w:rFonts w:ascii="Calibri" w:hAnsi="Calibri"/>
          <w:b/>
          <w:color w:val="111827"/>
          <w:sz w:val="21"/>
        </w:rPr>
        <w:t xml:space="preserve">Files included: </w:t>
      </w:r>
      <w:r>
        <w:rPr>
          <w:rFonts w:ascii="Calibri" w:hAnsi="Calibri"/>
          <w:color w:val="111827"/>
          <w:sz w:val="21"/>
        </w:rPr>
        <w:t>Workbook, written response, presentation, Python, SQL, and optional Databricks demo</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AF5FB"/>
          </w:tcPr>
          <w:p>
            <w:pPr>
              <w:spacing w:after="0"/>
            </w:pPr>
            <w:r>
              <w:rPr>
                <w:rFonts w:ascii="Calibri" w:hAnsi="Calibri"/>
                <w:b/>
                <w:color w:val="0B2545"/>
              </w:rPr>
              <w:t xml:space="preserve">Main result: </w:t>
            </w:r>
            <w:r>
              <w:rPr>
                <w:rFonts w:ascii="Calibri" w:hAnsi="Calibri"/>
                <w:color w:val="0B2545"/>
              </w:rPr>
              <w:t>SKU-attributable contribution margin is $51.2K (38.7% of net sales after promotions). Advertising, storage, and subscription charges lack SKU keys and are therefore shown separately; including them and two adjustments produces an estimated $5.5K loss after platform costs.</w:t>
            </w:r>
          </w:p>
        </w:tc>
      </w:tr>
    </w:tbl>
    <w:p>
      <w:pPr>
        <w:spacing w:after="40"/>
      </w:pPr>
    </w:p>
    <w:tbl>
      <w:tblPr>
        <w:tblStyle w:val="TableGrid"/>
        <w:tblW w:type="dxa" w:w="9360"/>
        <w:tblLayout w:type="fixed"/>
        <w:tblLook w:firstColumn="1" w:firstRow="1" w:lastColumn="0" w:lastRow="0" w:noHBand="0" w:noVBand="1" w:val="04A0"/>
        <w:jc w:val="left"/>
        <w:tblInd w:w="120" w:type="dxa"/>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0B2545"/>
          </w:tcPr>
          <w:p>
            <w:pPr>
              <w:spacing w:after="0"/>
              <w:jc w:val="right"/>
            </w:pPr>
            <w:r>
              <w:rPr>
                <w:rFonts w:ascii="Calibri" w:hAnsi="Calibri"/>
                <w:b/>
                <w:color w:val="FFFFFF"/>
                <w:sz w:val="18"/>
              </w:rPr>
              <w:t>Net sales</w:t>
            </w:r>
          </w:p>
        </w:tc>
        <w:tc>
          <w:tcPr>
            <w:tcW w:type="dxa" w:w="2340"/>
            <w:tcMar>
              <w:top w:w="80" w:type="dxa"/>
              <w:start w:w="120" w:type="dxa"/>
              <w:bottom w:w="80" w:type="dxa"/>
              <w:end w:w="120" w:type="dxa"/>
            </w:tcMar>
            <w:vAlign w:val="center"/>
            <w:shd w:fill="0B2545"/>
          </w:tcPr>
          <w:p>
            <w:pPr>
              <w:spacing w:after="0"/>
              <w:jc w:val="right"/>
            </w:pPr>
            <w:r>
              <w:rPr>
                <w:rFonts w:ascii="Calibri" w:hAnsi="Calibri"/>
                <w:b/>
                <w:color w:val="FFFFFF"/>
                <w:sz w:val="18"/>
              </w:rPr>
              <w:t>Contribution margin</w:t>
            </w:r>
          </w:p>
        </w:tc>
        <w:tc>
          <w:tcPr>
            <w:tcW w:type="dxa" w:w="2340"/>
            <w:tcMar>
              <w:top w:w="80" w:type="dxa"/>
              <w:start w:w="120" w:type="dxa"/>
              <w:bottom w:w="80" w:type="dxa"/>
              <w:end w:w="120" w:type="dxa"/>
            </w:tcMar>
            <w:vAlign w:val="center"/>
            <w:shd w:fill="0B2545"/>
          </w:tcPr>
          <w:p>
            <w:pPr>
              <w:spacing w:after="0"/>
              <w:jc w:val="right"/>
            </w:pPr>
            <w:r>
              <w:rPr>
                <w:rFonts w:ascii="Calibri" w:hAnsi="Calibri"/>
                <w:b/>
                <w:color w:val="FFFFFF"/>
                <w:sz w:val="18"/>
              </w:rPr>
              <w:t>Margin %</w:t>
            </w:r>
          </w:p>
        </w:tc>
        <w:tc>
          <w:tcPr>
            <w:tcW w:type="dxa" w:w="2340"/>
            <w:tcMar>
              <w:top w:w="80" w:type="dxa"/>
              <w:start w:w="120" w:type="dxa"/>
              <w:bottom w:w="80" w:type="dxa"/>
              <w:end w:w="120" w:type="dxa"/>
            </w:tcMar>
            <w:vAlign w:val="center"/>
            <w:shd w:fill="0B2545"/>
          </w:tcPr>
          <w:p>
            <w:pPr>
              <w:spacing w:after="0"/>
              <w:jc w:val="right"/>
            </w:pPr>
            <w:r>
              <w:rPr>
                <w:rFonts w:ascii="Calibri" w:hAnsi="Calibri"/>
                <w:b/>
                <w:color w:val="FFFFFF"/>
                <w:sz w:val="18"/>
              </w:rPr>
              <w:t>After platform costs</w:t>
            </w:r>
          </w:p>
        </w:tc>
      </w:tr>
      <w:tr>
        <w:tc>
          <w:tcPr>
            <w:tcW w:type="dxa" w:w="2340"/>
            <w:tcMar>
              <w:top w:w="80" w:type="dxa"/>
              <w:start w:w="120" w:type="dxa"/>
              <w:bottom w:w="80" w:type="dxa"/>
              <w:end w:w="120" w:type="dxa"/>
            </w:tcMar>
            <w:vAlign w:val="center"/>
          </w:tcPr>
          <w:p>
            <w:pPr>
              <w:spacing w:after="0"/>
              <w:jc w:val="right"/>
            </w:pPr>
            <w:r>
              <w:rPr>
                <w:rFonts w:ascii="Calibri" w:hAnsi="Calibri"/>
                <w:color w:val="111827"/>
                <w:sz w:val="18"/>
              </w:rPr>
              <w:t>$132,342</w:t>
            </w:r>
          </w:p>
        </w:tc>
        <w:tc>
          <w:tcPr>
            <w:tcW w:type="dxa" w:w="2340"/>
            <w:tcMar>
              <w:top w:w="80" w:type="dxa"/>
              <w:start w:w="120" w:type="dxa"/>
              <w:bottom w:w="80" w:type="dxa"/>
              <w:end w:w="120" w:type="dxa"/>
            </w:tcMar>
            <w:vAlign w:val="center"/>
          </w:tcPr>
          <w:p>
            <w:pPr>
              <w:spacing w:after="0"/>
              <w:jc w:val="right"/>
            </w:pPr>
            <w:r>
              <w:rPr>
                <w:rFonts w:ascii="Calibri" w:hAnsi="Calibri"/>
                <w:color w:val="111827"/>
                <w:sz w:val="18"/>
              </w:rPr>
              <w:t>$51,243</w:t>
            </w:r>
          </w:p>
        </w:tc>
        <w:tc>
          <w:tcPr>
            <w:tcW w:type="dxa" w:w="2340"/>
            <w:tcMar>
              <w:top w:w="80" w:type="dxa"/>
              <w:start w:w="120" w:type="dxa"/>
              <w:bottom w:w="80" w:type="dxa"/>
              <w:end w:w="120" w:type="dxa"/>
            </w:tcMar>
            <w:vAlign w:val="center"/>
          </w:tcPr>
          <w:p>
            <w:pPr>
              <w:spacing w:after="0"/>
              <w:jc w:val="right"/>
            </w:pPr>
            <w:r>
              <w:rPr>
                <w:rFonts w:ascii="Calibri" w:hAnsi="Calibri"/>
                <w:color w:val="111827"/>
                <w:sz w:val="18"/>
              </w:rPr>
              <w:t>38.7%</w:t>
            </w:r>
          </w:p>
        </w:tc>
        <w:tc>
          <w:tcPr>
            <w:tcW w:type="dxa" w:w="2340"/>
            <w:tcMar>
              <w:top w:w="80" w:type="dxa"/>
              <w:start w:w="120" w:type="dxa"/>
              <w:bottom w:w="80" w:type="dxa"/>
              <w:end w:w="120" w:type="dxa"/>
            </w:tcMar>
            <w:vAlign w:val="center"/>
          </w:tcPr>
          <w:p>
            <w:pPr>
              <w:spacing w:after="0"/>
              <w:jc w:val="right"/>
            </w:pPr>
            <w:r>
              <w:rPr>
                <w:rFonts w:ascii="Calibri" w:hAnsi="Calibri"/>
                <w:color w:val="111827"/>
                <w:sz w:val="18"/>
              </w:rPr>
              <w:t>($5,483)</w:t>
            </w:r>
          </w:p>
        </w:tc>
      </w:tr>
    </w:tbl>
    <w:p>
      <w:pPr>
        <w:spacing w:after="40"/>
      </w:pPr>
    </w:p>
    <w:p>
      <w:pPr>
        <w:pStyle w:val="Heading1"/>
        <w:keepNext/>
      </w:pPr>
      <w:r>
        <w:t>1. Proposed data model</w:t>
      </w:r>
    </w:p>
    <w:p>
      <w:pPr>
        <w:spacing w:after="120" w:line="264" w:lineRule="auto"/>
      </w:pPr>
      <w:r>
        <w:rPr>
          <w:rFonts w:ascii="Calibri" w:hAnsi="Calibri"/>
          <w:color w:val="111827"/>
        </w:rPr>
        <w:t>I would use one BigQuery model with separate raw, staging, core, and reporting layers. The lower-cost option uses Google Cloud ingestion, Dataform, and Connected Sheets or Looker Studio. The managed option buys Amazon and QuickBooks connectors, dbt Cloud, monitoring, and Looker. The tables and finance definitions stay the same in either option.</w:t>
      </w:r>
    </w:p>
    <w:tbl>
      <w:tblPr>
        <w:tblStyle w:val="TableGrid"/>
        <w:tblW w:type="dxa" w:w="9360"/>
        <w:tblLayout w:type="fixed"/>
        <w:tblLook w:firstColumn="1" w:firstRow="1" w:lastColumn="0" w:lastRow="0" w:noHBand="0" w:noVBand="1" w:val="04A0"/>
        <w:jc w:val="left"/>
        <w:tblInd w:w="120" w:type="dxa"/>
      </w:tblPr>
      <w:tblGrid>
        <w:gridCol w:w="1200"/>
        <w:gridCol w:w="4300"/>
        <w:gridCol w:w="3860"/>
      </w:tblGrid>
      <w:tr>
        <w:trPr>
          <w:tblHeader w:val="true"/>
        </w:trPr>
        <w:tc>
          <w:tcPr>
            <w:tcW w:type="dxa" w:w="1200"/>
            <w:tcMar>
              <w:top w:w="80" w:type="dxa"/>
              <w:start w:w="120" w:type="dxa"/>
              <w:bottom w:w="80" w:type="dxa"/>
              <w:end w:w="120" w:type="dxa"/>
            </w:tcMar>
            <w:vAlign w:val="center"/>
            <w:shd w:fill="0B2545"/>
          </w:tcPr>
          <w:p>
            <w:pPr>
              <w:spacing w:after="0"/>
            </w:pPr>
            <w:r>
              <w:rPr>
                <w:rFonts w:ascii="Calibri" w:hAnsi="Calibri"/>
                <w:b/>
                <w:color w:val="FFFFFF"/>
                <w:sz w:val="18"/>
              </w:rPr>
              <w:t>Layer</w:t>
            </w:r>
          </w:p>
        </w:tc>
        <w:tc>
          <w:tcPr>
            <w:tcW w:type="dxa" w:w="4300"/>
            <w:tcMar>
              <w:top w:w="80" w:type="dxa"/>
              <w:start w:w="120" w:type="dxa"/>
              <w:bottom w:w="80" w:type="dxa"/>
              <w:end w:w="120" w:type="dxa"/>
            </w:tcMar>
            <w:vAlign w:val="center"/>
            <w:shd w:fill="0B2545"/>
          </w:tcPr>
          <w:p>
            <w:pPr>
              <w:spacing w:after="0"/>
            </w:pPr>
            <w:r>
              <w:rPr>
                <w:rFonts w:ascii="Calibri" w:hAnsi="Calibri"/>
                <w:b/>
                <w:color w:val="FFFFFF"/>
                <w:sz w:val="18"/>
              </w:rPr>
              <w:t>What it contains</w:t>
            </w:r>
          </w:p>
        </w:tc>
        <w:tc>
          <w:tcPr>
            <w:tcW w:type="dxa" w:w="3860"/>
            <w:tcMar>
              <w:top w:w="80" w:type="dxa"/>
              <w:start w:w="120" w:type="dxa"/>
              <w:bottom w:w="80" w:type="dxa"/>
              <w:end w:w="120" w:type="dxa"/>
            </w:tcMar>
            <w:vAlign w:val="center"/>
            <w:shd w:fill="0B2545"/>
          </w:tcPr>
          <w:p>
            <w:pPr>
              <w:spacing w:after="0"/>
            </w:pPr>
            <w:r>
              <w:rPr>
                <w:rFonts w:ascii="Calibri" w:hAnsi="Calibri"/>
                <w:b/>
                <w:color w:val="FFFFFF"/>
                <w:sz w:val="18"/>
              </w:rPr>
              <w:t>Control objective</w:t>
            </w:r>
          </w:p>
        </w:tc>
      </w:tr>
      <w:tr>
        <w:tc>
          <w:tcPr>
            <w:tcW w:type="dxa" w:w="1200"/>
            <w:tcMar>
              <w:top w:w="80" w:type="dxa"/>
              <w:start w:w="120" w:type="dxa"/>
              <w:bottom w:w="80" w:type="dxa"/>
              <w:end w:w="120" w:type="dxa"/>
            </w:tcMar>
            <w:vAlign w:val="center"/>
          </w:tcPr>
          <w:p>
            <w:pPr>
              <w:spacing w:after="0"/>
            </w:pPr>
            <w:r>
              <w:rPr>
                <w:rFonts w:ascii="Calibri" w:hAnsi="Calibri"/>
                <w:color w:val="111827"/>
                <w:sz w:val="18"/>
              </w:rPr>
              <w:t>Raw</w:t>
            </w:r>
          </w:p>
        </w:tc>
        <w:tc>
          <w:tcPr>
            <w:tcW w:type="dxa" w:w="4300"/>
            <w:tcMar>
              <w:top w:w="80" w:type="dxa"/>
              <w:start w:w="120" w:type="dxa"/>
              <w:bottom w:w="80" w:type="dxa"/>
              <w:end w:w="120" w:type="dxa"/>
            </w:tcMar>
            <w:vAlign w:val="center"/>
          </w:tcPr>
          <w:p>
            <w:pPr>
              <w:spacing w:after="0"/>
            </w:pPr>
            <w:r>
              <w:rPr>
                <w:rFonts w:ascii="Calibri" w:hAnsi="Calibri"/>
                <w:color w:val="111827"/>
                <w:sz w:val="18"/>
              </w:rPr>
              <w:t>Versioned QuickBooks, REACH, Amazon, and Google Sheets extracts</w:t>
            </w:r>
          </w:p>
        </w:tc>
        <w:tc>
          <w:tcPr>
            <w:tcW w:type="dxa" w:w="3860"/>
            <w:tcMar>
              <w:top w:w="80" w:type="dxa"/>
              <w:start w:w="120" w:type="dxa"/>
              <w:bottom w:w="80" w:type="dxa"/>
              <w:end w:w="120" w:type="dxa"/>
            </w:tcMar>
            <w:vAlign w:val="center"/>
          </w:tcPr>
          <w:p>
            <w:pPr>
              <w:spacing w:after="0"/>
            </w:pPr>
            <w:r>
              <w:rPr>
                <w:rFonts w:ascii="Calibri" w:hAnsi="Calibri"/>
                <w:color w:val="111827"/>
                <w:sz w:val="18"/>
              </w:rPr>
              <w:t>Replayable source evidence with file, load time, and row hash</w:t>
            </w:r>
          </w:p>
        </w:tc>
      </w:tr>
      <w:tr>
        <w:tc>
          <w:tcPr>
            <w:tcW w:type="dxa" w:w="1200"/>
            <w:shd w:fill="F2F4F7"/>
            <w:tcMar>
              <w:top w:w="80" w:type="dxa"/>
              <w:start w:w="120" w:type="dxa"/>
              <w:bottom w:w="80" w:type="dxa"/>
              <w:end w:w="120" w:type="dxa"/>
            </w:tcMar>
            <w:vAlign w:val="center"/>
          </w:tcPr>
          <w:p>
            <w:pPr>
              <w:spacing w:after="0"/>
            </w:pPr>
            <w:r>
              <w:rPr>
                <w:rFonts w:ascii="Calibri" w:hAnsi="Calibri"/>
                <w:color w:val="111827"/>
                <w:sz w:val="18"/>
              </w:rPr>
              <w:t>Staging</w:t>
            </w:r>
          </w:p>
        </w:tc>
        <w:tc>
          <w:tcPr>
            <w:tcW w:type="dxa" w:w="4300"/>
            <w:shd w:fill="F2F4F7"/>
            <w:tcMar>
              <w:top w:w="80" w:type="dxa"/>
              <w:start w:w="120" w:type="dxa"/>
              <w:bottom w:w="80" w:type="dxa"/>
              <w:end w:w="120" w:type="dxa"/>
            </w:tcMar>
            <w:vAlign w:val="center"/>
          </w:tcPr>
          <w:p>
            <w:pPr>
              <w:spacing w:after="0"/>
            </w:pPr>
            <w:r>
              <w:rPr>
                <w:rFonts w:ascii="Calibri" w:hAnsi="Calibri"/>
                <w:color w:val="111827"/>
                <w:sz w:val="18"/>
              </w:rPr>
              <w:t>Typed, renamed source-shaped views with explicit replay rules</w:t>
            </w:r>
          </w:p>
        </w:tc>
        <w:tc>
          <w:tcPr>
            <w:tcW w:type="dxa" w:w="3860"/>
            <w:shd w:fill="F2F4F7"/>
            <w:tcMar>
              <w:top w:w="80" w:type="dxa"/>
              <w:start w:w="120" w:type="dxa"/>
              <w:bottom w:w="80" w:type="dxa"/>
              <w:end w:w="120" w:type="dxa"/>
            </w:tcMar>
            <w:vAlign w:val="center"/>
          </w:tcPr>
          <w:p>
            <w:pPr>
              <w:spacing w:after="0"/>
            </w:pPr>
            <w:r>
              <w:rPr>
                <w:rFonts w:ascii="Calibri" w:hAnsi="Calibri"/>
                <w:color w:val="111827"/>
                <w:sz w:val="18"/>
              </w:rPr>
              <w:t>Reject schema/date/type failures without altering raw data</w:t>
            </w:r>
          </w:p>
        </w:tc>
      </w:tr>
      <w:tr>
        <w:tc>
          <w:tcPr>
            <w:tcW w:type="dxa" w:w="1200"/>
            <w:tcMar>
              <w:top w:w="80" w:type="dxa"/>
              <w:start w:w="120" w:type="dxa"/>
              <w:bottom w:w="80" w:type="dxa"/>
              <w:end w:w="120" w:type="dxa"/>
            </w:tcMar>
            <w:vAlign w:val="center"/>
          </w:tcPr>
          <w:p>
            <w:pPr>
              <w:spacing w:after="0"/>
            </w:pPr>
            <w:r>
              <w:rPr>
                <w:rFonts w:ascii="Calibri" w:hAnsi="Calibri"/>
                <w:color w:val="111827"/>
                <w:sz w:val="18"/>
              </w:rPr>
              <w:t>Core</w:t>
            </w:r>
          </w:p>
        </w:tc>
        <w:tc>
          <w:tcPr>
            <w:tcW w:type="dxa" w:w="4300"/>
            <w:tcMar>
              <w:top w:w="80" w:type="dxa"/>
              <w:start w:w="120" w:type="dxa"/>
              <w:bottom w:w="80" w:type="dxa"/>
              <w:end w:w="120" w:type="dxa"/>
            </w:tcMar>
            <w:vAlign w:val="center"/>
          </w:tcPr>
          <w:p>
            <w:pPr>
              <w:spacing w:after="0"/>
            </w:pPr>
            <w:r>
              <w:rPr>
                <w:rFonts w:ascii="Calibri" w:hAnsi="Calibri"/>
                <w:color w:val="111827"/>
                <w:sz w:val="18"/>
              </w:rPr>
              <w:t>Dimensions, facts, identifier bridge, UOM conversions</w:t>
            </w:r>
          </w:p>
        </w:tc>
        <w:tc>
          <w:tcPr>
            <w:tcW w:type="dxa" w:w="3860"/>
            <w:tcMar>
              <w:top w:w="80" w:type="dxa"/>
              <w:start w:w="120" w:type="dxa"/>
              <w:bottom w:w="80" w:type="dxa"/>
              <w:end w:w="120" w:type="dxa"/>
            </w:tcMar>
            <w:vAlign w:val="center"/>
          </w:tcPr>
          <w:p>
            <w:pPr>
              <w:spacing w:after="0"/>
            </w:pPr>
            <w:r>
              <w:rPr>
                <w:rFonts w:ascii="Calibri" w:hAnsi="Calibri"/>
                <w:color w:val="111827"/>
                <w:sz w:val="18"/>
              </w:rPr>
              <w:t>Stable keys, effective dates, and reusable business logic</w:t>
            </w:r>
          </w:p>
        </w:tc>
      </w:tr>
      <w:tr>
        <w:tc>
          <w:tcPr>
            <w:tcW w:type="dxa" w:w="1200"/>
            <w:shd w:fill="F2F4F7"/>
            <w:tcMar>
              <w:top w:w="80" w:type="dxa"/>
              <w:start w:w="120" w:type="dxa"/>
              <w:bottom w:w="80" w:type="dxa"/>
              <w:end w:w="120" w:type="dxa"/>
            </w:tcMar>
            <w:vAlign w:val="center"/>
          </w:tcPr>
          <w:p>
            <w:pPr>
              <w:spacing w:after="0"/>
            </w:pPr>
            <w:r>
              <w:rPr>
                <w:rFonts w:ascii="Calibri" w:hAnsi="Calibri"/>
                <w:color w:val="111827"/>
                <w:sz w:val="18"/>
              </w:rPr>
              <w:t>Marts</w:t>
            </w:r>
          </w:p>
        </w:tc>
        <w:tc>
          <w:tcPr>
            <w:tcW w:type="dxa" w:w="4300"/>
            <w:shd w:fill="F2F4F7"/>
            <w:tcMar>
              <w:top w:w="80" w:type="dxa"/>
              <w:start w:w="120" w:type="dxa"/>
              <w:bottom w:w="80" w:type="dxa"/>
              <w:end w:w="120" w:type="dxa"/>
            </w:tcMar>
            <w:vAlign w:val="center"/>
          </w:tcPr>
          <w:p>
            <w:pPr>
              <w:spacing w:after="0"/>
            </w:pPr>
            <w:r>
              <w:rPr>
                <w:rFonts w:ascii="Calibri" w:hAnsi="Calibri"/>
                <w:color w:val="111827"/>
                <w:sz w:val="18"/>
              </w:rPr>
              <w:t>Brand/SKU profitability, inventory health, close reconciliation</w:t>
            </w:r>
          </w:p>
        </w:tc>
        <w:tc>
          <w:tcPr>
            <w:tcW w:type="dxa" w:w="3860"/>
            <w:shd w:fill="F2F4F7"/>
            <w:tcMar>
              <w:top w:w="80" w:type="dxa"/>
              <w:start w:w="120" w:type="dxa"/>
              <w:bottom w:w="80" w:type="dxa"/>
              <w:end w:w="120" w:type="dxa"/>
            </w:tcMar>
            <w:vAlign w:val="center"/>
          </w:tcPr>
          <w:p>
            <w:pPr>
              <w:spacing w:after="0"/>
            </w:pPr>
            <w:r>
              <w:rPr>
                <w:rFonts w:ascii="Calibri" w:hAnsi="Calibri"/>
                <w:color w:val="111827"/>
                <w:sz w:val="18"/>
              </w:rPr>
              <w:t>One governed definition for leadership and operators</w:t>
            </w:r>
          </w:p>
        </w:tc>
      </w:tr>
      <w:tr>
        <w:tc>
          <w:tcPr>
            <w:tcW w:type="dxa" w:w="1200"/>
            <w:tcMar>
              <w:top w:w="80" w:type="dxa"/>
              <w:start w:w="120" w:type="dxa"/>
              <w:bottom w:w="80" w:type="dxa"/>
              <w:end w:w="120" w:type="dxa"/>
            </w:tcMar>
            <w:vAlign w:val="center"/>
          </w:tcPr>
          <w:p>
            <w:pPr>
              <w:spacing w:after="0"/>
            </w:pPr>
            <w:r>
              <w:rPr>
                <w:rFonts w:ascii="Calibri" w:hAnsi="Calibri"/>
                <w:color w:val="111827"/>
                <w:sz w:val="18"/>
              </w:rPr>
              <w:t>Quality</w:t>
            </w:r>
          </w:p>
        </w:tc>
        <w:tc>
          <w:tcPr>
            <w:tcW w:type="dxa" w:w="4300"/>
            <w:tcMar>
              <w:top w:w="80" w:type="dxa"/>
              <w:start w:w="120" w:type="dxa"/>
              <w:bottom w:w="80" w:type="dxa"/>
              <w:end w:w="120" w:type="dxa"/>
            </w:tcMar>
            <w:vAlign w:val="center"/>
          </w:tcPr>
          <w:p>
            <w:pPr>
              <w:spacing w:after="0"/>
            </w:pPr>
            <w:r>
              <w:rPr>
                <w:rFonts w:ascii="Calibri" w:hAnsi="Calibri"/>
                <w:color w:val="111827"/>
                <w:sz w:val="18"/>
              </w:rPr>
              <w:t>Test results, quarantined rows, owners, aging, resolution</w:t>
            </w:r>
          </w:p>
        </w:tc>
        <w:tc>
          <w:tcPr>
            <w:tcW w:type="dxa" w:w="3860"/>
            <w:tcMar>
              <w:top w:w="80" w:type="dxa"/>
              <w:start w:w="120" w:type="dxa"/>
              <w:bottom w:w="80" w:type="dxa"/>
              <w:end w:w="120" w:type="dxa"/>
            </w:tcMar>
            <w:vAlign w:val="center"/>
          </w:tcPr>
          <w:p>
            <w:pPr>
              <w:spacing w:after="0"/>
            </w:pPr>
            <w:r>
              <w:rPr>
                <w:rFonts w:ascii="Calibri" w:hAnsi="Calibri"/>
                <w:color w:val="111827"/>
                <w:sz w:val="18"/>
              </w:rPr>
              <w:t>Prevent silent drops and expose material exceptions</w:t>
            </w:r>
          </w:p>
        </w:tc>
      </w:tr>
    </w:tbl>
    <w:p>
      <w:pPr>
        <w:spacing w:after="40"/>
      </w:pPr>
    </w:p>
    <w:p>
      <w:r>
        <w:br w:type="page"/>
      </w:r>
    </w:p>
    <w:p>
      <w:pPr>
        <w:pStyle w:val="Heading1"/>
        <w:keepNext/>
      </w:pPr>
      <w:r>
        <w:t>Data model schema and reporting grains</w:t>
      </w:r>
    </w:p>
    <w:tbl>
      <w:tblPr>
        <w:tblStyle w:val="TableGrid"/>
        <w:tblW w:type="dxa" w:w="9360"/>
        <w:tblLayout w:type="fixed"/>
        <w:tblLook w:firstColumn="1" w:firstRow="1" w:lastColumn="0" w:lastRow="0" w:noHBand="0" w:noVBand="1" w:val="04A0"/>
        <w:jc w:val="left"/>
        <w:tblInd w:w="120" w:type="dxa"/>
      </w:tblPr>
      <w:tblGrid>
        <w:gridCol w:w="3000"/>
        <w:gridCol w:w="2860"/>
        <w:gridCol w:w="3500"/>
      </w:tblGrid>
      <w:tr>
        <w:trPr>
          <w:tblHeader w:val="true"/>
        </w:trPr>
        <w:tc>
          <w:tcPr>
            <w:tcW w:type="dxa" w:w="3000"/>
            <w:tcMar>
              <w:top w:w="80" w:type="dxa"/>
              <w:start w:w="120" w:type="dxa"/>
              <w:bottom w:w="80" w:type="dxa"/>
              <w:end w:w="120" w:type="dxa"/>
            </w:tcMar>
            <w:vAlign w:val="center"/>
            <w:shd w:fill="0B2545"/>
          </w:tcPr>
          <w:p>
            <w:pPr>
              <w:spacing w:after="0"/>
            </w:pPr>
            <w:r>
              <w:rPr>
                <w:rFonts w:ascii="Calibri" w:hAnsi="Calibri"/>
                <w:b/>
                <w:color w:val="FFFFFF"/>
                <w:sz w:val="18"/>
              </w:rPr>
              <w:t>Object</w:t>
            </w:r>
          </w:p>
        </w:tc>
        <w:tc>
          <w:tcPr>
            <w:tcW w:type="dxa" w:w="2860"/>
            <w:tcMar>
              <w:top w:w="80" w:type="dxa"/>
              <w:start w:w="120" w:type="dxa"/>
              <w:bottom w:w="80" w:type="dxa"/>
              <w:end w:w="120" w:type="dxa"/>
            </w:tcMar>
            <w:vAlign w:val="center"/>
            <w:shd w:fill="0B2545"/>
          </w:tcPr>
          <w:p>
            <w:pPr>
              <w:spacing w:after="0"/>
            </w:pPr>
            <w:r>
              <w:rPr>
                <w:rFonts w:ascii="Calibri" w:hAnsi="Calibri"/>
                <w:b/>
                <w:color w:val="FFFFFF"/>
                <w:sz w:val="18"/>
              </w:rPr>
              <w:t>Grain</w:t>
            </w:r>
          </w:p>
        </w:tc>
        <w:tc>
          <w:tcPr>
            <w:tcW w:type="dxa" w:w="3500"/>
            <w:tcMar>
              <w:top w:w="80" w:type="dxa"/>
              <w:start w:w="120" w:type="dxa"/>
              <w:bottom w:w="80" w:type="dxa"/>
              <w:end w:w="120" w:type="dxa"/>
            </w:tcMar>
            <w:vAlign w:val="center"/>
            <w:shd w:fill="0B2545"/>
          </w:tcPr>
          <w:p>
            <w:pPr>
              <w:spacing w:after="0"/>
            </w:pPr>
            <w:r>
              <w:rPr>
                <w:rFonts w:ascii="Calibri" w:hAnsi="Calibri"/>
                <w:b/>
                <w:color w:val="FFFFFF"/>
                <w:sz w:val="18"/>
              </w:rPr>
              <w:t>Key / identity</w:t>
            </w:r>
          </w:p>
        </w:tc>
      </w:tr>
      <w:tr>
        <w:tc>
          <w:tcPr>
            <w:tcW w:type="dxa" w:w="3000"/>
            <w:tcMar>
              <w:top w:w="80" w:type="dxa"/>
              <w:start w:w="120" w:type="dxa"/>
              <w:bottom w:w="80" w:type="dxa"/>
              <w:end w:w="120" w:type="dxa"/>
            </w:tcMar>
            <w:vAlign w:val="center"/>
          </w:tcPr>
          <w:p>
            <w:pPr>
              <w:spacing w:after="0"/>
            </w:pPr>
            <w:r>
              <w:rPr>
                <w:rFonts w:ascii="Calibri" w:hAnsi="Calibri"/>
                <w:color w:val="111827"/>
                <w:sz w:val="18"/>
              </w:rPr>
              <w:t>dim_product</w:t>
            </w:r>
          </w:p>
        </w:tc>
        <w:tc>
          <w:tcPr>
            <w:tcW w:type="dxa" w:w="2860"/>
            <w:tcMar>
              <w:top w:w="80" w:type="dxa"/>
              <w:start w:w="120" w:type="dxa"/>
              <w:bottom w:w="80" w:type="dxa"/>
              <w:end w:w="120" w:type="dxa"/>
            </w:tcMar>
            <w:vAlign w:val="center"/>
          </w:tcPr>
          <w:p>
            <w:pPr>
              <w:spacing w:after="0"/>
            </w:pPr>
            <w:r>
              <w:rPr>
                <w:rFonts w:ascii="Calibri" w:hAnsi="Calibri"/>
                <w:color w:val="111827"/>
                <w:sz w:val="18"/>
              </w:rPr>
              <w:t>One canonical SKU version</w:t>
            </w:r>
          </w:p>
        </w:tc>
        <w:tc>
          <w:tcPr>
            <w:tcW w:type="dxa" w:w="3500"/>
            <w:tcMar>
              <w:top w:w="80" w:type="dxa"/>
              <w:start w:w="120" w:type="dxa"/>
              <w:bottom w:w="80" w:type="dxa"/>
              <w:end w:w="120" w:type="dxa"/>
            </w:tcMar>
            <w:vAlign w:val="center"/>
          </w:tcPr>
          <w:p>
            <w:pPr>
              <w:spacing w:after="0"/>
            </w:pPr>
            <w:r>
              <w:rPr>
                <w:rFonts w:ascii="Calibri" w:hAnsi="Calibri"/>
                <w:color w:val="111827"/>
                <w:sz w:val="18"/>
              </w:rPr>
              <w:t>product_key; canonical SKU + effective dates</w:t>
            </w:r>
          </w:p>
        </w:tc>
      </w:tr>
      <w:tr>
        <w:tc>
          <w:tcPr>
            <w:tcW w:type="dxa" w:w="3000"/>
            <w:shd w:fill="F2F4F7"/>
            <w:tcMar>
              <w:top w:w="80" w:type="dxa"/>
              <w:start w:w="120" w:type="dxa"/>
              <w:bottom w:w="80" w:type="dxa"/>
              <w:end w:w="120" w:type="dxa"/>
            </w:tcMar>
            <w:vAlign w:val="center"/>
          </w:tcPr>
          <w:p>
            <w:pPr>
              <w:spacing w:after="0"/>
            </w:pPr>
            <w:r>
              <w:rPr>
                <w:rFonts w:ascii="Calibri" w:hAnsi="Calibri"/>
                <w:color w:val="111827"/>
                <w:sz w:val="18"/>
              </w:rPr>
              <w:t>bridge_product_identifier</w:t>
            </w:r>
          </w:p>
        </w:tc>
        <w:tc>
          <w:tcPr>
            <w:tcW w:type="dxa" w:w="2860"/>
            <w:shd w:fill="F2F4F7"/>
            <w:tcMar>
              <w:top w:w="80" w:type="dxa"/>
              <w:start w:w="120" w:type="dxa"/>
              <w:bottom w:w="80" w:type="dxa"/>
              <w:end w:w="120" w:type="dxa"/>
            </w:tcMar>
            <w:vAlign w:val="center"/>
          </w:tcPr>
          <w:p>
            <w:pPr>
              <w:spacing w:after="0"/>
            </w:pPr>
            <w:r>
              <w:rPr>
                <w:rFonts w:ascii="Calibri" w:hAnsi="Calibri"/>
                <w:color w:val="111827"/>
                <w:sz w:val="18"/>
              </w:rPr>
              <w:t>Identifier version</w:t>
            </w:r>
          </w:p>
        </w:tc>
        <w:tc>
          <w:tcPr>
            <w:tcW w:type="dxa" w:w="3500"/>
            <w:shd w:fill="F2F4F7"/>
            <w:tcMar>
              <w:top w:w="80" w:type="dxa"/>
              <w:start w:w="120" w:type="dxa"/>
              <w:bottom w:w="80" w:type="dxa"/>
              <w:end w:w="120" w:type="dxa"/>
            </w:tcMar>
            <w:vAlign w:val="center"/>
          </w:tcPr>
          <w:p>
            <w:pPr>
              <w:spacing w:after="0"/>
            </w:pPr>
            <w:r>
              <w:rPr>
                <w:rFonts w:ascii="Calibri" w:hAnsi="Calibri"/>
                <w:color w:val="111827"/>
                <w:sz w:val="18"/>
              </w:rPr>
              <w:t>type + value + marketplace + effective dates</w:t>
            </w:r>
          </w:p>
        </w:tc>
      </w:tr>
      <w:tr>
        <w:tc>
          <w:tcPr>
            <w:tcW w:type="dxa" w:w="3000"/>
            <w:tcMar>
              <w:top w:w="80" w:type="dxa"/>
              <w:start w:w="120" w:type="dxa"/>
              <w:bottom w:w="80" w:type="dxa"/>
              <w:end w:w="120" w:type="dxa"/>
            </w:tcMar>
            <w:vAlign w:val="center"/>
          </w:tcPr>
          <w:p>
            <w:pPr>
              <w:spacing w:after="0"/>
            </w:pPr>
            <w:r>
              <w:rPr>
                <w:rFonts w:ascii="Calibri" w:hAnsi="Calibri"/>
                <w:color w:val="111827"/>
                <w:sz w:val="18"/>
              </w:rPr>
              <w:t>dim_brand / dim_vendor / dim_channel</w:t>
            </w:r>
          </w:p>
        </w:tc>
        <w:tc>
          <w:tcPr>
            <w:tcW w:type="dxa" w:w="2860"/>
            <w:tcMar>
              <w:top w:w="80" w:type="dxa"/>
              <w:start w:w="120" w:type="dxa"/>
              <w:bottom w:w="80" w:type="dxa"/>
              <w:end w:w="120" w:type="dxa"/>
            </w:tcMar>
            <w:vAlign w:val="center"/>
          </w:tcPr>
          <w:p>
            <w:pPr>
              <w:spacing w:after="0"/>
            </w:pPr>
            <w:r>
              <w:rPr>
                <w:rFonts w:ascii="Calibri" w:hAnsi="Calibri"/>
                <w:color w:val="111827"/>
                <w:sz w:val="18"/>
              </w:rPr>
              <w:t>One conformed entity</w:t>
            </w:r>
          </w:p>
        </w:tc>
        <w:tc>
          <w:tcPr>
            <w:tcW w:type="dxa" w:w="3500"/>
            <w:tcMar>
              <w:top w:w="80" w:type="dxa"/>
              <w:start w:w="120" w:type="dxa"/>
              <w:bottom w:w="80" w:type="dxa"/>
              <w:end w:w="120" w:type="dxa"/>
            </w:tcMar>
            <w:vAlign w:val="center"/>
          </w:tcPr>
          <w:p>
            <w:pPr>
              <w:spacing w:after="0"/>
            </w:pPr>
            <w:r>
              <w:rPr>
                <w:rFonts w:ascii="Calibri" w:hAnsi="Calibri"/>
                <w:color w:val="111827"/>
                <w:sz w:val="18"/>
              </w:rPr>
              <w:t>Surrogate key + governed natural key</w:t>
            </w:r>
          </w:p>
        </w:tc>
      </w:tr>
      <w:tr>
        <w:tc>
          <w:tcPr>
            <w:tcW w:type="dxa" w:w="3000"/>
            <w:shd w:fill="F2F4F7"/>
            <w:tcMar>
              <w:top w:w="80" w:type="dxa"/>
              <w:start w:w="120" w:type="dxa"/>
              <w:bottom w:w="80" w:type="dxa"/>
              <w:end w:w="120" w:type="dxa"/>
            </w:tcMar>
            <w:vAlign w:val="center"/>
          </w:tcPr>
          <w:p>
            <w:pPr>
              <w:spacing w:after="0"/>
            </w:pPr>
            <w:r>
              <w:rPr>
                <w:rFonts w:ascii="Calibri" w:hAnsi="Calibri"/>
                <w:color w:val="111827"/>
                <w:sz w:val="18"/>
              </w:rPr>
              <w:t>fct_marketplace_transaction</w:t>
            </w:r>
          </w:p>
        </w:tc>
        <w:tc>
          <w:tcPr>
            <w:tcW w:type="dxa" w:w="2860"/>
            <w:shd w:fill="F2F4F7"/>
            <w:tcMar>
              <w:top w:w="80" w:type="dxa"/>
              <w:start w:w="120" w:type="dxa"/>
              <w:bottom w:w="80" w:type="dxa"/>
              <w:end w:w="120" w:type="dxa"/>
            </w:tcMar>
            <w:vAlign w:val="center"/>
          </w:tcPr>
          <w:p>
            <w:pPr>
              <w:spacing w:after="0"/>
            </w:pPr>
            <w:r>
              <w:rPr>
                <w:rFonts w:ascii="Calibri" w:hAnsi="Calibri"/>
                <w:color w:val="111827"/>
                <w:sz w:val="18"/>
              </w:rPr>
              <w:t>One settlement row</w:t>
            </w:r>
          </w:p>
        </w:tc>
        <w:tc>
          <w:tcPr>
            <w:tcW w:type="dxa" w:w="3500"/>
            <w:shd w:fill="F2F4F7"/>
            <w:tcMar>
              <w:top w:w="80" w:type="dxa"/>
              <w:start w:w="120" w:type="dxa"/>
              <w:bottom w:w="80" w:type="dxa"/>
              <w:end w:w="120" w:type="dxa"/>
            </w:tcMar>
            <w:vAlign w:val="center"/>
          </w:tcPr>
          <w:p>
            <w:pPr>
              <w:spacing w:after="0"/>
            </w:pPr>
            <w:r>
              <w:rPr>
                <w:rFonts w:ascii="Calibri" w:hAnsi="Calibri"/>
                <w:color w:val="111827"/>
                <w:sz w:val="18"/>
              </w:rPr>
              <w:t>source file + row hash; order/settlement IDs retained</w:t>
            </w:r>
          </w:p>
        </w:tc>
      </w:tr>
      <w:tr>
        <w:tc>
          <w:tcPr>
            <w:tcW w:type="dxa" w:w="3000"/>
            <w:tcMar>
              <w:top w:w="80" w:type="dxa"/>
              <w:start w:w="120" w:type="dxa"/>
              <w:bottom w:w="80" w:type="dxa"/>
              <w:end w:w="120" w:type="dxa"/>
            </w:tcMar>
            <w:vAlign w:val="center"/>
          </w:tcPr>
          <w:p>
            <w:pPr>
              <w:spacing w:after="0"/>
            </w:pPr>
            <w:r>
              <w:rPr>
                <w:rFonts w:ascii="Calibri" w:hAnsi="Calibri"/>
                <w:color w:val="111827"/>
                <w:sz w:val="18"/>
              </w:rPr>
              <w:t>fct_purchase_order_line</w:t>
            </w:r>
          </w:p>
        </w:tc>
        <w:tc>
          <w:tcPr>
            <w:tcW w:type="dxa" w:w="2860"/>
            <w:tcMar>
              <w:top w:w="80" w:type="dxa"/>
              <w:start w:w="120" w:type="dxa"/>
              <w:bottom w:w="80" w:type="dxa"/>
              <w:end w:w="120" w:type="dxa"/>
            </w:tcMar>
            <w:vAlign w:val="center"/>
          </w:tcPr>
          <w:p>
            <w:pPr>
              <w:spacing w:after="0"/>
            </w:pPr>
            <w:r>
              <w:rPr>
                <w:rFonts w:ascii="Calibri" w:hAnsi="Calibri"/>
                <w:color w:val="111827"/>
                <w:sz w:val="18"/>
              </w:rPr>
              <w:t>One PO line/version</w:t>
            </w:r>
          </w:p>
        </w:tc>
        <w:tc>
          <w:tcPr>
            <w:tcW w:type="dxa" w:w="3500"/>
            <w:tcMar>
              <w:top w:w="80" w:type="dxa"/>
              <w:start w:w="120" w:type="dxa"/>
              <w:bottom w:w="80" w:type="dxa"/>
              <w:end w:w="120" w:type="dxa"/>
            </w:tcMar>
            <w:vAlign w:val="center"/>
          </w:tcPr>
          <w:p>
            <w:pPr>
              <w:spacing w:after="0"/>
            </w:pPr>
            <w:r>
              <w:rPr>
                <w:rFonts w:ascii="Calibri" w:hAnsi="Calibri"/>
                <w:color w:val="111827"/>
                <w:sz w:val="18"/>
              </w:rPr>
              <w:t>PO number + line + source update</w:t>
            </w:r>
          </w:p>
        </w:tc>
      </w:tr>
      <w:tr>
        <w:tc>
          <w:tcPr>
            <w:tcW w:type="dxa" w:w="3000"/>
            <w:shd w:fill="F2F4F7"/>
            <w:tcMar>
              <w:top w:w="80" w:type="dxa"/>
              <w:start w:w="120" w:type="dxa"/>
              <w:bottom w:w="80" w:type="dxa"/>
              <w:end w:w="120" w:type="dxa"/>
            </w:tcMar>
            <w:vAlign w:val="center"/>
          </w:tcPr>
          <w:p>
            <w:pPr>
              <w:spacing w:after="0"/>
            </w:pPr>
            <w:r>
              <w:rPr>
                <w:rFonts w:ascii="Calibri" w:hAnsi="Calibri"/>
                <w:color w:val="111827"/>
                <w:sz w:val="18"/>
              </w:rPr>
              <w:t>inventory facts</w:t>
            </w:r>
          </w:p>
        </w:tc>
        <w:tc>
          <w:tcPr>
            <w:tcW w:type="dxa" w:w="2860"/>
            <w:shd w:fill="F2F4F7"/>
            <w:tcMar>
              <w:top w:w="80" w:type="dxa"/>
              <w:start w:w="120" w:type="dxa"/>
              <w:bottom w:w="80" w:type="dxa"/>
              <w:end w:w="120" w:type="dxa"/>
            </w:tcMar>
            <w:vAlign w:val="center"/>
          </w:tcPr>
          <w:p>
            <w:pPr>
              <w:spacing w:after="0"/>
            </w:pPr>
            <w:r>
              <w:rPr>
                <w:rFonts w:ascii="Calibri" w:hAnsi="Calibri"/>
                <w:color w:val="111827"/>
                <w:sz w:val="18"/>
              </w:rPr>
              <w:t>Snapshot by SKU/location/disposition; one receipt event</w:t>
            </w:r>
          </w:p>
        </w:tc>
        <w:tc>
          <w:tcPr>
            <w:tcW w:type="dxa" w:w="3500"/>
            <w:shd w:fill="F2F4F7"/>
            <w:tcMar>
              <w:top w:w="80" w:type="dxa"/>
              <w:start w:w="120" w:type="dxa"/>
              <w:bottom w:w="80" w:type="dxa"/>
              <w:end w:w="120" w:type="dxa"/>
            </w:tcMar>
            <w:vAlign w:val="center"/>
          </w:tcPr>
          <w:p>
            <w:pPr>
              <w:spacing w:after="0"/>
            </w:pPr>
            <w:r>
              <w:rPr>
                <w:rFonts w:ascii="Calibri" w:hAnsi="Calibri"/>
                <w:color w:val="111827"/>
                <w:sz w:val="18"/>
              </w:rPr>
              <w:t>snapshot key; receipt/shipment line ID</w:t>
            </w:r>
          </w:p>
        </w:tc>
      </w:tr>
      <w:tr>
        <w:tc>
          <w:tcPr>
            <w:tcW w:type="dxa" w:w="3000"/>
            <w:tcMar>
              <w:top w:w="80" w:type="dxa"/>
              <w:start w:w="120" w:type="dxa"/>
              <w:bottom w:w="80" w:type="dxa"/>
              <w:end w:w="120" w:type="dxa"/>
            </w:tcMar>
            <w:vAlign w:val="center"/>
          </w:tcPr>
          <w:p>
            <w:pPr>
              <w:spacing w:after="0"/>
            </w:pPr>
            <w:r>
              <w:rPr>
                <w:rFonts w:ascii="Calibri" w:hAnsi="Calibri"/>
                <w:color w:val="111827"/>
                <w:sz w:val="18"/>
              </w:rPr>
              <w:t>advertising / GL facts</w:t>
            </w:r>
          </w:p>
        </w:tc>
        <w:tc>
          <w:tcPr>
            <w:tcW w:type="dxa" w:w="2860"/>
            <w:tcMar>
              <w:top w:w="80" w:type="dxa"/>
              <w:start w:w="120" w:type="dxa"/>
              <w:bottom w:w="80" w:type="dxa"/>
              <w:end w:w="120" w:type="dxa"/>
            </w:tcMar>
            <w:vAlign w:val="center"/>
          </w:tcPr>
          <w:p>
            <w:pPr>
              <w:spacing w:after="0"/>
            </w:pPr>
            <w:r>
              <w:rPr>
                <w:rFonts w:ascii="Calibri" w:hAnsi="Calibri"/>
                <w:color w:val="111827"/>
                <w:sz w:val="18"/>
              </w:rPr>
              <w:t>Campaign/ad group/SKU cost; one QuickBooks journal line</w:t>
            </w:r>
          </w:p>
        </w:tc>
        <w:tc>
          <w:tcPr>
            <w:tcW w:type="dxa" w:w="3500"/>
            <w:tcMar>
              <w:top w:w="80" w:type="dxa"/>
              <w:start w:w="120" w:type="dxa"/>
              <w:bottom w:w="80" w:type="dxa"/>
              <w:end w:w="120" w:type="dxa"/>
            </w:tcMar>
            <w:vAlign w:val="center"/>
          </w:tcPr>
          <w:p>
            <w:pPr>
              <w:spacing w:after="0"/>
            </w:pPr>
            <w:r>
              <w:rPr>
                <w:rFonts w:ascii="Calibri" w:hAnsi="Calibri"/>
                <w:color w:val="111827"/>
                <w:sz w:val="18"/>
              </w:rPr>
              <w:t>advertising ID; transaction + line ID</w:t>
            </w:r>
          </w:p>
        </w:tc>
      </w:tr>
      <w:tr>
        <w:tc>
          <w:tcPr>
            <w:tcW w:type="dxa" w:w="3000"/>
            <w:shd w:fill="F2F4F7"/>
            <w:tcMar>
              <w:top w:w="80" w:type="dxa"/>
              <w:start w:w="120" w:type="dxa"/>
              <w:bottom w:w="80" w:type="dxa"/>
              <w:end w:w="120" w:type="dxa"/>
            </w:tcMar>
            <w:vAlign w:val="center"/>
          </w:tcPr>
          <w:p>
            <w:pPr>
              <w:spacing w:after="0"/>
            </w:pPr>
            <w:r>
              <w:rPr>
                <w:rFonts w:ascii="Calibri" w:hAnsi="Calibri"/>
                <w:color w:val="111827"/>
                <w:sz w:val="18"/>
              </w:rPr>
              <w:t>finance marts</w:t>
            </w:r>
          </w:p>
        </w:tc>
        <w:tc>
          <w:tcPr>
            <w:tcW w:type="dxa" w:w="2860"/>
            <w:shd w:fill="F2F4F7"/>
            <w:tcMar>
              <w:top w:w="80" w:type="dxa"/>
              <w:start w:w="120" w:type="dxa"/>
              <w:bottom w:w="80" w:type="dxa"/>
              <w:end w:w="120" w:type="dxa"/>
            </w:tcMar>
            <w:vAlign w:val="center"/>
          </w:tcPr>
          <w:p>
            <w:pPr>
              <w:spacing w:after="0"/>
            </w:pPr>
            <w:r>
              <w:rPr>
                <w:rFonts w:ascii="Calibri" w:hAnsi="Calibri"/>
                <w:color w:val="111827"/>
                <w:sz w:val="18"/>
              </w:rPr>
              <w:t>Daily SKU profitability; daily SKU/location inventory health</w:t>
            </w:r>
          </w:p>
        </w:tc>
        <w:tc>
          <w:tcPr>
            <w:tcW w:type="dxa" w:w="3500"/>
            <w:shd w:fill="F2F4F7"/>
            <w:tcMar>
              <w:top w:w="80" w:type="dxa"/>
              <w:start w:w="120" w:type="dxa"/>
              <w:bottom w:w="80" w:type="dxa"/>
              <w:end w:w="120" w:type="dxa"/>
            </w:tcMar>
            <w:vAlign w:val="center"/>
          </w:tcPr>
          <w:p>
            <w:pPr>
              <w:spacing w:after="0"/>
            </w:pPr>
            <w:r>
              <w:rPr>
                <w:rFonts w:ascii="Calibri" w:hAnsi="Calibri"/>
                <w:color w:val="111827"/>
                <w:sz w:val="18"/>
              </w:rPr>
              <w:t>reporting composite keys</w:t>
            </w:r>
          </w:p>
        </w:tc>
      </w:tr>
    </w:tbl>
    <w:p>
      <w:pPr>
        <w:spacing w:after="40"/>
      </w:pPr>
    </w:p>
    <w:p>
      <w:pPr>
        <w:pStyle w:val="Heading2"/>
        <w:keepNext/>
      </w:pPr>
      <w:r>
        <w:t>Identifier and cost rules</w:t>
      </w:r>
    </w:p>
    <w:p>
      <w:pPr>
        <w:spacing w:after="120" w:line="264" w:lineRule="auto"/>
      </w:pPr>
      <w:r>
        <w:rPr>
          <w:rFonts w:ascii="Calibri" w:hAnsi="Calibri"/>
          <w:b/>
          <w:color w:val="111827"/>
        </w:rPr>
        <w:t xml:space="preserve">Product identity. </w:t>
      </w:r>
      <w:r>
        <w:rPr>
          <w:rFonts w:ascii="Calibri" w:hAnsi="Calibri"/>
          <w:color w:val="111827"/>
        </w:rPr>
        <w:t>Use exact approved SKU first, then approved alias, then unique marketplace-scoped ASIN. Prefix inference (GT, PF, PH) may establish brand only and never invents a product key. Store product, brand, and ASIN confidence separately; quarantine conflicts. The actual Peak Fuel prefix is PF, not PK.</w:t>
      </w:r>
    </w:p>
    <w:p>
      <w:pPr>
        <w:spacing w:after="120" w:line="264" w:lineRule="auto"/>
      </w:pPr>
      <w:r>
        <w:rPr>
          <w:rFonts w:ascii="Calibri" w:hAnsi="Calibri"/>
          <w:b/>
          <w:color w:val="111827"/>
        </w:rPr>
        <w:t xml:space="preserve">Units of measure. </w:t>
      </w:r>
      <w:r>
        <w:rPr>
          <w:rFonts w:ascii="Calibri" w:hAnsi="Calibri"/>
          <w:color w:val="111827"/>
        </w:rPr>
        <w:t>Store purchasing UOM and sellable UOM separately. PH-DENTAL-30CT is ordered as cases of 12, so 99 PO cases become 1,188 sellable units before landed unit cost is calculated.</w:t>
      </w:r>
    </w:p>
    <w:p>
      <w:pPr>
        <w:spacing w:after="120" w:line="264" w:lineRule="auto"/>
      </w:pPr>
      <w:r>
        <w:rPr>
          <w:rFonts w:ascii="Calibri" w:hAnsi="Calibri"/>
          <w:b/>
          <w:color w:val="111827"/>
        </w:rPr>
        <w:t xml:space="preserve">Costing. </w:t>
      </w:r>
      <w:r>
        <w:rPr>
          <w:rFonts w:ascii="Calibri" w:hAnsi="Calibri"/>
          <w:color w:val="111827"/>
        </w:rPr>
        <w:t>Use receipt-date cost layers or perpetual weighted average when receipt data exists. For this assessment, quarter-wide weighted PO landed cost is the least speculative method because opening inventory layers and receiving dates are absent.</w:t>
      </w:r>
    </w:p>
    <w:p>
      <w:pPr>
        <w:pStyle w:val="Heading2"/>
        <w:keepNext/>
      </w:pPr>
      <w:r>
        <w:t>How I would keep the data reliable</w:t>
      </w:r>
    </w:p>
    <w:p>
      <w:pPr>
        <w:spacing w:after="60" w:line="264" w:lineRule="auto"/>
      </w:pPr>
      <w:r>
        <w:rPr>
          <w:rFonts w:ascii="Calibri" w:hAnsi="Calibri"/>
          <w:b/>
          <w:color w:val="111827"/>
        </w:rPr>
        <w:t xml:space="preserve">Contract. </w:t>
      </w:r>
      <w:r>
        <w:rPr>
          <w:rFonts w:ascii="Calibri" w:hAnsi="Calibri"/>
          <w:color w:val="111827"/>
        </w:rPr>
        <w:t>Snapshot every observed schema/hash; warn on optional additions and block required-field or type/mode changes.</w:t>
      </w:r>
    </w:p>
    <w:p>
      <w:pPr>
        <w:spacing w:after="60" w:line="264" w:lineRule="auto"/>
      </w:pPr>
      <w:r>
        <w:rPr>
          <w:rFonts w:ascii="Calibri" w:hAnsi="Calibri"/>
          <w:b/>
          <w:color w:val="111827"/>
        </w:rPr>
        <w:t xml:space="preserve">Identity. </w:t>
      </w:r>
      <w:r>
        <w:rPr>
          <w:rFonts w:ascii="Calibri" w:hAnsi="Calibri"/>
          <w:color w:val="111827"/>
        </w:rPr>
        <w:t>Require each sold identifier to resolve to exactly one product; quarantine ASIN collisions.</w:t>
      </w:r>
    </w:p>
    <w:p>
      <w:pPr>
        <w:spacing w:after="60" w:line="264" w:lineRule="auto"/>
      </w:pPr>
      <w:r>
        <w:rPr>
          <w:rFonts w:ascii="Calibri" w:hAnsi="Calibri"/>
          <w:b/>
          <w:color w:val="111827"/>
        </w:rPr>
        <w:t xml:space="preserve">Finance. </w:t>
      </w:r>
      <w:r>
        <w:rPr>
          <w:rFonts w:ascii="Calibri" w:hAnsi="Calibri"/>
          <w:color w:val="111827"/>
        </w:rPr>
        <w:t>Reconcile settlement components to total, PO line math, marts to staging, and marketplace cash to QuickBooks.</w:t>
      </w:r>
    </w:p>
    <w:p>
      <w:pPr>
        <w:spacing w:after="60" w:line="264" w:lineRule="auto"/>
      </w:pPr>
      <w:r>
        <w:rPr>
          <w:rFonts w:ascii="Calibri" w:hAnsi="Calibri"/>
          <w:b/>
          <w:color w:val="111827"/>
        </w:rPr>
        <w:t xml:space="preserve">Completeness / ownership. </w:t>
      </w:r>
      <w:r>
        <w:rPr>
          <w:rFonts w:ascii="Calibri" w:hAnsi="Calibri"/>
          <w:color w:val="111827"/>
        </w:rPr>
        <w:t>Require product and cost coverage; write failures to an exception table with severity, source row, owner, status, and resolution.</w:t>
      </w:r>
    </w:p>
    <w:p>
      <w:pPr>
        <w:pStyle w:val="Heading1"/>
        <w:keepNext/>
        <w:pageBreakBefore/>
      </w:pPr>
      <w:r>
        <w:t>2. Profitability analysis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AF5FB"/>
          </w:tcPr>
          <w:p>
            <w:pPr>
              <w:spacing w:after="0"/>
            </w:pPr>
            <w:r>
              <w:rPr>
                <w:rFonts w:ascii="Calibri" w:hAnsi="Calibri"/>
                <w:b/>
                <w:color w:val="0B2545"/>
              </w:rPr>
              <w:t xml:space="preserve">Definition: </w:t>
            </w:r>
            <w:r>
              <w:rPr>
                <w:rFonts w:ascii="Calibri" w:hAnsi="Calibri"/>
                <w:color w:val="0B2545"/>
              </w:rPr>
              <w:t>Contribution margin = product sales net of refunds - promotional deductions - referral fees - FBA fulfillment fees - landed COGS.</w:t>
            </w:r>
          </w:p>
        </w:tc>
      </w:tr>
    </w:tbl>
    <w:p>
      <w:pPr>
        <w:spacing w:after="40"/>
      </w:pPr>
    </w:p>
    <w:tbl>
      <w:tblPr>
        <w:tblStyle w:val="TableGrid"/>
        <w:tblW w:type="dxa" w:w="9360"/>
        <w:tblLayout w:type="fixed"/>
        <w:tblLook w:firstColumn="1" w:firstRow="1" w:lastColumn="0" w:lastRow="0" w:noHBand="0" w:noVBand="1" w:val="04A0"/>
        <w:jc w:val="left"/>
        <w:tblInd w:w="120" w:type="dxa"/>
      </w:tblPr>
      <w:tblGrid>
        <w:gridCol w:w="6960"/>
        <w:gridCol w:w="2400"/>
      </w:tblGrid>
      <w:tr>
        <w:trPr>
          <w:tblHeader w:val="true"/>
        </w:trPr>
        <w:tc>
          <w:tcPr>
            <w:tcW w:type="dxa" w:w="6960"/>
            <w:tcMar>
              <w:top w:w="80" w:type="dxa"/>
              <w:start w:w="120" w:type="dxa"/>
              <w:bottom w:w="80" w:type="dxa"/>
              <w:end w:w="120" w:type="dxa"/>
            </w:tcMar>
            <w:vAlign w:val="center"/>
            <w:shd w:fill="0B2545"/>
          </w:tcPr>
          <w:p>
            <w:pPr>
              <w:spacing w:after="0"/>
            </w:pPr>
            <w:r>
              <w:rPr>
                <w:rFonts w:ascii="Calibri" w:hAnsi="Calibri"/>
                <w:b/>
                <w:color w:val="FFFFFF"/>
                <w:sz w:val="18"/>
              </w:rPr>
              <w:t>Profit bridge</w:t>
            </w:r>
          </w:p>
        </w:tc>
        <w:tc>
          <w:tcPr>
            <w:tcW w:type="dxa" w:w="2400"/>
            <w:tcMar>
              <w:top w:w="80" w:type="dxa"/>
              <w:start w:w="120" w:type="dxa"/>
              <w:bottom w:w="80" w:type="dxa"/>
              <w:end w:w="120" w:type="dxa"/>
            </w:tcMar>
            <w:vAlign w:val="center"/>
            <w:shd w:fill="0B2545"/>
          </w:tcPr>
          <w:p>
            <w:pPr>
              <w:spacing w:after="0"/>
              <w:jc w:val="right"/>
            </w:pPr>
            <w:r>
              <w:rPr>
                <w:rFonts w:ascii="Calibri" w:hAnsi="Calibri"/>
                <w:b/>
                <w:color w:val="FFFFFF"/>
                <w:sz w:val="18"/>
              </w:rPr>
              <w:t>Q2 2026</w:t>
            </w:r>
          </w:p>
        </w:tc>
      </w:tr>
      <w:tr>
        <w:tc>
          <w:tcPr>
            <w:tcW w:type="dxa" w:w="6960"/>
            <w:tcMar>
              <w:top w:w="80" w:type="dxa"/>
              <w:start w:w="120" w:type="dxa"/>
              <w:bottom w:w="80" w:type="dxa"/>
              <w:end w:w="120" w:type="dxa"/>
            </w:tcMar>
            <w:vAlign w:val="center"/>
          </w:tcPr>
          <w:p>
            <w:pPr>
              <w:spacing w:after="0"/>
            </w:pPr>
            <w:r>
              <w:rPr>
                <w:rFonts w:ascii="Calibri" w:hAnsi="Calibri"/>
                <w:color w:val="111827"/>
                <w:sz w:val="18"/>
              </w:rPr>
              <w:t>Gross product sales, net of refunds</w:t>
            </w:r>
          </w:p>
        </w:tc>
        <w:tc>
          <w:tcPr>
            <w:tcW w:type="dxa" w:w="2400"/>
            <w:tcMar>
              <w:top w:w="80" w:type="dxa"/>
              <w:start w:w="120" w:type="dxa"/>
              <w:bottom w:w="80" w:type="dxa"/>
              <w:end w:w="120" w:type="dxa"/>
            </w:tcMar>
            <w:vAlign w:val="center"/>
          </w:tcPr>
          <w:p>
            <w:pPr>
              <w:spacing w:after="0"/>
              <w:jc w:val="right"/>
            </w:pPr>
            <w:r>
              <w:rPr>
                <w:rFonts w:ascii="Calibri" w:hAnsi="Calibri"/>
                <w:color w:val="111827"/>
                <w:sz w:val="18"/>
              </w:rPr>
              <w:t>$135,812</w:t>
            </w:r>
          </w:p>
        </w:tc>
      </w:tr>
      <w:tr>
        <w:tc>
          <w:tcPr>
            <w:tcW w:type="dxa" w:w="6960"/>
            <w:shd w:fill="F2F4F7"/>
            <w:tcMar>
              <w:top w:w="80" w:type="dxa"/>
              <w:start w:w="120" w:type="dxa"/>
              <w:bottom w:w="80" w:type="dxa"/>
              <w:end w:w="120" w:type="dxa"/>
            </w:tcMar>
            <w:vAlign w:val="center"/>
          </w:tcPr>
          <w:p>
            <w:pPr>
              <w:spacing w:after="0"/>
            </w:pPr>
            <w:r>
              <w:rPr>
                <w:rFonts w:ascii="Calibri" w:hAnsi="Calibri"/>
                <w:color w:val="111827"/>
                <w:sz w:val="18"/>
              </w:rPr>
              <w:t>Promotional deductions, net of reversals</w:t>
            </w:r>
          </w:p>
        </w:tc>
        <w:tc>
          <w:tcPr>
            <w:tcW w:type="dxa" w:w="2400"/>
            <w:shd w:fill="F2F4F7"/>
            <w:tcMar>
              <w:top w:w="80" w:type="dxa"/>
              <w:start w:w="120" w:type="dxa"/>
              <w:bottom w:w="80" w:type="dxa"/>
              <w:end w:w="120" w:type="dxa"/>
            </w:tcMar>
            <w:vAlign w:val="center"/>
          </w:tcPr>
          <w:p>
            <w:pPr>
              <w:spacing w:after="0"/>
              <w:jc w:val="right"/>
            </w:pPr>
            <w:r>
              <w:rPr>
                <w:rFonts w:ascii="Calibri" w:hAnsi="Calibri"/>
                <w:color w:val="111827"/>
                <w:sz w:val="18"/>
              </w:rPr>
              <w:t>($3,470)</w:t>
            </w:r>
          </w:p>
        </w:tc>
      </w:tr>
      <w:tr>
        <w:tc>
          <w:tcPr>
            <w:tcW w:type="dxa" w:w="6960"/>
            <w:tcMar>
              <w:top w:w="80" w:type="dxa"/>
              <w:start w:w="120" w:type="dxa"/>
              <w:bottom w:w="80" w:type="dxa"/>
              <w:end w:w="120" w:type="dxa"/>
            </w:tcMar>
            <w:vAlign w:val="center"/>
          </w:tcPr>
          <w:p>
            <w:pPr>
              <w:spacing w:after="0"/>
            </w:pPr>
            <w:r>
              <w:rPr>
                <w:rFonts w:ascii="Calibri" w:hAnsi="Calibri"/>
                <w:color w:val="111827"/>
                <w:sz w:val="18"/>
              </w:rPr>
              <w:t>Net sales after promotions</w:t>
            </w:r>
          </w:p>
        </w:tc>
        <w:tc>
          <w:tcPr>
            <w:tcW w:type="dxa" w:w="2400"/>
            <w:tcMar>
              <w:top w:w="80" w:type="dxa"/>
              <w:start w:w="120" w:type="dxa"/>
              <w:bottom w:w="80" w:type="dxa"/>
              <w:end w:w="120" w:type="dxa"/>
            </w:tcMar>
            <w:vAlign w:val="center"/>
          </w:tcPr>
          <w:p>
            <w:pPr>
              <w:spacing w:after="0"/>
              <w:jc w:val="right"/>
            </w:pPr>
            <w:r>
              <w:rPr>
                <w:rFonts w:ascii="Calibri" w:hAnsi="Calibri"/>
                <w:color w:val="111827"/>
                <w:sz w:val="18"/>
              </w:rPr>
              <w:t>$132,342</w:t>
            </w:r>
          </w:p>
        </w:tc>
      </w:tr>
      <w:tr>
        <w:tc>
          <w:tcPr>
            <w:tcW w:type="dxa" w:w="6960"/>
            <w:shd w:fill="F2F4F7"/>
            <w:tcMar>
              <w:top w:w="80" w:type="dxa"/>
              <w:start w:w="120" w:type="dxa"/>
              <w:bottom w:w="80" w:type="dxa"/>
              <w:end w:w="120" w:type="dxa"/>
            </w:tcMar>
            <w:vAlign w:val="center"/>
          </w:tcPr>
          <w:p>
            <w:pPr>
              <w:spacing w:after="0"/>
            </w:pPr>
            <w:r>
              <w:rPr>
                <w:rFonts w:ascii="Calibri" w:hAnsi="Calibri"/>
                <w:color w:val="111827"/>
                <w:sz w:val="18"/>
              </w:rPr>
              <w:t>Referral fees</w:t>
            </w:r>
          </w:p>
        </w:tc>
        <w:tc>
          <w:tcPr>
            <w:tcW w:type="dxa" w:w="2400"/>
            <w:shd w:fill="F2F4F7"/>
            <w:tcMar>
              <w:top w:w="80" w:type="dxa"/>
              <w:start w:w="120" w:type="dxa"/>
              <w:bottom w:w="80" w:type="dxa"/>
              <w:end w:w="120" w:type="dxa"/>
            </w:tcMar>
            <w:vAlign w:val="center"/>
          </w:tcPr>
          <w:p>
            <w:pPr>
              <w:spacing w:after="0"/>
              <w:jc w:val="right"/>
            </w:pPr>
            <w:r>
              <w:rPr>
                <w:rFonts w:ascii="Calibri" w:hAnsi="Calibri"/>
                <w:color w:val="111827"/>
                <w:sz w:val="18"/>
              </w:rPr>
              <w:t>($19,997)</w:t>
            </w:r>
          </w:p>
        </w:tc>
      </w:tr>
      <w:tr>
        <w:tc>
          <w:tcPr>
            <w:tcW w:type="dxa" w:w="6960"/>
            <w:tcMar>
              <w:top w:w="80" w:type="dxa"/>
              <w:start w:w="120" w:type="dxa"/>
              <w:bottom w:w="80" w:type="dxa"/>
              <w:end w:w="120" w:type="dxa"/>
            </w:tcMar>
            <w:vAlign w:val="center"/>
          </w:tcPr>
          <w:p>
            <w:pPr>
              <w:spacing w:after="0"/>
            </w:pPr>
            <w:r>
              <w:rPr>
                <w:rFonts w:ascii="Calibri" w:hAnsi="Calibri"/>
                <w:color w:val="111827"/>
                <w:sz w:val="18"/>
              </w:rPr>
              <w:t>FBA fulfillment fees</w:t>
            </w:r>
          </w:p>
        </w:tc>
        <w:tc>
          <w:tcPr>
            <w:tcW w:type="dxa" w:w="2400"/>
            <w:tcMar>
              <w:top w:w="80" w:type="dxa"/>
              <w:start w:w="120" w:type="dxa"/>
              <w:bottom w:w="80" w:type="dxa"/>
              <w:end w:w="120" w:type="dxa"/>
            </w:tcMar>
            <w:vAlign w:val="center"/>
          </w:tcPr>
          <w:p>
            <w:pPr>
              <w:spacing w:after="0"/>
              <w:jc w:val="right"/>
            </w:pPr>
            <w:r>
              <w:rPr>
                <w:rFonts w:ascii="Calibri" w:hAnsi="Calibri"/>
                <w:color w:val="111827"/>
                <w:sz w:val="18"/>
              </w:rPr>
              <w:t>($23,395)</w:t>
            </w:r>
          </w:p>
        </w:tc>
      </w:tr>
      <w:tr>
        <w:tc>
          <w:tcPr>
            <w:tcW w:type="dxa" w:w="6960"/>
            <w:shd w:fill="F2F4F7"/>
            <w:tcMar>
              <w:top w:w="80" w:type="dxa"/>
              <w:start w:w="120" w:type="dxa"/>
              <w:bottom w:w="80" w:type="dxa"/>
              <w:end w:w="120" w:type="dxa"/>
            </w:tcMar>
            <w:vAlign w:val="center"/>
          </w:tcPr>
          <w:p>
            <w:pPr>
              <w:spacing w:after="0"/>
            </w:pPr>
            <w:r>
              <w:rPr>
                <w:rFonts w:ascii="Calibri" w:hAnsi="Calibri"/>
                <w:color w:val="111827"/>
                <w:sz w:val="18"/>
              </w:rPr>
              <w:t>Landed COGS</w:t>
            </w:r>
          </w:p>
        </w:tc>
        <w:tc>
          <w:tcPr>
            <w:tcW w:type="dxa" w:w="2400"/>
            <w:shd w:fill="F2F4F7"/>
            <w:tcMar>
              <w:top w:w="80" w:type="dxa"/>
              <w:start w:w="120" w:type="dxa"/>
              <w:bottom w:w="80" w:type="dxa"/>
              <w:end w:w="120" w:type="dxa"/>
            </w:tcMar>
            <w:vAlign w:val="center"/>
          </w:tcPr>
          <w:p>
            <w:pPr>
              <w:spacing w:after="0"/>
              <w:jc w:val="right"/>
            </w:pPr>
            <w:r>
              <w:rPr>
                <w:rFonts w:ascii="Calibri" w:hAnsi="Calibri"/>
                <w:color w:val="111827"/>
                <w:sz w:val="18"/>
              </w:rPr>
              <w:t>($37,707)</w:t>
            </w:r>
          </w:p>
        </w:tc>
      </w:tr>
      <w:tr>
        <w:tc>
          <w:tcPr>
            <w:tcW w:type="dxa" w:w="6960"/>
            <w:tcMar>
              <w:top w:w="80" w:type="dxa"/>
              <w:start w:w="120" w:type="dxa"/>
              <w:bottom w:w="80" w:type="dxa"/>
              <w:end w:w="120" w:type="dxa"/>
            </w:tcMar>
            <w:vAlign w:val="center"/>
          </w:tcPr>
          <w:p>
            <w:pPr>
              <w:spacing w:after="0"/>
            </w:pPr>
            <w:r>
              <w:rPr>
                <w:rFonts w:ascii="Calibri" w:hAnsi="Calibri"/>
                <w:color w:val="111827"/>
                <w:sz w:val="18"/>
              </w:rPr>
              <w:t>Contribution margin</w:t>
            </w:r>
          </w:p>
        </w:tc>
        <w:tc>
          <w:tcPr>
            <w:tcW w:type="dxa" w:w="2400"/>
            <w:tcMar>
              <w:top w:w="80" w:type="dxa"/>
              <w:start w:w="120" w:type="dxa"/>
              <w:bottom w:w="80" w:type="dxa"/>
              <w:end w:w="120" w:type="dxa"/>
            </w:tcMar>
            <w:vAlign w:val="center"/>
          </w:tcPr>
          <w:p>
            <w:pPr>
              <w:spacing w:after="0"/>
              <w:jc w:val="right"/>
            </w:pPr>
            <w:r>
              <w:rPr>
                <w:rFonts w:ascii="Calibri" w:hAnsi="Calibri"/>
                <w:color w:val="111827"/>
                <w:sz w:val="18"/>
              </w:rPr>
              <w:t>$51,243</w:t>
            </w:r>
          </w:p>
        </w:tc>
      </w:tr>
      <w:tr>
        <w:tc>
          <w:tcPr>
            <w:tcW w:type="dxa" w:w="6960"/>
            <w:shd w:fill="F2F4F7"/>
            <w:tcMar>
              <w:top w:w="80" w:type="dxa"/>
              <w:start w:w="120" w:type="dxa"/>
              <w:bottom w:w="80" w:type="dxa"/>
              <w:end w:w="120" w:type="dxa"/>
            </w:tcMar>
            <w:vAlign w:val="center"/>
          </w:tcPr>
          <w:p>
            <w:pPr>
              <w:spacing w:after="0"/>
            </w:pPr>
            <w:r>
              <w:rPr>
                <w:rFonts w:ascii="Calibri" w:hAnsi="Calibri"/>
                <w:color w:val="111827"/>
                <w:sz w:val="18"/>
              </w:rPr>
              <w:t>Advertising cost</w:t>
            </w:r>
          </w:p>
        </w:tc>
        <w:tc>
          <w:tcPr>
            <w:tcW w:type="dxa" w:w="2400"/>
            <w:shd w:fill="F2F4F7"/>
            <w:tcMar>
              <w:top w:w="80" w:type="dxa"/>
              <w:start w:w="120" w:type="dxa"/>
              <w:bottom w:w="80" w:type="dxa"/>
              <w:end w:w="120" w:type="dxa"/>
            </w:tcMar>
            <w:vAlign w:val="center"/>
          </w:tcPr>
          <w:p>
            <w:pPr>
              <w:spacing w:after="0"/>
              <w:jc w:val="right"/>
            </w:pPr>
            <w:r>
              <w:rPr>
                <w:rFonts w:ascii="Calibri" w:hAnsi="Calibri"/>
                <w:color w:val="111827"/>
                <w:sz w:val="18"/>
              </w:rPr>
              <w:t>($50,576)</w:t>
            </w:r>
          </w:p>
        </w:tc>
      </w:tr>
      <w:tr>
        <w:tc>
          <w:tcPr>
            <w:tcW w:type="dxa" w:w="6960"/>
            <w:tcMar>
              <w:top w:w="80" w:type="dxa"/>
              <w:start w:w="120" w:type="dxa"/>
              <w:bottom w:w="80" w:type="dxa"/>
              <w:end w:w="120" w:type="dxa"/>
            </w:tcMar>
            <w:vAlign w:val="center"/>
          </w:tcPr>
          <w:p>
            <w:pPr>
              <w:spacing w:after="0"/>
            </w:pPr>
            <w:r>
              <w:rPr>
                <w:rFonts w:ascii="Calibri" w:hAnsi="Calibri"/>
                <w:color w:val="111827"/>
                <w:sz w:val="18"/>
              </w:rPr>
              <w:t>FBA storage fee</w:t>
            </w:r>
          </w:p>
        </w:tc>
        <w:tc>
          <w:tcPr>
            <w:tcW w:type="dxa" w:w="2400"/>
            <w:tcMar>
              <w:top w:w="80" w:type="dxa"/>
              <w:start w:w="120" w:type="dxa"/>
              <w:bottom w:w="80" w:type="dxa"/>
              <w:end w:w="120" w:type="dxa"/>
            </w:tcMar>
            <w:vAlign w:val="center"/>
          </w:tcPr>
          <w:p>
            <w:pPr>
              <w:spacing w:after="0"/>
              <w:jc w:val="right"/>
            </w:pPr>
            <w:r>
              <w:rPr>
                <w:rFonts w:ascii="Calibri" w:hAnsi="Calibri"/>
                <w:color w:val="111827"/>
                <w:sz w:val="18"/>
              </w:rPr>
              <w:t>($6,119)</w:t>
            </w:r>
          </w:p>
        </w:tc>
      </w:tr>
      <w:tr>
        <w:tc>
          <w:tcPr>
            <w:tcW w:type="dxa" w:w="6960"/>
            <w:shd w:fill="F2F4F7"/>
            <w:tcMar>
              <w:top w:w="80" w:type="dxa"/>
              <w:start w:w="120" w:type="dxa"/>
              <w:bottom w:w="80" w:type="dxa"/>
              <w:end w:w="120" w:type="dxa"/>
            </w:tcMar>
            <w:vAlign w:val="center"/>
          </w:tcPr>
          <w:p>
            <w:pPr>
              <w:spacing w:after="0"/>
            </w:pPr>
            <w:r>
              <w:rPr>
                <w:rFonts w:ascii="Calibri" w:hAnsi="Calibri"/>
                <w:color w:val="111827"/>
                <w:sz w:val="18"/>
              </w:rPr>
              <w:t>Subscription fee</w:t>
            </w:r>
          </w:p>
        </w:tc>
        <w:tc>
          <w:tcPr>
            <w:tcW w:type="dxa" w:w="2400"/>
            <w:shd w:fill="F2F4F7"/>
            <w:tcMar>
              <w:top w:w="80" w:type="dxa"/>
              <w:start w:w="120" w:type="dxa"/>
              <w:bottom w:w="80" w:type="dxa"/>
              <w:end w:w="120" w:type="dxa"/>
            </w:tcMar>
            <w:vAlign w:val="center"/>
          </w:tcPr>
          <w:p>
            <w:pPr>
              <w:spacing w:after="0"/>
              <w:jc w:val="right"/>
            </w:pPr>
            <w:r>
              <w:rPr>
                <w:rFonts w:ascii="Calibri" w:hAnsi="Calibri"/>
                <w:color w:val="111827"/>
                <w:sz w:val="18"/>
              </w:rPr>
              <w:t>($120)</w:t>
            </w:r>
          </w:p>
        </w:tc>
      </w:tr>
      <w:tr>
        <w:tc>
          <w:tcPr>
            <w:tcW w:type="dxa" w:w="6960"/>
            <w:tcMar>
              <w:top w:w="80" w:type="dxa"/>
              <w:start w:w="120" w:type="dxa"/>
              <w:bottom w:w="80" w:type="dxa"/>
              <w:end w:w="120" w:type="dxa"/>
            </w:tcMar>
            <w:vAlign w:val="center"/>
          </w:tcPr>
          <w:p>
            <w:pPr>
              <w:spacing w:after="0"/>
            </w:pPr>
            <w:r>
              <w:rPr>
                <w:rFonts w:ascii="Calibri" w:hAnsi="Calibri"/>
                <w:color w:val="111827"/>
                <w:sz w:val="18"/>
              </w:rPr>
              <w:t>Adjustments / other income</w:t>
            </w:r>
          </w:p>
        </w:tc>
        <w:tc>
          <w:tcPr>
            <w:tcW w:type="dxa" w:w="2400"/>
            <w:tcMar>
              <w:top w:w="80" w:type="dxa"/>
              <w:start w:w="120" w:type="dxa"/>
              <w:bottom w:w="80" w:type="dxa"/>
              <w:end w:w="120" w:type="dxa"/>
            </w:tcMar>
            <w:vAlign w:val="center"/>
          </w:tcPr>
          <w:p>
            <w:pPr>
              <w:spacing w:after="0"/>
              <w:jc w:val="right"/>
            </w:pPr>
            <w:r>
              <w:rPr>
                <w:rFonts w:ascii="Calibri" w:hAnsi="Calibri"/>
                <w:color w:val="111827"/>
                <w:sz w:val="18"/>
              </w:rPr>
              <w:t>$89</w:t>
            </w:r>
          </w:p>
        </w:tc>
      </w:tr>
      <w:tr>
        <w:tc>
          <w:tcPr>
            <w:tcW w:type="dxa" w:w="6960"/>
            <w:shd w:fill="F2F4F7"/>
            <w:tcMar>
              <w:top w:w="80" w:type="dxa"/>
              <w:start w:w="120" w:type="dxa"/>
              <w:bottom w:w="80" w:type="dxa"/>
              <w:end w:w="120" w:type="dxa"/>
            </w:tcMar>
            <w:vAlign w:val="center"/>
          </w:tcPr>
          <w:p>
            <w:pPr>
              <w:spacing w:after="0"/>
            </w:pPr>
            <w:r>
              <w:rPr>
                <w:rFonts w:ascii="Calibri" w:hAnsi="Calibri"/>
                <w:color w:val="111827"/>
                <w:sz w:val="18"/>
              </w:rPr>
              <w:t>Result after platform costs</w:t>
            </w:r>
          </w:p>
        </w:tc>
        <w:tc>
          <w:tcPr>
            <w:tcW w:type="dxa" w:w="2400"/>
            <w:shd w:fill="F2F4F7"/>
            <w:tcMar>
              <w:top w:w="80" w:type="dxa"/>
              <w:start w:w="120" w:type="dxa"/>
              <w:bottom w:w="80" w:type="dxa"/>
              <w:end w:w="120" w:type="dxa"/>
            </w:tcMar>
            <w:vAlign w:val="center"/>
          </w:tcPr>
          <w:p>
            <w:pPr>
              <w:spacing w:after="0"/>
              <w:jc w:val="right"/>
            </w:pPr>
            <w:r>
              <w:rPr>
                <w:rFonts w:ascii="Calibri" w:hAnsi="Calibri"/>
                <w:color w:val="111827"/>
                <w:sz w:val="18"/>
              </w:rPr>
              <w:t>($5,483)</w:t>
            </w:r>
          </w:p>
        </w:tc>
      </w:tr>
    </w:tbl>
    <w:p>
      <w:pPr>
        <w:spacing w:after="40"/>
      </w:pPr>
    </w:p>
    <w:tbl>
      <w:tblPr>
        <w:tblStyle w:val="TableGrid"/>
        <w:tblW w:type="dxa" w:w="9360"/>
        <w:tblLayout w:type="fixed"/>
        <w:tblLook w:firstColumn="1" w:firstRow="1" w:lastColumn="0" w:lastRow="0" w:noHBand="0" w:noVBand="1" w:val="04A0"/>
        <w:jc w:val="left"/>
        <w:tblInd w:w="120" w:type="dxa"/>
      </w:tblPr>
      <w:tblGrid>
        <w:gridCol w:w="2400"/>
        <w:gridCol w:w="1740"/>
        <w:gridCol w:w="1740"/>
        <w:gridCol w:w="1740"/>
        <w:gridCol w:w="1740"/>
      </w:tblGrid>
      <w:tr>
        <w:trPr>
          <w:tblHeader w:val="true"/>
        </w:trPr>
        <w:tc>
          <w:tcPr>
            <w:tcW w:type="dxa" w:w="2400"/>
            <w:tcMar>
              <w:top w:w="80" w:type="dxa"/>
              <w:start w:w="120" w:type="dxa"/>
              <w:bottom w:w="80" w:type="dxa"/>
              <w:end w:w="120" w:type="dxa"/>
            </w:tcMar>
            <w:vAlign w:val="center"/>
            <w:shd w:fill="0B2545"/>
          </w:tcPr>
          <w:p>
            <w:pPr>
              <w:spacing w:after="0"/>
            </w:pPr>
            <w:r>
              <w:rPr>
                <w:rFonts w:ascii="Calibri" w:hAnsi="Calibri"/>
                <w:b/>
                <w:color w:val="FFFFFF"/>
                <w:sz w:val="18"/>
              </w:rPr>
              <w:t>Brand</w:t>
            </w:r>
          </w:p>
        </w:tc>
        <w:tc>
          <w:tcPr>
            <w:tcW w:type="dxa" w:w="1740"/>
            <w:tcMar>
              <w:top w:w="80" w:type="dxa"/>
              <w:start w:w="120" w:type="dxa"/>
              <w:bottom w:w="80" w:type="dxa"/>
              <w:end w:w="120" w:type="dxa"/>
            </w:tcMar>
            <w:vAlign w:val="center"/>
            <w:shd w:fill="0B2545"/>
          </w:tcPr>
          <w:p>
            <w:pPr>
              <w:spacing w:after="0"/>
              <w:jc w:val="right"/>
            </w:pPr>
            <w:r>
              <w:rPr>
                <w:rFonts w:ascii="Calibri" w:hAnsi="Calibri"/>
                <w:b/>
                <w:color w:val="FFFFFF"/>
                <w:sz w:val="18"/>
              </w:rPr>
              <w:t>Net sales</w:t>
            </w:r>
          </w:p>
        </w:tc>
        <w:tc>
          <w:tcPr>
            <w:tcW w:type="dxa" w:w="1740"/>
            <w:tcMar>
              <w:top w:w="80" w:type="dxa"/>
              <w:start w:w="120" w:type="dxa"/>
              <w:bottom w:w="80" w:type="dxa"/>
              <w:end w:w="120" w:type="dxa"/>
            </w:tcMar>
            <w:vAlign w:val="center"/>
            <w:shd w:fill="0B2545"/>
          </w:tcPr>
          <w:p>
            <w:pPr>
              <w:spacing w:after="0"/>
              <w:jc w:val="right"/>
            </w:pPr>
            <w:r>
              <w:rPr>
                <w:rFonts w:ascii="Calibri" w:hAnsi="Calibri"/>
                <w:b/>
                <w:color w:val="FFFFFF"/>
                <w:sz w:val="18"/>
              </w:rPr>
              <w:t>Landed COGS</w:t>
            </w:r>
          </w:p>
        </w:tc>
        <w:tc>
          <w:tcPr>
            <w:tcW w:type="dxa" w:w="1740"/>
            <w:tcMar>
              <w:top w:w="80" w:type="dxa"/>
              <w:start w:w="120" w:type="dxa"/>
              <w:bottom w:w="80" w:type="dxa"/>
              <w:end w:w="120" w:type="dxa"/>
            </w:tcMar>
            <w:vAlign w:val="center"/>
            <w:shd w:fill="0B2545"/>
          </w:tcPr>
          <w:p>
            <w:pPr>
              <w:spacing w:after="0"/>
              <w:jc w:val="right"/>
            </w:pPr>
            <w:r>
              <w:rPr>
                <w:rFonts w:ascii="Calibri" w:hAnsi="Calibri"/>
                <w:b/>
                <w:color w:val="FFFFFF"/>
                <w:sz w:val="18"/>
              </w:rPr>
              <w:t>Contribution</w:t>
            </w:r>
          </w:p>
        </w:tc>
        <w:tc>
          <w:tcPr>
            <w:tcW w:type="dxa" w:w="1740"/>
            <w:tcMar>
              <w:top w:w="80" w:type="dxa"/>
              <w:start w:w="120" w:type="dxa"/>
              <w:bottom w:w="80" w:type="dxa"/>
              <w:end w:w="120" w:type="dxa"/>
            </w:tcMar>
            <w:vAlign w:val="center"/>
            <w:shd w:fill="0B2545"/>
          </w:tcPr>
          <w:p>
            <w:pPr>
              <w:spacing w:after="0"/>
              <w:jc w:val="right"/>
            </w:pPr>
            <w:r>
              <w:rPr>
                <w:rFonts w:ascii="Calibri" w:hAnsi="Calibri"/>
                <w:b/>
                <w:color w:val="FFFFFF"/>
                <w:sz w:val="18"/>
              </w:rPr>
              <w:t>Margin %</w:t>
            </w:r>
          </w:p>
        </w:tc>
      </w:tr>
      <w:tr>
        <w:tc>
          <w:tcPr>
            <w:tcW w:type="dxa" w:w="2400"/>
            <w:tcMar>
              <w:top w:w="80" w:type="dxa"/>
              <w:start w:w="120" w:type="dxa"/>
              <w:bottom w:w="80" w:type="dxa"/>
              <w:end w:w="120" w:type="dxa"/>
            </w:tcMar>
            <w:vAlign w:val="center"/>
          </w:tcPr>
          <w:p>
            <w:pPr>
              <w:spacing w:after="0"/>
            </w:pPr>
            <w:r>
              <w:rPr>
                <w:rFonts w:ascii="Calibri" w:hAnsi="Calibri"/>
                <w:color w:val="111827"/>
                <w:sz w:val="18"/>
              </w:rPr>
              <w:t>Peak Fuel</w:t>
            </w:r>
          </w:p>
        </w:tc>
        <w:tc>
          <w:tcPr>
            <w:tcW w:type="dxa" w:w="1740"/>
            <w:tcMar>
              <w:top w:w="80" w:type="dxa"/>
              <w:start w:w="120" w:type="dxa"/>
              <w:bottom w:w="80" w:type="dxa"/>
              <w:end w:w="120" w:type="dxa"/>
            </w:tcMar>
            <w:vAlign w:val="center"/>
          </w:tcPr>
          <w:p>
            <w:pPr>
              <w:spacing w:after="0"/>
              <w:jc w:val="right"/>
            </w:pPr>
            <w:r>
              <w:rPr>
                <w:rFonts w:ascii="Calibri" w:hAnsi="Calibri"/>
                <w:color w:val="111827"/>
                <w:sz w:val="18"/>
              </w:rPr>
              <w:t>$55,657</w:t>
            </w:r>
          </w:p>
        </w:tc>
        <w:tc>
          <w:tcPr>
            <w:tcW w:type="dxa" w:w="1740"/>
            <w:tcMar>
              <w:top w:w="80" w:type="dxa"/>
              <w:start w:w="120" w:type="dxa"/>
              <w:bottom w:w="80" w:type="dxa"/>
              <w:end w:w="120" w:type="dxa"/>
            </w:tcMar>
            <w:vAlign w:val="center"/>
          </w:tcPr>
          <w:p>
            <w:pPr>
              <w:spacing w:after="0"/>
              <w:jc w:val="right"/>
            </w:pPr>
            <w:r>
              <w:rPr>
                <w:rFonts w:ascii="Calibri" w:hAnsi="Calibri"/>
                <w:color w:val="111827"/>
                <w:sz w:val="18"/>
              </w:rPr>
              <w:t>$16,513</w:t>
            </w:r>
          </w:p>
        </w:tc>
        <w:tc>
          <w:tcPr>
            <w:tcW w:type="dxa" w:w="1740"/>
            <w:tcMar>
              <w:top w:w="80" w:type="dxa"/>
              <w:start w:w="120" w:type="dxa"/>
              <w:bottom w:w="80" w:type="dxa"/>
              <w:end w:w="120" w:type="dxa"/>
            </w:tcMar>
            <w:vAlign w:val="center"/>
          </w:tcPr>
          <w:p>
            <w:pPr>
              <w:spacing w:after="0"/>
              <w:jc w:val="right"/>
            </w:pPr>
            <w:r>
              <w:rPr>
                <w:rFonts w:ascii="Calibri" w:hAnsi="Calibri"/>
                <w:color w:val="111827"/>
                <w:sz w:val="18"/>
              </w:rPr>
              <w:t>$22,027</w:t>
            </w:r>
          </w:p>
        </w:tc>
        <w:tc>
          <w:tcPr>
            <w:tcW w:type="dxa" w:w="1740"/>
            <w:tcMar>
              <w:top w:w="80" w:type="dxa"/>
              <w:start w:w="120" w:type="dxa"/>
              <w:bottom w:w="80" w:type="dxa"/>
              <w:end w:w="120" w:type="dxa"/>
            </w:tcMar>
            <w:vAlign w:val="center"/>
          </w:tcPr>
          <w:p>
            <w:pPr>
              <w:spacing w:after="0"/>
              <w:jc w:val="right"/>
            </w:pPr>
            <w:r>
              <w:rPr>
                <w:rFonts w:ascii="Calibri" w:hAnsi="Calibri"/>
                <w:color w:val="111827"/>
                <w:sz w:val="18"/>
              </w:rPr>
              <w:t>39.6%</w:t>
            </w:r>
          </w:p>
        </w:tc>
      </w:tr>
      <w:tr>
        <w:tc>
          <w:tcPr>
            <w:tcW w:type="dxa" w:w="2400"/>
            <w:shd w:fill="F2F4F7"/>
            <w:tcMar>
              <w:top w:w="80" w:type="dxa"/>
              <w:start w:w="120" w:type="dxa"/>
              <w:bottom w:w="80" w:type="dxa"/>
              <w:end w:w="120" w:type="dxa"/>
            </w:tcMar>
            <w:vAlign w:val="center"/>
          </w:tcPr>
          <w:p>
            <w:pPr>
              <w:spacing w:after="0"/>
            </w:pPr>
            <w:r>
              <w:rPr>
                <w:rFonts w:ascii="Calibri" w:hAnsi="Calibri"/>
                <w:color w:val="111827"/>
                <w:sz w:val="18"/>
              </w:rPr>
              <w:t>GlowTheory</w:t>
            </w:r>
          </w:p>
        </w:tc>
        <w:tc>
          <w:tcPr>
            <w:tcW w:type="dxa" w:w="1740"/>
            <w:shd w:fill="F2F4F7"/>
            <w:tcMar>
              <w:top w:w="80" w:type="dxa"/>
              <w:start w:w="120" w:type="dxa"/>
              <w:bottom w:w="80" w:type="dxa"/>
              <w:end w:w="120" w:type="dxa"/>
            </w:tcMar>
            <w:vAlign w:val="center"/>
          </w:tcPr>
          <w:p>
            <w:pPr>
              <w:spacing w:after="0"/>
              <w:jc w:val="right"/>
            </w:pPr>
            <w:r>
              <w:rPr>
                <w:rFonts w:ascii="Calibri" w:hAnsi="Calibri"/>
                <w:color w:val="111827"/>
                <w:sz w:val="18"/>
              </w:rPr>
              <w:t>$42,873</w:t>
            </w:r>
          </w:p>
        </w:tc>
        <w:tc>
          <w:tcPr>
            <w:tcW w:type="dxa" w:w="1740"/>
            <w:shd w:fill="F2F4F7"/>
            <w:tcMar>
              <w:top w:w="80" w:type="dxa"/>
              <w:start w:w="120" w:type="dxa"/>
              <w:bottom w:w="80" w:type="dxa"/>
              <w:end w:w="120" w:type="dxa"/>
            </w:tcMar>
            <w:vAlign w:val="center"/>
          </w:tcPr>
          <w:p>
            <w:pPr>
              <w:spacing w:after="0"/>
              <w:jc w:val="right"/>
            </w:pPr>
            <w:r>
              <w:rPr>
                <w:rFonts w:ascii="Calibri" w:hAnsi="Calibri"/>
                <w:color w:val="111827"/>
                <w:sz w:val="18"/>
              </w:rPr>
              <w:t>$8,778</w:t>
            </w:r>
          </w:p>
        </w:tc>
        <w:tc>
          <w:tcPr>
            <w:tcW w:type="dxa" w:w="1740"/>
            <w:shd w:fill="F2F4F7"/>
            <w:tcMar>
              <w:top w:w="80" w:type="dxa"/>
              <w:start w:w="120" w:type="dxa"/>
              <w:bottom w:w="80" w:type="dxa"/>
              <w:end w:w="120" w:type="dxa"/>
            </w:tcMar>
            <w:vAlign w:val="center"/>
          </w:tcPr>
          <w:p>
            <w:pPr>
              <w:spacing w:after="0"/>
              <w:jc w:val="right"/>
            </w:pPr>
            <w:r>
              <w:rPr>
                <w:rFonts w:ascii="Calibri" w:hAnsi="Calibri"/>
                <w:color w:val="111827"/>
                <w:sz w:val="18"/>
              </w:rPr>
              <w:t>$20,548</w:t>
            </w:r>
          </w:p>
        </w:tc>
        <w:tc>
          <w:tcPr>
            <w:tcW w:type="dxa" w:w="1740"/>
            <w:shd w:fill="F2F4F7"/>
            <w:tcMar>
              <w:top w:w="80" w:type="dxa"/>
              <w:start w:w="120" w:type="dxa"/>
              <w:bottom w:w="80" w:type="dxa"/>
              <w:end w:w="120" w:type="dxa"/>
            </w:tcMar>
            <w:vAlign w:val="center"/>
          </w:tcPr>
          <w:p>
            <w:pPr>
              <w:spacing w:after="0"/>
              <w:jc w:val="right"/>
            </w:pPr>
            <w:r>
              <w:rPr>
                <w:rFonts w:ascii="Calibri" w:hAnsi="Calibri"/>
                <w:color w:val="111827"/>
                <w:sz w:val="18"/>
              </w:rPr>
              <w:t>47.9%</w:t>
            </w:r>
          </w:p>
        </w:tc>
      </w:tr>
      <w:tr>
        <w:tc>
          <w:tcPr>
            <w:tcW w:type="dxa" w:w="2400"/>
            <w:tcMar>
              <w:top w:w="80" w:type="dxa"/>
              <w:start w:w="120" w:type="dxa"/>
              <w:bottom w:w="80" w:type="dxa"/>
              <w:end w:w="120" w:type="dxa"/>
            </w:tcMar>
            <w:vAlign w:val="center"/>
          </w:tcPr>
          <w:p>
            <w:pPr>
              <w:spacing w:after="0"/>
            </w:pPr>
            <w:r>
              <w:rPr>
                <w:rFonts w:ascii="Calibri" w:hAnsi="Calibri"/>
                <w:color w:val="111827"/>
                <w:sz w:val="18"/>
              </w:rPr>
              <w:t>PawHaus</w:t>
            </w:r>
          </w:p>
        </w:tc>
        <w:tc>
          <w:tcPr>
            <w:tcW w:type="dxa" w:w="1740"/>
            <w:tcMar>
              <w:top w:w="80" w:type="dxa"/>
              <w:start w:w="120" w:type="dxa"/>
              <w:bottom w:w="80" w:type="dxa"/>
              <w:end w:w="120" w:type="dxa"/>
            </w:tcMar>
            <w:vAlign w:val="center"/>
          </w:tcPr>
          <w:p>
            <w:pPr>
              <w:spacing w:after="0"/>
              <w:jc w:val="right"/>
            </w:pPr>
            <w:r>
              <w:rPr>
                <w:rFonts w:ascii="Calibri" w:hAnsi="Calibri"/>
                <w:color w:val="111827"/>
                <w:sz w:val="18"/>
              </w:rPr>
              <w:t>$33,813</w:t>
            </w:r>
          </w:p>
        </w:tc>
        <w:tc>
          <w:tcPr>
            <w:tcW w:type="dxa" w:w="1740"/>
            <w:tcMar>
              <w:top w:w="80" w:type="dxa"/>
              <w:start w:w="120" w:type="dxa"/>
              <w:bottom w:w="80" w:type="dxa"/>
              <w:end w:w="120" w:type="dxa"/>
            </w:tcMar>
            <w:vAlign w:val="center"/>
          </w:tcPr>
          <w:p>
            <w:pPr>
              <w:spacing w:after="0"/>
              <w:jc w:val="right"/>
            </w:pPr>
            <w:r>
              <w:rPr>
                <w:rFonts w:ascii="Calibri" w:hAnsi="Calibri"/>
                <w:color w:val="111827"/>
                <w:sz w:val="18"/>
              </w:rPr>
              <w:t>$12,416</w:t>
            </w:r>
          </w:p>
        </w:tc>
        <w:tc>
          <w:tcPr>
            <w:tcW w:type="dxa" w:w="1740"/>
            <w:tcMar>
              <w:top w:w="80" w:type="dxa"/>
              <w:start w:w="120" w:type="dxa"/>
              <w:bottom w:w="80" w:type="dxa"/>
              <w:end w:w="120" w:type="dxa"/>
            </w:tcMar>
            <w:vAlign w:val="center"/>
          </w:tcPr>
          <w:p>
            <w:pPr>
              <w:spacing w:after="0"/>
              <w:jc w:val="right"/>
            </w:pPr>
            <w:r>
              <w:rPr>
                <w:rFonts w:ascii="Calibri" w:hAnsi="Calibri"/>
                <w:color w:val="111827"/>
                <w:sz w:val="18"/>
              </w:rPr>
              <w:t>$8,667</w:t>
            </w:r>
          </w:p>
        </w:tc>
        <w:tc>
          <w:tcPr>
            <w:tcW w:type="dxa" w:w="1740"/>
            <w:tcMar>
              <w:top w:w="80" w:type="dxa"/>
              <w:start w:w="120" w:type="dxa"/>
              <w:bottom w:w="80" w:type="dxa"/>
              <w:end w:w="120" w:type="dxa"/>
            </w:tcMar>
            <w:vAlign w:val="center"/>
          </w:tcPr>
          <w:p>
            <w:pPr>
              <w:spacing w:after="0"/>
              <w:jc w:val="right"/>
            </w:pPr>
            <w:r>
              <w:rPr>
                <w:rFonts w:ascii="Calibri" w:hAnsi="Calibri"/>
                <w:color w:val="111827"/>
                <w:sz w:val="18"/>
              </w:rPr>
              <w:t>25.6%</w:t>
            </w:r>
          </w:p>
        </w:tc>
      </w:tr>
    </w:tbl>
    <w:p>
      <w:pPr>
        <w:spacing w:after="40"/>
      </w:pPr>
    </w:p>
    <w:p>
      <w:pPr>
        <w:pStyle w:val="Heading2"/>
        <w:keepNext/>
      </w:pPr>
      <w:r>
        <w:t>Material assumptions</w:t>
      </w:r>
    </w:p>
    <w:p>
      <w:pPr>
        <w:spacing w:after="120" w:line="264" w:lineRule="auto"/>
      </w:pPr>
      <w:r>
        <w:rPr>
          <w:rFonts w:ascii="Calibri" w:hAnsi="Calibri"/>
          <w:b/>
          <w:color w:val="111827"/>
        </w:rPr>
        <w:t xml:space="preserve">Refunds. </w:t>
      </w:r>
      <w:r>
        <w:rPr>
          <w:rFonts w:ascii="Calibri" w:hAnsi="Calibri"/>
          <w:color w:val="111827"/>
        </w:rPr>
        <w:t>Order and Refund rows are included. Refunds reverse sales, promotions, referral fees, units, and landed COGS; return disposition was not provided. FBA fee reversals are used exactly as reported (none appear on refund rows).</w:t>
      </w:r>
    </w:p>
    <w:p>
      <w:pPr>
        <w:spacing w:after="120" w:line="264" w:lineRule="auto"/>
      </w:pPr>
      <w:r>
        <w:rPr>
          <w:rFonts w:ascii="Calibri" w:hAnsi="Calibri"/>
          <w:b/>
          <w:color w:val="111827"/>
        </w:rPr>
        <w:t xml:space="preserve">Missing costs. </w:t>
      </w:r>
      <w:r>
        <w:rPr>
          <w:rFonts w:ascii="Calibri" w:hAnsi="Calibri"/>
          <w:color w:val="111827"/>
        </w:rPr>
        <w:t>GT-LIP-BALM and PH-TOY-ROPE-L lack PO cost history. Each uses its brand median landed cost and is flagged. Together they represent $3.1K, or 2.3%, of gross sales.</w:t>
      </w:r>
    </w:p>
    <w:p>
      <w:pPr>
        <w:spacing w:after="120" w:line="264" w:lineRule="auto"/>
      </w:pPr>
      <w:r>
        <w:rPr>
          <w:rFonts w:ascii="Calibri" w:hAnsi="Calibri"/>
          <w:b/>
          <w:color w:val="111827"/>
        </w:rPr>
        <w:t xml:space="preserve">Unallocated charges. </w:t>
      </w:r>
      <w:r>
        <w:rPr>
          <w:rFonts w:ascii="Calibri" w:hAnsi="Calibri"/>
          <w:color w:val="111827"/>
        </w:rPr>
        <w:t>Advertising, storage, subscription, and adjustments are shown after contribution margin because the supplied file lacks a reliable SKU key. No arbitrary allocation was used.</w:t>
      </w:r>
    </w:p>
    <w:p>
      <w:pPr>
        <w:pStyle w:val="Heading1"/>
        <w:keepNext/>
        <w:pageBreakBefore/>
      </w:pPr>
      <w:r>
        <w:t>Leadership findings and recommendations</w:t>
      </w:r>
    </w:p>
    <w:p>
      <w:pPr>
        <w:pStyle w:val="Heading2"/>
        <w:keepNext/>
      </w:pPr>
      <w:r>
        <w:t>Where contribution margin is created</w:t>
      </w:r>
    </w:p>
    <w:tbl>
      <w:tblPr>
        <w:tblStyle w:val="TableGrid"/>
        <w:tblW w:type="dxa" w:w="9360"/>
        <w:tblLayout w:type="fixed"/>
        <w:tblLook w:firstColumn="1" w:firstRow="1" w:lastColumn="0" w:lastRow="0" w:noHBand="0" w:noVBand="1" w:val="04A0"/>
        <w:jc w:val="left"/>
        <w:tblInd w:w="120" w:type="dxa"/>
      </w:tblPr>
      <w:tblGrid>
        <w:gridCol w:w="2500"/>
        <w:gridCol w:w="1700"/>
        <w:gridCol w:w="1720"/>
        <w:gridCol w:w="1720"/>
        <w:gridCol w:w="1720"/>
      </w:tblGrid>
      <w:tr>
        <w:trPr>
          <w:tblHeader w:val="true"/>
        </w:trPr>
        <w:tc>
          <w:tcPr>
            <w:tcW w:type="dxa" w:w="2500"/>
            <w:tcMar>
              <w:top w:w="80" w:type="dxa"/>
              <w:start w:w="120" w:type="dxa"/>
              <w:bottom w:w="80" w:type="dxa"/>
              <w:end w:w="120" w:type="dxa"/>
            </w:tcMar>
            <w:vAlign w:val="center"/>
            <w:shd w:fill="0B2545"/>
          </w:tcPr>
          <w:p>
            <w:pPr>
              <w:spacing w:after="0"/>
            </w:pPr>
            <w:r>
              <w:rPr>
                <w:rFonts w:ascii="Calibri" w:hAnsi="Calibri"/>
                <w:b/>
                <w:color w:val="FFFFFF"/>
                <w:sz w:val="18"/>
              </w:rPr>
              <w:t>SKU</w:t>
            </w:r>
          </w:p>
        </w:tc>
        <w:tc>
          <w:tcPr>
            <w:tcW w:type="dxa" w:w="1700"/>
            <w:tcMar>
              <w:top w:w="80" w:type="dxa"/>
              <w:start w:w="120" w:type="dxa"/>
              <w:bottom w:w="80" w:type="dxa"/>
              <w:end w:w="120" w:type="dxa"/>
            </w:tcMar>
            <w:vAlign w:val="center"/>
            <w:shd w:fill="0B2545"/>
          </w:tcPr>
          <w:p>
            <w:pPr>
              <w:spacing w:after="0"/>
            </w:pPr>
            <w:r>
              <w:rPr>
                <w:rFonts w:ascii="Calibri" w:hAnsi="Calibri"/>
                <w:b/>
                <w:color w:val="FFFFFF"/>
                <w:sz w:val="18"/>
              </w:rPr>
              <w:t>Brand</w:t>
            </w:r>
          </w:p>
        </w:tc>
        <w:tc>
          <w:tcPr>
            <w:tcW w:type="dxa" w:w="1720"/>
            <w:tcMar>
              <w:top w:w="80" w:type="dxa"/>
              <w:start w:w="120" w:type="dxa"/>
              <w:bottom w:w="80" w:type="dxa"/>
              <w:end w:w="120" w:type="dxa"/>
            </w:tcMar>
            <w:vAlign w:val="center"/>
            <w:shd w:fill="0B2545"/>
          </w:tcPr>
          <w:p>
            <w:pPr>
              <w:spacing w:after="0"/>
              <w:jc w:val="right"/>
            </w:pPr>
            <w:r>
              <w:rPr>
                <w:rFonts w:ascii="Calibri" w:hAnsi="Calibri"/>
                <w:b/>
                <w:color w:val="FFFFFF"/>
                <w:sz w:val="18"/>
              </w:rPr>
              <w:t>Net sales</w:t>
            </w:r>
          </w:p>
        </w:tc>
        <w:tc>
          <w:tcPr>
            <w:tcW w:type="dxa" w:w="1720"/>
            <w:tcMar>
              <w:top w:w="80" w:type="dxa"/>
              <w:start w:w="120" w:type="dxa"/>
              <w:bottom w:w="80" w:type="dxa"/>
              <w:end w:w="120" w:type="dxa"/>
            </w:tcMar>
            <w:vAlign w:val="center"/>
            <w:shd w:fill="0B2545"/>
          </w:tcPr>
          <w:p>
            <w:pPr>
              <w:spacing w:after="0"/>
              <w:jc w:val="right"/>
            </w:pPr>
            <w:r>
              <w:rPr>
                <w:rFonts w:ascii="Calibri" w:hAnsi="Calibri"/>
                <w:b/>
                <w:color w:val="FFFFFF"/>
                <w:sz w:val="18"/>
              </w:rPr>
              <w:t>Contribution</w:t>
            </w:r>
          </w:p>
        </w:tc>
        <w:tc>
          <w:tcPr>
            <w:tcW w:type="dxa" w:w="1720"/>
            <w:tcMar>
              <w:top w:w="80" w:type="dxa"/>
              <w:start w:w="120" w:type="dxa"/>
              <w:bottom w:w="80" w:type="dxa"/>
              <w:end w:w="120" w:type="dxa"/>
            </w:tcMar>
            <w:vAlign w:val="center"/>
            <w:shd w:fill="0B2545"/>
          </w:tcPr>
          <w:p>
            <w:pPr>
              <w:spacing w:after="0"/>
              <w:jc w:val="right"/>
            </w:pPr>
            <w:r>
              <w:rPr>
                <w:rFonts w:ascii="Calibri" w:hAnsi="Calibri"/>
                <w:b/>
                <w:color w:val="FFFFFF"/>
                <w:sz w:val="18"/>
              </w:rPr>
              <w:t>Margin %</w:t>
            </w:r>
          </w:p>
        </w:tc>
      </w:tr>
      <w:tr>
        <w:tc>
          <w:tcPr>
            <w:tcW w:type="dxa" w:w="2500"/>
            <w:tcMar>
              <w:top w:w="80" w:type="dxa"/>
              <w:start w:w="120" w:type="dxa"/>
              <w:bottom w:w="80" w:type="dxa"/>
              <w:end w:w="120" w:type="dxa"/>
            </w:tcMar>
            <w:vAlign w:val="center"/>
          </w:tcPr>
          <w:p>
            <w:pPr>
              <w:spacing w:after="0"/>
            </w:pPr>
            <w:r>
              <w:rPr>
                <w:rFonts w:ascii="Calibri" w:hAnsi="Calibri"/>
                <w:color w:val="111827"/>
                <w:sz w:val="18"/>
              </w:rPr>
              <w:t>GT-SERUM-VITC</w:t>
            </w:r>
          </w:p>
        </w:tc>
        <w:tc>
          <w:tcPr>
            <w:tcW w:type="dxa" w:w="1700"/>
            <w:tcMar>
              <w:top w:w="80" w:type="dxa"/>
              <w:start w:w="120" w:type="dxa"/>
              <w:bottom w:w="80" w:type="dxa"/>
              <w:end w:w="120" w:type="dxa"/>
            </w:tcMar>
            <w:vAlign w:val="center"/>
          </w:tcPr>
          <w:p>
            <w:pPr>
              <w:spacing w:after="0"/>
            </w:pPr>
            <w:r>
              <w:rPr>
                <w:rFonts w:ascii="Calibri" w:hAnsi="Calibri"/>
                <w:color w:val="111827"/>
                <w:sz w:val="18"/>
              </w:rPr>
              <w:t>GlowTheory</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$13,724</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$7,521</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54.8%</w:t>
            </w:r>
          </w:p>
        </w:tc>
      </w:tr>
      <w:tr>
        <w:tc>
          <w:tcPr>
            <w:tcW w:type="dxa" w:w="2500"/>
            <w:shd w:fill="F2F4F7"/>
            <w:tcMar>
              <w:top w:w="80" w:type="dxa"/>
              <w:start w:w="120" w:type="dxa"/>
              <w:bottom w:w="80" w:type="dxa"/>
              <w:end w:w="120" w:type="dxa"/>
            </w:tcMar>
            <w:vAlign w:val="center"/>
          </w:tcPr>
          <w:p>
            <w:pPr>
              <w:spacing w:after="0"/>
            </w:pPr>
            <w:r>
              <w:rPr>
                <w:rFonts w:ascii="Calibri" w:hAnsi="Calibri"/>
                <w:color w:val="111827"/>
                <w:sz w:val="18"/>
              </w:rPr>
              <w:t>PF-WHEY-CHOC</w:t>
            </w:r>
          </w:p>
        </w:tc>
        <w:tc>
          <w:tcPr>
            <w:tcW w:type="dxa" w:w="1700"/>
            <w:shd w:fill="F2F4F7"/>
            <w:tcMar>
              <w:top w:w="80" w:type="dxa"/>
              <w:start w:w="120" w:type="dxa"/>
              <w:bottom w:w="80" w:type="dxa"/>
              <w:end w:w="120" w:type="dxa"/>
            </w:tcMar>
            <w:vAlign w:val="center"/>
          </w:tcPr>
          <w:p>
            <w:pPr>
              <w:spacing w:after="0"/>
            </w:pPr>
            <w:r>
              <w:rPr>
                <w:rFonts w:ascii="Calibri" w:hAnsi="Calibri"/>
                <w:color w:val="111827"/>
                <w:sz w:val="18"/>
              </w:rPr>
              <w:t>Peak Fuel</w:t>
            </w:r>
          </w:p>
        </w:tc>
        <w:tc>
          <w:tcPr>
            <w:tcW w:type="dxa" w:w="1720"/>
            <w:shd w:fill="F2F4F7"/>
            <w:tcMar>
              <w:top w:w="80" w:type="dxa"/>
              <w:start w:w="120" w:type="dxa"/>
              <w:bottom w:w="80" w:type="dxa"/>
              <w:end w:w="120" w:type="dxa"/>
            </w:tcMar>
            <w:vAlign w:val="center"/>
          </w:tcPr>
          <w:p>
            <w:pPr>
              <w:spacing w:after="0"/>
              <w:jc w:val="right"/>
            </w:pPr>
            <w:r>
              <w:rPr>
                <w:rFonts w:ascii="Calibri" w:hAnsi="Calibri"/>
                <w:color w:val="111827"/>
                <w:sz w:val="18"/>
              </w:rPr>
              <w:t>$17,371</w:t>
            </w:r>
          </w:p>
        </w:tc>
        <w:tc>
          <w:tcPr>
            <w:tcW w:type="dxa" w:w="1720"/>
            <w:shd w:fill="F2F4F7"/>
            <w:tcMar>
              <w:top w:w="80" w:type="dxa"/>
              <w:start w:w="120" w:type="dxa"/>
              <w:bottom w:w="80" w:type="dxa"/>
              <w:end w:w="120" w:type="dxa"/>
            </w:tcMar>
            <w:vAlign w:val="center"/>
          </w:tcPr>
          <w:p>
            <w:pPr>
              <w:spacing w:after="0"/>
              <w:jc w:val="right"/>
            </w:pPr>
            <w:r>
              <w:rPr>
                <w:rFonts w:ascii="Calibri" w:hAnsi="Calibri"/>
                <w:color w:val="111827"/>
                <w:sz w:val="18"/>
              </w:rPr>
              <w:t>$6,604</w:t>
            </w:r>
          </w:p>
        </w:tc>
        <w:tc>
          <w:tcPr>
            <w:tcW w:type="dxa" w:w="1720"/>
            <w:shd w:fill="F2F4F7"/>
            <w:tcMar>
              <w:top w:w="80" w:type="dxa"/>
              <w:start w:w="120" w:type="dxa"/>
              <w:bottom w:w="80" w:type="dxa"/>
              <w:end w:w="120" w:type="dxa"/>
            </w:tcMar>
            <w:vAlign w:val="center"/>
          </w:tcPr>
          <w:p>
            <w:pPr>
              <w:spacing w:after="0"/>
              <w:jc w:val="right"/>
            </w:pPr>
            <w:r>
              <w:rPr>
                <w:rFonts w:ascii="Calibri" w:hAnsi="Calibri"/>
                <w:color w:val="111827"/>
                <w:sz w:val="18"/>
              </w:rPr>
              <w:t>38.0%</w:t>
            </w:r>
          </w:p>
        </w:tc>
      </w:tr>
      <w:tr>
        <w:tc>
          <w:tcPr>
            <w:tcW w:type="dxa" w:w="2500"/>
            <w:tcMar>
              <w:top w:w="80" w:type="dxa"/>
              <w:start w:w="120" w:type="dxa"/>
              <w:bottom w:w="80" w:type="dxa"/>
              <w:end w:w="120" w:type="dxa"/>
            </w:tcMar>
            <w:vAlign w:val="center"/>
          </w:tcPr>
          <w:p>
            <w:pPr>
              <w:spacing w:after="0"/>
            </w:pPr>
            <w:r>
              <w:rPr>
                <w:rFonts w:ascii="Calibri" w:hAnsi="Calibri"/>
                <w:color w:val="111827"/>
                <w:sz w:val="18"/>
              </w:rPr>
              <w:t>GT-SERUM-HA</w:t>
            </w:r>
          </w:p>
        </w:tc>
        <w:tc>
          <w:tcPr>
            <w:tcW w:type="dxa" w:w="1700"/>
            <w:tcMar>
              <w:top w:w="80" w:type="dxa"/>
              <w:start w:w="120" w:type="dxa"/>
              <w:bottom w:w="80" w:type="dxa"/>
              <w:end w:w="120" w:type="dxa"/>
            </w:tcMar>
            <w:vAlign w:val="center"/>
          </w:tcPr>
          <w:p>
            <w:pPr>
              <w:spacing w:after="0"/>
            </w:pPr>
            <w:r>
              <w:rPr>
                <w:rFonts w:ascii="Calibri" w:hAnsi="Calibri"/>
                <w:color w:val="111827"/>
                <w:sz w:val="18"/>
              </w:rPr>
              <w:t>GlowTheory</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$9,184</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$4,853</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52.8%</w:t>
            </w:r>
          </w:p>
        </w:tc>
      </w:tr>
      <w:tr>
        <w:tc>
          <w:tcPr>
            <w:tcW w:type="dxa" w:w="2500"/>
            <w:shd w:fill="F2F4F7"/>
            <w:tcMar>
              <w:top w:w="80" w:type="dxa"/>
              <w:start w:w="120" w:type="dxa"/>
              <w:bottom w:w="80" w:type="dxa"/>
              <w:end w:w="120" w:type="dxa"/>
            </w:tcMar>
            <w:vAlign w:val="center"/>
          </w:tcPr>
          <w:p>
            <w:pPr>
              <w:spacing w:after="0"/>
            </w:pPr>
            <w:r>
              <w:rPr>
                <w:rFonts w:ascii="Calibri" w:hAnsi="Calibri"/>
                <w:color w:val="111827"/>
                <w:sz w:val="18"/>
              </w:rPr>
              <w:t>PF-CREATINE-300</w:t>
            </w:r>
          </w:p>
        </w:tc>
        <w:tc>
          <w:tcPr>
            <w:tcW w:type="dxa" w:w="1700"/>
            <w:shd w:fill="F2F4F7"/>
            <w:tcMar>
              <w:top w:w="80" w:type="dxa"/>
              <w:start w:w="120" w:type="dxa"/>
              <w:bottom w:w="80" w:type="dxa"/>
              <w:end w:w="120" w:type="dxa"/>
            </w:tcMar>
            <w:vAlign w:val="center"/>
          </w:tcPr>
          <w:p>
            <w:pPr>
              <w:spacing w:after="0"/>
            </w:pPr>
            <w:r>
              <w:rPr>
                <w:rFonts w:ascii="Calibri" w:hAnsi="Calibri"/>
                <w:color w:val="111827"/>
                <w:sz w:val="18"/>
              </w:rPr>
              <w:t>Peak Fuel</w:t>
            </w:r>
          </w:p>
        </w:tc>
        <w:tc>
          <w:tcPr>
            <w:tcW w:type="dxa" w:w="1720"/>
            <w:shd w:fill="F2F4F7"/>
            <w:tcMar>
              <w:top w:w="80" w:type="dxa"/>
              <w:start w:w="120" w:type="dxa"/>
              <w:bottom w:w="80" w:type="dxa"/>
              <w:end w:w="120" w:type="dxa"/>
            </w:tcMar>
            <w:vAlign w:val="center"/>
          </w:tcPr>
          <w:p>
            <w:pPr>
              <w:spacing w:after="0"/>
              <w:jc w:val="right"/>
            </w:pPr>
            <w:r>
              <w:rPr>
                <w:rFonts w:ascii="Calibri" w:hAnsi="Calibri"/>
                <w:color w:val="111827"/>
                <w:sz w:val="18"/>
              </w:rPr>
              <w:t>$10,058</w:t>
            </w:r>
          </w:p>
        </w:tc>
        <w:tc>
          <w:tcPr>
            <w:tcW w:type="dxa" w:w="1720"/>
            <w:shd w:fill="F2F4F7"/>
            <w:tcMar>
              <w:top w:w="80" w:type="dxa"/>
              <w:start w:w="120" w:type="dxa"/>
              <w:bottom w:w="80" w:type="dxa"/>
              <w:end w:w="120" w:type="dxa"/>
            </w:tcMar>
            <w:vAlign w:val="center"/>
          </w:tcPr>
          <w:p>
            <w:pPr>
              <w:spacing w:after="0"/>
              <w:jc w:val="right"/>
            </w:pPr>
            <w:r>
              <w:rPr>
                <w:rFonts w:ascii="Calibri" w:hAnsi="Calibri"/>
                <w:color w:val="111827"/>
                <w:sz w:val="18"/>
              </w:rPr>
              <w:t>$4,517</w:t>
            </w:r>
          </w:p>
        </w:tc>
        <w:tc>
          <w:tcPr>
            <w:tcW w:type="dxa" w:w="1720"/>
            <w:shd w:fill="F2F4F7"/>
            <w:tcMar>
              <w:top w:w="80" w:type="dxa"/>
              <w:start w:w="120" w:type="dxa"/>
              <w:bottom w:w="80" w:type="dxa"/>
              <w:end w:w="120" w:type="dxa"/>
            </w:tcMar>
            <w:vAlign w:val="center"/>
          </w:tcPr>
          <w:p>
            <w:pPr>
              <w:spacing w:after="0"/>
              <w:jc w:val="right"/>
            </w:pPr>
            <w:r>
              <w:rPr>
                <w:rFonts w:ascii="Calibri" w:hAnsi="Calibri"/>
                <w:color w:val="111827"/>
                <w:sz w:val="18"/>
              </w:rPr>
              <w:t>44.9%</w:t>
            </w:r>
          </w:p>
        </w:tc>
      </w:tr>
      <w:tr>
        <w:tc>
          <w:tcPr>
            <w:tcW w:type="dxa" w:w="2500"/>
            <w:tcMar>
              <w:top w:w="80" w:type="dxa"/>
              <w:start w:w="120" w:type="dxa"/>
              <w:bottom w:w="80" w:type="dxa"/>
              <w:end w:w="120" w:type="dxa"/>
            </w:tcMar>
            <w:vAlign w:val="center"/>
          </w:tcPr>
          <w:p>
            <w:pPr>
              <w:spacing w:after="0"/>
            </w:pPr>
            <w:r>
              <w:rPr>
                <w:rFonts w:ascii="Calibri" w:hAnsi="Calibri"/>
                <w:color w:val="111827"/>
                <w:sz w:val="18"/>
              </w:rPr>
              <w:t>PF-WHEY-VAN</w:t>
            </w:r>
          </w:p>
        </w:tc>
        <w:tc>
          <w:tcPr>
            <w:tcW w:type="dxa" w:w="1700"/>
            <w:tcMar>
              <w:top w:w="80" w:type="dxa"/>
              <w:start w:w="120" w:type="dxa"/>
              <w:bottom w:w="80" w:type="dxa"/>
              <w:end w:w="120" w:type="dxa"/>
            </w:tcMar>
            <w:vAlign w:val="center"/>
          </w:tcPr>
          <w:p>
            <w:pPr>
              <w:spacing w:after="0"/>
            </w:pPr>
            <w:r>
              <w:rPr>
                <w:rFonts w:ascii="Calibri" w:hAnsi="Calibri"/>
                <w:color w:val="111827"/>
                <w:sz w:val="18"/>
              </w:rPr>
              <w:t>Peak Fuel</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$10,816</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$4,172</w:t>
            </w:r>
          </w:p>
        </w:tc>
        <w:tc>
          <w:tcPr>
            <w:tcW w:type="dxa" w:w="1720"/>
            <w:tcMar>
              <w:top w:w="80" w:type="dxa"/>
              <w:start w:w="120" w:type="dxa"/>
              <w:bottom w:w="80" w:type="dxa"/>
              <w:end w:w="120" w:type="dxa"/>
            </w:tcMar>
            <w:vAlign w:val="center"/>
          </w:tcPr>
          <w:p>
            <w:pPr>
              <w:spacing w:after="0"/>
              <w:jc w:val="right"/>
            </w:pPr>
            <w:r>
              <w:rPr>
                <w:rFonts w:ascii="Calibri" w:hAnsi="Calibri"/>
                <w:color w:val="111827"/>
                <w:sz w:val="18"/>
              </w:rPr>
              <w:t>38.6%</w:t>
            </w:r>
          </w:p>
        </w:tc>
      </w:tr>
    </w:tbl>
    <w:p>
      <w:pPr>
        <w:spacing w:after="40"/>
      </w:pPr>
    </w:p>
    <w:p>
      <w:pPr>
        <w:spacing w:after="120" w:line="264" w:lineRule="auto"/>
      </w:pPr>
      <w:r>
        <w:rPr>
          <w:rFonts w:ascii="Calibri" w:hAnsi="Calibri"/>
          <w:b/>
          <w:color w:val="111827"/>
        </w:rPr>
        <w:t xml:space="preserve">1. Protect profitable demand. </w:t>
      </w:r>
      <w:r>
        <w:rPr>
          <w:rFonts w:ascii="Calibri" w:hAnsi="Calibri"/>
          <w:color w:val="111827"/>
        </w:rPr>
        <w:t>GT-SERUM-VITC is the largest SKU contributor at $7.5K and a 54.8% margin. PF-WHEY-CHOC contributes $6.6K. Protect in-stock rates and ad efficiency on these proven contributors.</w:t>
      </w:r>
    </w:p>
    <w:p>
      <w:pPr>
        <w:pStyle w:val="Heading2"/>
        <w:keepNext/>
      </w:pPr>
      <w:r>
        <w:t>Where economics or data need intervention</w:t>
      </w:r>
    </w:p>
    <w:tbl>
      <w:tblPr>
        <w:tblStyle w:val="TableGrid"/>
        <w:tblW w:type="dxa" w:w="9360"/>
        <w:tblLayout w:type="fixed"/>
        <w:tblLook w:firstColumn="1" w:firstRow="1" w:lastColumn="0" w:lastRow="0" w:noHBand="0" w:noVBand="1" w:val="04A0"/>
        <w:jc w:val="left"/>
        <w:tblInd w:w="120" w:type="dxa"/>
      </w:tblPr>
      <w:tblGrid>
        <w:gridCol w:w="2300"/>
        <w:gridCol w:w="3840"/>
        <w:gridCol w:w="1610"/>
        <w:gridCol w:w="1610"/>
      </w:tblGrid>
      <w:tr>
        <w:trPr>
          <w:tblHeader w:val="true"/>
        </w:trPr>
        <w:tc>
          <w:tcPr>
            <w:tcW w:type="dxa" w:w="2300"/>
            <w:tcMar>
              <w:top w:w="80" w:type="dxa"/>
              <w:start w:w="120" w:type="dxa"/>
              <w:bottom w:w="80" w:type="dxa"/>
              <w:end w:w="120" w:type="dxa"/>
            </w:tcMar>
            <w:vAlign w:val="center"/>
            <w:shd w:fill="0B2545"/>
          </w:tcPr>
          <w:p>
            <w:pPr>
              <w:spacing w:after="0"/>
            </w:pPr>
            <w:r>
              <w:rPr>
                <w:rFonts w:ascii="Calibri" w:hAnsi="Calibri"/>
                <w:b/>
                <w:color w:val="FFFFFF"/>
                <w:sz w:val="18"/>
              </w:rPr>
              <w:t>SKU</w:t>
            </w:r>
          </w:p>
        </w:tc>
        <w:tc>
          <w:tcPr>
            <w:tcW w:type="dxa" w:w="3840"/>
            <w:tcMar>
              <w:top w:w="80" w:type="dxa"/>
              <w:start w:w="120" w:type="dxa"/>
              <w:bottom w:w="80" w:type="dxa"/>
              <w:end w:w="120" w:type="dxa"/>
            </w:tcMar>
            <w:vAlign w:val="center"/>
            <w:shd w:fill="0B2545"/>
          </w:tcPr>
          <w:p>
            <w:pPr>
              <w:spacing w:after="0"/>
            </w:pPr>
            <w:r>
              <w:rPr>
                <w:rFonts w:ascii="Calibri" w:hAnsi="Calibri"/>
                <w:b/>
                <w:color w:val="FFFFFF"/>
                <w:sz w:val="18"/>
              </w:rPr>
              <w:t>Issue</w:t>
            </w:r>
          </w:p>
        </w:tc>
        <w:tc>
          <w:tcPr>
            <w:tcW w:type="dxa" w:w="1610"/>
            <w:tcMar>
              <w:top w:w="80" w:type="dxa"/>
              <w:start w:w="120" w:type="dxa"/>
              <w:bottom w:w="80" w:type="dxa"/>
              <w:end w:w="120" w:type="dxa"/>
            </w:tcMar>
            <w:vAlign w:val="center"/>
            <w:shd w:fill="0B2545"/>
          </w:tcPr>
          <w:p>
            <w:pPr>
              <w:spacing w:after="0"/>
              <w:jc w:val="right"/>
            </w:pPr>
            <w:r>
              <w:rPr>
                <w:rFonts w:ascii="Calibri" w:hAnsi="Calibri"/>
                <w:b/>
                <w:color w:val="FFFFFF"/>
                <w:sz w:val="18"/>
              </w:rPr>
              <w:t>Contribution</w:t>
            </w:r>
          </w:p>
        </w:tc>
        <w:tc>
          <w:tcPr>
            <w:tcW w:type="dxa" w:w="1610"/>
            <w:tcMar>
              <w:top w:w="80" w:type="dxa"/>
              <w:start w:w="120" w:type="dxa"/>
              <w:bottom w:w="80" w:type="dxa"/>
              <w:end w:w="120" w:type="dxa"/>
            </w:tcMar>
            <w:vAlign w:val="center"/>
            <w:shd w:fill="0B2545"/>
          </w:tcPr>
          <w:p>
            <w:pPr>
              <w:spacing w:after="0"/>
              <w:jc w:val="right"/>
            </w:pPr>
            <w:r>
              <w:rPr>
                <w:rFonts w:ascii="Calibri" w:hAnsi="Calibri"/>
                <w:b/>
                <w:color w:val="FFFFFF"/>
                <w:sz w:val="18"/>
              </w:rPr>
              <w:t>Margin %</w:t>
            </w:r>
          </w:p>
        </w:tc>
      </w:tr>
      <w:tr>
        <w:tc>
          <w:tcPr>
            <w:tcW w:type="dxa" w:w="2300"/>
            <w:tcMar>
              <w:top w:w="80" w:type="dxa"/>
              <w:start w:w="120" w:type="dxa"/>
              <w:bottom w:w="80" w:type="dxa"/>
              <w:end w:w="120" w:type="dxa"/>
            </w:tcMar>
            <w:vAlign w:val="center"/>
          </w:tcPr>
          <w:p>
            <w:pPr>
              <w:spacing w:after="0"/>
            </w:pPr>
            <w:r>
              <w:rPr>
                <w:rFonts w:ascii="Calibri" w:hAnsi="Calibri"/>
                <w:color w:val="111827"/>
                <w:sz w:val="18"/>
              </w:rPr>
              <w:t>PH-BED-MED-GRY</w:t>
            </w:r>
          </w:p>
        </w:tc>
        <w:tc>
          <w:tcPr>
            <w:tcW w:type="dxa" w:w="3840"/>
            <w:tcMar>
              <w:top w:w="80" w:type="dxa"/>
              <w:start w:w="120" w:type="dxa"/>
              <w:bottom w:w="80" w:type="dxa"/>
              <w:end w:w="120" w:type="dxa"/>
            </w:tcMar>
            <w:vAlign w:val="center"/>
          </w:tcPr>
          <w:p>
            <w:pPr>
              <w:spacing w:after="0"/>
            </w:pPr>
            <w:r>
              <w:rPr>
                <w:rFonts w:ascii="Calibri" w:hAnsi="Calibri"/>
                <w:color w:val="111827"/>
                <w:sz w:val="18"/>
              </w:rPr>
              <w:t>Known cost; weak unit economics</w:t>
            </w:r>
          </w:p>
        </w:tc>
        <w:tc>
          <w:tcPr>
            <w:tcW w:type="dxa" w:w="1610"/>
            <w:tcMar>
              <w:top w:w="80" w:type="dxa"/>
              <w:start w:w="120" w:type="dxa"/>
              <w:bottom w:w="80" w:type="dxa"/>
              <w:end w:w="120" w:type="dxa"/>
            </w:tcMar>
            <w:vAlign w:val="center"/>
          </w:tcPr>
          <w:p>
            <w:pPr>
              <w:spacing w:after="0"/>
              <w:jc w:val="right"/>
            </w:pPr>
            <w:r>
              <w:rPr>
                <w:rFonts w:ascii="Calibri" w:hAnsi="Calibri"/>
                <w:color w:val="111827"/>
                <w:sz w:val="18"/>
              </w:rPr>
              <w:t>$291</w:t>
            </w:r>
          </w:p>
        </w:tc>
        <w:tc>
          <w:tcPr>
            <w:tcW w:type="dxa" w:w="1610"/>
            <w:tcMar>
              <w:top w:w="80" w:type="dxa"/>
              <w:start w:w="120" w:type="dxa"/>
              <w:bottom w:w="80" w:type="dxa"/>
              <w:end w:w="120" w:type="dxa"/>
            </w:tcMar>
            <w:vAlign w:val="center"/>
          </w:tcPr>
          <w:p>
            <w:pPr>
              <w:spacing w:after="0"/>
              <w:jc w:val="right"/>
            </w:pPr>
            <w:r>
              <w:rPr>
                <w:rFonts w:ascii="Calibri" w:hAnsi="Calibri"/>
                <w:color w:val="111827"/>
                <w:sz w:val="18"/>
              </w:rPr>
              <w:t>6.1%</w:t>
            </w:r>
          </w:p>
        </w:tc>
      </w:tr>
      <w:tr>
        <w:tc>
          <w:tcPr>
            <w:tcW w:type="dxa" w:w="2300"/>
            <w:shd w:fill="F2F4F7"/>
            <w:tcMar>
              <w:top w:w="80" w:type="dxa"/>
              <w:start w:w="120" w:type="dxa"/>
              <w:bottom w:w="80" w:type="dxa"/>
              <w:end w:w="120" w:type="dxa"/>
            </w:tcMar>
            <w:vAlign w:val="center"/>
          </w:tcPr>
          <w:p>
            <w:pPr>
              <w:spacing w:after="0"/>
            </w:pPr>
            <w:r>
              <w:rPr>
                <w:rFonts w:ascii="Calibri" w:hAnsi="Calibri"/>
                <w:color w:val="111827"/>
                <w:sz w:val="18"/>
              </w:rPr>
              <w:t>PH-TOY-ROPE-L</w:t>
            </w:r>
          </w:p>
        </w:tc>
        <w:tc>
          <w:tcPr>
            <w:tcW w:type="dxa" w:w="3840"/>
            <w:shd w:fill="F2F4F7"/>
            <w:tcMar>
              <w:top w:w="80" w:type="dxa"/>
              <w:start w:w="120" w:type="dxa"/>
              <w:bottom w:w="80" w:type="dxa"/>
              <w:end w:w="120" w:type="dxa"/>
            </w:tcMar>
            <w:vAlign w:val="center"/>
          </w:tcPr>
          <w:p>
            <w:pPr>
              <w:spacing w:after="0"/>
            </w:pPr>
            <w:r>
              <w:rPr>
                <w:rFonts w:ascii="Calibri" w:hAnsi="Calibri"/>
                <w:color w:val="111827"/>
                <w:sz w:val="18"/>
              </w:rPr>
              <w:t>Cost imputed; validate before decision</w:t>
            </w:r>
          </w:p>
        </w:tc>
        <w:tc>
          <w:tcPr>
            <w:tcW w:type="dxa" w:w="1610"/>
            <w:shd w:fill="F2F4F7"/>
            <w:tcMar>
              <w:top w:w="80" w:type="dxa"/>
              <w:start w:w="120" w:type="dxa"/>
              <w:bottom w:w="80" w:type="dxa"/>
              <w:end w:w="120" w:type="dxa"/>
            </w:tcMar>
            <w:vAlign w:val="center"/>
          </w:tcPr>
          <w:p>
            <w:pPr>
              <w:spacing w:after="0"/>
              <w:jc w:val="right"/>
            </w:pPr>
            <w:r>
              <w:rPr>
                <w:rFonts w:ascii="Calibri" w:hAnsi="Calibri"/>
                <w:color w:val="111827"/>
                <w:sz w:val="18"/>
              </w:rPr>
              <w:t>$177</w:t>
            </w:r>
          </w:p>
        </w:tc>
        <w:tc>
          <w:tcPr>
            <w:tcW w:type="dxa" w:w="1610"/>
            <w:shd w:fill="F2F4F7"/>
            <w:tcMar>
              <w:top w:w="80" w:type="dxa"/>
              <w:start w:w="120" w:type="dxa"/>
              <w:bottom w:w="80" w:type="dxa"/>
              <w:end w:w="120" w:type="dxa"/>
            </w:tcMar>
            <w:vAlign w:val="center"/>
          </w:tcPr>
          <w:p>
            <w:pPr>
              <w:spacing w:after="0"/>
              <w:jc w:val="right"/>
            </w:pPr>
            <w:r>
              <w:rPr>
                <w:rFonts w:ascii="Calibri" w:hAnsi="Calibri"/>
                <w:color w:val="111827"/>
                <w:sz w:val="18"/>
              </w:rPr>
              <w:t>6.3%</w:t>
            </w:r>
          </w:p>
        </w:tc>
      </w:tr>
      <w:tr>
        <w:tc>
          <w:tcPr>
            <w:tcW w:type="dxa" w:w="2300"/>
            <w:tcMar>
              <w:top w:w="80" w:type="dxa"/>
              <w:start w:w="120" w:type="dxa"/>
              <w:bottom w:w="80" w:type="dxa"/>
              <w:end w:w="120" w:type="dxa"/>
            </w:tcMar>
            <w:vAlign w:val="center"/>
          </w:tcPr>
          <w:p>
            <w:pPr>
              <w:spacing w:after="0"/>
            </w:pPr>
            <w:r>
              <w:rPr>
                <w:rFonts w:ascii="Calibri" w:hAnsi="Calibri"/>
                <w:color w:val="111827"/>
                <w:sz w:val="18"/>
              </w:rPr>
              <w:t>GT-LIP-BALM</w:t>
            </w:r>
          </w:p>
        </w:tc>
        <w:tc>
          <w:tcPr>
            <w:tcW w:type="dxa" w:w="3840"/>
            <w:tcMar>
              <w:top w:w="80" w:type="dxa"/>
              <w:start w:w="120" w:type="dxa"/>
              <w:bottom w:w="80" w:type="dxa"/>
              <w:end w:w="120" w:type="dxa"/>
            </w:tcMar>
            <w:vAlign w:val="center"/>
          </w:tcPr>
          <w:p>
            <w:pPr>
              <w:spacing w:after="0"/>
            </w:pPr>
            <w:r>
              <w:rPr>
                <w:rFonts w:ascii="Calibri" w:hAnsi="Calibri"/>
                <w:color w:val="111827"/>
                <w:sz w:val="18"/>
              </w:rPr>
              <w:t>Cost imputed; validate before decision</w:t>
            </w:r>
          </w:p>
        </w:tc>
        <w:tc>
          <w:tcPr>
            <w:tcW w:type="dxa" w:w="1610"/>
            <w:tcMar>
              <w:top w:w="80" w:type="dxa"/>
              <w:start w:w="120" w:type="dxa"/>
              <w:bottom w:w="80" w:type="dxa"/>
              <w:end w:w="120" w:type="dxa"/>
            </w:tcMar>
            <w:vAlign w:val="center"/>
          </w:tcPr>
          <w:p>
            <w:pPr>
              <w:spacing w:after="0"/>
              <w:jc w:val="right"/>
            </w:pPr>
            <w:r>
              <w:rPr>
                <w:rFonts w:ascii="Calibri" w:hAnsi="Calibri"/>
                <w:color w:val="111827"/>
                <w:sz w:val="18"/>
              </w:rPr>
              <w:t>$6</w:t>
            </w:r>
          </w:p>
        </w:tc>
        <w:tc>
          <w:tcPr>
            <w:tcW w:type="dxa" w:w="1610"/>
            <w:tcMar>
              <w:top w:w="80" w:type="dxa"/>
              <w:start w:w="120" w:type="dxa"/>
              <w:bottom w:w="80" w:type="dxa"/>
              <w:end w:w="120" w:type="dxa"/>
            </w:tcMar>
            <w:vAlign w:val="center"/>
          </w:tcPr>
          <w:p>
            <w:pPr>
              <w:spacing w:after="0"/>
              <w:jc w:val="right"/>
            </w:pPr>
            <w:r>
              <w:rPr>
                <w:rFonts w:ascii="Calibri" w:hAnsi="Calibri"/>
                <w:color w:val="111827"/>
                <w:sz w:val="18"/>
              </w:rPr>
              <w:t>2.6%</w:t>
            </w:r>
          </w:p>
        </w:tc>
      </w:tr>
    </w:tbl>
    <w:p>
      <w:pPr>
        <w:spacing w:after="40"/>
      </w:pPr>
    </w:p>
    <w:p>
      <w:pPr>
        <w:spacing w:after="120" w:line="264" w:lineRule="auto"/>
      </w:pPr>
      <w:r>
        <w:rPr>
          <w:rFonts w:ascii="Calibri" w:hAnsi="Calibri"/>
          <w:b/>
          <w:color w:val="111827"/>
        </w:rPr>
        <w:t xml:space="preserve">2. Fix the advertising decision loop. </w:t>
      </w:r>
      <w:r>
        <w:rPr>
          <w:rFonts w:ascii="Calibri" w:hAnsi="Calibri"/>
          <w:color w:val="111827"/>
        </w:rPr>
        <w:t>$50.6K of advertising cost equals 98.7% of contribution margin. Ingest campaign and advertised-SKU detail, then evaluate spend against profit after advertising rather than revenue or ROAS alone.</w:t>
      </w:r>
    </w:p>
    <w:p>
      <w:pPr>
        <w:pStyle w:val="Heading2"/>
        <w:keepNext/>
      </w:pPr>
      <w:r>
        <w:t>Inventory actions from the 6/30 snapshot</w:t>
      </w:r>
    </w:p>
    <w:tbl>
      <w:tblPr>
        <w:tblStyle w:val="TableGrid"/>
        <w:tblW w:type="dxa" w:w="9360"/>
        <w:tblLayout w:type="fixed"/>
        <w:tblLook w:firstColumn="1" w:firstRow="1" w:lastColumn="0" w:lastRow="0" w:noHBand="0" w:noVBand="1" w:val="04A0"/>
        <w:jc w:val="left"/>
        <w:tblInd w:w="120" w:type="dxa"/>
      </w:tblPr>
      <w:tblGrid>
        <w:gridCol w:w="2300"/>
        <w:gridCol w:w="1500"/>
        <w:gridCol w:w="1500"/>
        <w:gridCol w:w="1500"/>
        <w:gridCol w:w="2560"/>
      </w:tblGrid>
      <w:tr>
        <w:trPr>
          <w:tblHeader w:val="true"/>
        </w:trPr>
        <w:tc>
          <w:tcPr>
            <w:tcW w:type="dxa" w:w="2300"/>
            <w:tcMar>
              <w:top w:w="80" w:type="dxa"/>
              <w:start w:w="120" w:type="dxa"/>
              <w:bottom w:w="80" w:type="dxa"/>
              <w:end w:w="120" w:type="dxa"/>
            </w:tcMar>
            <w:vAlign w:val="center"/>
            <w:shd w:fill="0B2545"/>
          </w:tcPr>
          <w:p>
            <w:pPr>
              <w:spacing w:after="0"/>
            </w:pPr>
            <w:r>
              <w:rPr>
                <w:rFonts w:ascii="Calibri" w:hAnsi="Calibri"/>
                <w:b/>
                <w:color w:val="FFFFFF"/>
                <w:sz w:val="18"/>
              </w:rPr>
              <w:t>SKU</w:t>
            </w:r>
          </w:p>
        </w:tc>
        <w:tc>
          <w:tcPr>
            <w:tcW w:type="dxa" w:w="1500"/>
            <w:tcMar>
              <w:top w:w="80" w:type="dxa"/>
              <w:start w:w="120" w:type="dxa"/>
              <w:bottom w:w="80" w:type="dxa"/>
              <w:end w:w="120" w:type="dxa"/>
            </w:tcMar>
            <w:vAlign w:val="center"/>
            <w:shd w:fill="0B2545"/>
          </w:tcPr>
          <w:p>
            <w:pPr>
              <w:spacing w:after="0"/>
              <w:jc w:val="right"/>
            </w:pPr>
            <w:r>
              <w:rPr>
                <w:rFonts w:ascii="Calibri" w:hAnsi="Calibri"/>
                <w:b/>
                <w:color w:val="FFFFFF"/>
                <w:sz w:val="18"/>
              </w:rPr>
              <w:t>Fulfillable</w:t>
            </w:r>
          </w:p>
        </w:tc>
        <w:tc>
          <w:tcPr>
            <w:tcW w:type="dxa" w:w="1500"/>
            <w:tcMar>
              <w:top w:w="80" w:type="dxa"/>
              <w:start w:w="120" w:type="dxa"/>
              <w:bottom w:w="80" w:type="dxa"/>
              <w:end w:w="120" w:type="dxa"/>
            </w:tcMar>
            <w:vAlign w:val="center"/>
            <w:shd w:fill="0B2545"/>
          </w:tcPr>
          <w:p>
            <w:pPr>
              <w:spacing w:after="0"/>
              <w:jc w:val="right"/>
            </w:pPr>
            <w:r>
              <w:rPr>
                <w:rFonts w:ascii="Calibri" w:hAnsi="Calibri"/>
                <w:b/>
                <w:color w:val="FFFFFF"/>
                <w:sz w:val="18"/>
              </w:rPr>
              <w:t>Inbound</w:t>
            </w:r>
          </w:p>
        </w:tc>
        <w:tc>
          <w:tcPr>
            <w:tcW w:type="dxa" w:w="1500"/>
            <w:tcMar>
              <w:top w:w="80" w:type="dxa"/>
              <w:start w:w="120" w:type="dxa"/>
              <w:bottom w:w="80" w:type="dxa"/>
              <w:end w:w="120" w:type="dxa"/>
            </w:tcMar>
            <w:vAlign w:val="center"/>
            <w:shd w:fill="0B2545"/>
          </w:tcPr>
          <w:p>
            <w:pPr>
              <w:spacing w:after="0"/>
              <w:jc w:val="right"/>
            </w:pPr>
            <w:r>
              <w:rPr>
                <w:rFonts w:ascii="Calibri" w:hAnsi="Calibri"/>
                <w:b/>
                <w:color w:val="FFFFFF"/>
                <w:sz w:val="18"/>
              </w:rPr>
              <w:t>Days cover</w:t>
            </w:r>
          </w:p>
        </w:tc>
        <w:tc>
          <w:tcPr>
            <w:tcW w:type="dxa" w:w="2560"/>
            <w:tcMar>
              <w:top w:w="80" w:type="dxa"/>
              <w:start w:w="120" w:type="dxa"/>
              <w:bottom w:w="80" w:type="dxa"/>
              <w:end w:w="120" w:type="dxa"/>
            </w:tcMar>
            <w:vAlign w:val="center"/>
            <w:shd w:fill="0B2545"/>
          </w:tcPr>
          <w:p>
            <w:pPr>
              <w:spacing w:after="0"/>
            </w:pPr>
            <w:r>
              <w:rPr>
                <w:rFonts w:ascii="Calibri" w:hAnsi="Calibri"/>
                <w:b/>
                <w:color w:val="FFFFFF"/>
                <w:sz w:val="18"/>
              </w:rPr>
              <w:t>Action</w:t>
            </w:r>
          </w:p>
        </w:tc>
      </w:tr>
      <w:tr>
        <w:tc>
          <w:tcPr>
            <w:tcW w:type="dxa" w:w="2300"/>
            <w:tcMar>
              <w:top w:w="80" w:type="dxa"/>
              <w:start w:w="120" w:type="dxa"/>
              <w:bottom w:w="80" w:type="dxa"/>
              <w:end w:w="120" w:type="dxa"/>
            </w:tcMar>
            <w:vAlign w:val="center"/>
          </w:tcPr>
          <w:p>
            <w:pPr>
              <w:spacing w:after="0"/>
            </w:pPr>
            <w:r>
              <w:rPr>
                <w:rFonts w:ascii="Calibri" w:hAnsi="Calibri"/>
                <w:color w:val="111827"/>
                <w:sz w:val="18"/>
              </w:rPr>
              <w:t>PF-WHEY-CHOC</w:t>
            </w:r>
          </w:p>
        </w:tc>
        <w:tc>
          <w:tcPr>
            <w:tcW w:type="dxa" w:w="1500"/>
            <w:tcMar>
              <w:top w:w="80" w:type="dxa"/>
              <w:start w:w="120" w:type="dxa"/>
              <w:bottom w:w="80" w:type="dxa"/>
              <w:end w:w="120" w:type="dxa"/>
            </w:tcMar>
            <w:vAlign w:val="center"/>
          </w:tcPr>
          <w:p>
            <w:pPr>
              <w:spacing w:after="0"/>
              <w:jc w:val="right"/>
            </w:pPr>
            <w:r>
              <w:rPr>
                <w:rFonts w:ascii="Calibri" w:hAnsi="Calibri"/>
                <w:color w:val="111827"/>
                <w:sz w:val="18"/>
              </w:rPr>
              <w:t>205</w:t>
            </w:r>
          </w:p>
        </w:tc>
        <w:tc>
          <w:tcPr>
            <w:tcW w:type="dxa" w:w="1500"/>
            <w:tcMar>
              <w:top w:w="80" w:type="dxa"/>
              <w:start w:w="120" w:type="dxa"/>
              <w:bottom w:w="80" w:type="dxa"/>
              <w:end w:w="120" w:type="dxa"/>
            </w:tcMar>
            <w:vAlign w:val="center"/>
          </w:tcPr>
          <w:p>
            <w:pPr>
              <w:spacing w:after="0"/>
              <w:jc w:val="right"/>
            </w:pPr>
            <w:r>
              <w:rPr>
                <w:rFonts w:ascii="Calibri" w:hAnsi="Calibri"/>
                <w:color w:val="111827"/>
                <w:sz w:val="18"/>
              </w:rPr>
              <w:t>0</w:t>
            </w:r>
          </w:p>
        </w:tc>
        <w:tc>
          <w:tcPr>
            <w:tcW w:type="dxa" w:w="1500"/>
            <w:tcMar>
              <w:top w:w="80" w:type="dxa"/>
              <w:start w:w="120" w:type="dxa"/>
              <w:bottom w:w="80" w:type="dxa"/>
              <w:end w:w="120" w:type="dxa"/>
            </w:tcMar>
            <w:vAlign w:val="center"/>
          </w:tcPr>
          <w:p>
            <w:pPr>
              <w:spacing w:after="0"/>
              <w:jc w:val="right"/>
            </w:pPr>
            <w:r>
              <w:rPr>
                <w:rFonts w:ascii="Calibri" w:hAnsi="Calibri"/>
                <w:color w:val="111827"/>
                <w:sz w:val="18"/>
              </w:rPr>
              <w:t>47</w:t>
            </w:r>
          </w:p>
        </w:tc>
        <w:tc>
          <w:tcPr>
            <w:tcW w:type="dxa" w:w="2560"/>
            <w:tcMar>
              <w:top w:w="80" w:type="dxa"/>
              <w:start w:w="120" w:type="dxa"/>
              <w:bottom w:w="80" w:type="dxa"/>
              <w:end w:w="120" w:type="dxa"/>
            </w:tcMar>
            <w:vAlign w:val="center"/>
          </w:tcPr>
          <w:p>
            <w:pPr>
              <w:spacing w:after="0"/>
            </w:pPr>
            <w:r>
              <w:rPr>
                <w:rFonts w:ascii="Calibri" w:hAnsi="Calibri"/>
                <w:color w:val="111827"/>
                <w:sz w:val="18"/>
              </w:rPr>
              <w:t>EXPEDITE / REORDER</w:t>
            </w:r>
          </w:p>
        </w:tc>
      </w:tr>
      <w:tr>
        <w:tc>
          <w:tcPr>
            <w:tcW w:type="dxa" w:w="2300"/>
            <w:shd w:fill="F2F4F7"/>
            <w:tcMar>
              <w:top w:w="80" w:type="dxa"/>
              <w:start w:w="120" w:type="dxa"/>
              <w:bottom w:w="80" w:type="dxa"/>
              <w:end w:w="120" w:type="dxa"/>
            </w:tcMar>
            <w:vAlign w:val="center"/>
          </w:tcPr>
          <w:p>
            <w:pPr>
              <w:spacing w:after="0"/>
            </w:pPr>
            <w:r>
              <w:rPr>
                <w:rFonts w:ascii="Calibri" w:hAnsi="Calibri"/>
                <w:color w:val="111827"/>
                <w:sz w:val="18"/>
              </w:rPr>
              <w:t>GT-SERUM-VITC</w:t>
            </w:r>
          </w:p>
        </w:tc>
        <w:tc>
          <w:tcPr>
            <w:tcW w:type="dxa" w:w="1500"/>
            <w:shd w:fill="F2F4F7"/>
            <w:tcMar>
              <w:top w:w="80" w:type="dxa"/>
              <w:start w:w="120" w:type="dxa"/>
              <w:bottom w:w="80" w:type="dxa"/>
              <w:end w:w="120" w:type="dxa"/>
            </w:tcMar>
            <w:vAlign w:val="center"/>
          </w:tcPr>
          <w:p>
            <w:pPr>
              <w:spacing w:after="0"/>
              <w:jc w:val="right"/>
            </w:pPr>
            <w:r>
              <w:rPr>
                <w:rFonts w:ascii="Calibri" w:hAnsi="Calibri"/>
                <w:color w:val="111827"/>
                <w:sz w:val="18"/>
              </w:rPr>
              <w:t>299</w:t>
            </w:r>
          </w:p>
        </w:tc>
        <w:tc>
          <w:tcPr>
            <w:tcW w:type="dxa" w:w="1500"/>
            <w:shd w:fill="F2F4F7"/>
            <w:tcMar>
              <w:top w:w="80" w:type="dxa"/>
              <w:start w:w="120" w:type="dxa"/>
              <w:bottom w:w="80" w:type="dxa"/>
              <w:end w:w="120" w:type="dxa"/>
            </w:tcMar>
            <w:vAlign w:val="center"/>
          </w:tcPr>
          <w:p>
            <w:pPr>
              <w:spacing w:after="0"/>
              <w:jc w:val="right"/>
            </w:pPr>
            <w:r>
              <w:rPr>
                <w:rFonts w:ascii="Calibri" w:hAnsi="Calibri"/>
                <w:color w:val="111827"/>
                <w:sz w:val="18"/>
              </w:rPr>
              <w:t>0</w:t>
            </w:r>
          </w:p>
        </w:tc>
        <w:tc>
          <w:tcPr>
            <w:tcW w:type="dxa" w:w="1500"/>
            <w:shd w:fill="F2F4F7"/>
            <w:tcMar>
              <w:top w:w="80" w:type="dxa"/>
              <w:start w:w="120" w:type="dxa"/>
              <w:bottom w:w="80" w:type="dxa"/>
              <w:end w:w="120" w:type="dxa"/>
            </w:tcMar>
            <w:vAlign w:val="center"/>
          </w:tcPr>
          <w:p>
            <w:pPr>
              <w:spacing w:after="0"/>
              <w:jc w:val="right"/>
            </w:pPr>
            <w:r>
              <w:rPr>
                <w:rFonts w:ascii="Calibri" w:hAnsi="Calibri"/>
                <w:color w:val="111827"/>
                <w:sz w:val="18"/>
              </w:rPr>
              <w:t>56</w:t>
            </w:r>
          </w:p>
        </w:tc>
        <w:tc>
          <w:tcPr>
            <w:tcW w:type="dxa" w:w="2560"/>
            <w:shd w:fill="F2F4F7"/>
            <w:tcMar>
              <w:top w:w="80" w:type="dxa"/>
              <w:start w:w="120" w:type="dxa"/>
              <w:bottom w:w="80" w:type="dxa"/>
              <w:end w:w="120" w:type="dxa"/>
            </w:tcMar>
            <w:vAlign w:val="center"/>
          </w:tcPr>
          <w:p>
            <w:pPr>
              <w:spacing w:after="0"/>
            </w:pPr>
            <w:r>
              <w:rPr>
                <w:rFonts w:ascii="Calibri" w:hAnsi="Calibri"/>
                <w:color w:val="111827"/>
                <w:sz w:val="18"/>
              </w:rPr>
              <w:t>EXPEDITE / REORDER</w:t>
            </w:r>
          </w:p>
        </w:tc>
      </w:tr>
      <w:tr>
        <w:tc>
          <w:tcPr>
            <w:tcW w:type="dxa" w:w="2300"/>
            <w:tcMar>
              <w:top w:w="80" w:type="dxa"/>
              <w:start w:w="120" w:type="dxa"/>
              <w:bottom w:w="80" w:type="dxa"/>
              <w:end w:w="120" w:type="dxa"/>
            </w:tcMar>
            <w:vAlign w:val="center"/>
          </w:tcPr>
          <w:p>
            <w:pPr>
              <w:spacing w:after="0"/>
            </w:pPr>
            <w:r>
              <w:rPr>
                <w:rFonts w:ascii="Calibri" w:hAnsi="Calibri"/>
                <w:color w:val="111827"/>
                <w:sz w:val="18"/>
              </w:rPr>
              <w:t>GT-LIP-BALM</w:t>
            </w:r>
          </w:p>
        </w:tc>
        <w:tc>
          <w:tcPr>
            <w:tcW w:type="dxa" w:w="1500"/>
            <w:tcMar>
              <w:top w:w="80" w:type="dxa"/>
              <w:start w:w="120" w:type="dxa"/>
              <w:bottom w:w="80" w:type="dxa"/>
              <w:end w:w="120" w:type="dxa"/>
            </w:tcMar>
            <w:vAlign w:val="center"/>
          </w:tcPr>
          <w:p>
            <w:pPr>
              <w:spacing w:after="0"/>
              <w:jc w:val="right"/>
            </w:pPr>
            <w:r>
              <w:rPr>
                <w:rFonts w:ascii="Calibri" w:hAnsi="Calibri"/>
                <w:color w:val="111827"/>
                <w:sz w:val="18"/>
              </w:rPr>
              <w:t>1,182</w:t>
            </w:r>
          </w:p>
        </w:tc>
        <w:tc>
          <w:tcPr>
            <w:tcW w:type="dxa" w:w="1500"/>
            <w:tcMar>
              <w:top w:w="80" w:type="dxa"/>
              <w:start w:w="120" w:type="dxa"/>
              <w:bottom w:w="80" w:type="dxa"/>
              <w:end w:w="120" w:type="dxa"/>
            </w:tcMar>
            <w:vAlign w:val="center"/>
          </w:tcPr>
          <w:p>
            <w:pPr>
              <w:spacing w:after="0"/>
              <w:jc w:val="right"/>
            </w:pPr>
            <w:r>
              <w:rPr>
                <w:rFonts w:ascii="Calibri" w:hAnsi="Calibri"/>
                <w:color w:val="111827"/>
                <w:sz w:val="18"/>
              </w:rPr>
              <w:t>300</w:t>
            </w:r>
          </w:p>
        </w:tc>
        <w:tc>
          <w:tcPr>
            <w:tcW w:type="dxa" w:w="1500"/>
            <w:tcMar>
              <w:top w:w="80" w:type="dxa"/>
              <w:start w:w="120" w:type="dxa"/>
              <w:bottom w:w="80" w:type="dxa"/>
              <w:end w:w="120" w:type="dxa"/>
            </w:tcMar>
            <w:vAlign w:val="center"/>
          </w:tcPr>
          <w:p>
            <w:pPr>
              <w:spacing w:after="0"/>
              <w:jc w:val="right"/>
            </w:pPr>
            <w:r>
              <w:rPr>
                <w:rFonts w:ascii="Calibri" w:hAnsi="Calibri"/>
                <w:color w:val="111827"/>
                <w:sz w:val="18"/>
              </w:rPr>
              <w:t>4,677</w:t>
            </w:r>
          </w:p>
        </w:tc>
        <w:tc>
          <w:tcPr>
            <w:tcW w:type="dxa" w:w="2560"/>
            <w:tcMar>
              <w:top w:w="80" w:type="dxa"/>
              <w:start w:w="120" w:type="dxa"/>
              <w:bottom w:w="80" w:type="dxa"/>
              <w:end w:w="120" w:type="dxa"/>
            </w:tcMar>
            <w:vAlign w:val="center"/>
          </w:tcPr>
          <w:p>
            <w:pPr>
              <w:spacing w:after="0"/>
            </w:pPr>
            <w:r>
              <w:rPr>
                <w:rFonts w:ascii="Calibri" w:hAnsi="Calibri"/>
                <w:color w:val="111827"/>
                <w:sz w:val="18"/>
              </w:rPr>
              <w:t>SLOW-MOVER REVIEW</w:t>
            </w:r>
          </w:p>
        </w:tc>
      </w:tr>
      <w:tr>
        <w:tc>
          <w:tcPr>
            <w:tcW w:type="dxa" w:w="2300"/>
            <w:shd w:fill="F2F4F7"/>
            <w:tcMar>
              <w:top w:w="80" w:type="dxa"/>
              <w:start w:w="120" w:type="dxa"/>
              <w:bottom w:w="80" w:type="dxa"/>
              <w:end w:w="120" w:type="dxa"/>
            </w:tcMar>
            <w:vAlign w:val="center"/>
          </w:tcPr>
          <w:p>
            <w:pPr>
              <w:spacing w:after="0"/>
            </w:pPr>
            <w:r>
              <w:rPr>
                <w:rFonts w:ascii="Calibri" w:hAnsi="Calibri"/>
                <w:color w:val="111827"/>
                <w:sz w:val="18"/>
              </w:rPr>
              <w:t>GT-ROLLER-JADE</w:t>
            </w:r>
          </w:p>
        </w:tc>
        <w:tc>
          <w:tcPr>
            <w:tcW w:type="dxa" w:w="1500"/>
            <w:shd w:fill="F2F4F7"/>
            <w:tcMar>
              <w:top w:w="80" w:type="dxa"/>
              <w:start w:w="120" w:type="dxa"/>
              <w:bottom w:w="80" w:type="dxa"/>
              <w:end w:w="120" w:type="dxa"/>
            </w:tcMar>
            <w:vAlign w:val="center"/>
          </w:tcPr>
          <w:p>
            <w:pPr>
              <w:spacing w:after="0"/>
              <w:jc w:val="right"/>
            </w:pPr>
            <w:r>
              <w:rPr>
                <w:rFonts w:ascii="Calibri" w:hAnsi="Calibri"/>
                <w:color w:val="111827"/>
                <w:sz w:val="18"/>
              </w:rPr>
              <w:t>1,068</w:t>
            </w:r>
          </w:p>
        </w:tc>
        <w:tc>
          <w:tcPr>
            <w:tcW w:type="dxa" w:w="1500"/>
            <w:shd w:fill="F2F4F7"/>
            <w:tcMar>
              <w:top w:w="80" w:type="dxa"/>
              <w:start w:w="120" w:type="dxa"/>
              <w:bottom w:w="80" w:type="dxa"/>
              <w:end w:w="120" w:type="dxa"/>
            </w:tcMar>
            <w:vAlign w:val="center"/>
          </w:tcPr>
          <w:p>
            <w:pPr>
              <w:spacing w:after="0"/>
              <w:jc w:val="right"/>
            </w:pPr>
            <w:r>
              <w:rPr>
                <w:rFonts w:ascii="Calibri" w:hAnsi="Calibri"/>
                <w:color w:val="111827"/>
                <w:sz w:val="18"/>
              </w:rPr>
              <w:t>300</w:t>
            </w:r>
          </w:p>
        </w:tc>
        <w:tc>
          <w:tcPr>
            <w:tcW w:type="dxa" w:w="1500"/>
            <w:shd w:fill="F2F4F7"/>
            <w:tcMar>
              <w:top w:w="80" w:type="dxa"/>
              <w:start w:w="120" w:type="dxa"/>
              <w:bottom w:w="80" w:type="dxa"/>
              <w:end w:w="120" w:type="dxa"/>
            </w:tcMar>
            <w:vAlign w:val="center"/>
          </w:tcPr>
          <w:p>
            <w:pPr>
              <w:spacing w:after="0"/>
              <w:jc w:val="right"/>
            </w:pPr>
            <w:r>
              <w:rPr>
                <w:rFonts w:ascii="Calibri" w:hAnsi="Calibri"/>
                <w:color w:val="111827"/>
                <w:sz w:val="18"/>
              </w:rPr>
              <w:t>992</w:t>
            </w:r>
          </w:p>
        </w:tc>
        <w:tc>
          <w:tcPr>
            <w:tcW w:type="dxa" w:w="2560"/>
            <w:shd w:fill="F2F4F7"/>
            <w:tcMar>
              <w:top w:w="80" w:type="dxa"/>
              <w:start w:w="120" w:type="dxa"/>
              <w:bottom w:w="80" w:type="dxa"/>
              <w:end w:w="120" w:type="dxa"/>
            </w:tcMar>
            <w:vAlign w:val="center"/>
          </w:tcPr>
          <w:p>
            <w:pPr>
              <w:spacing w:after="0"/>
            </w:pPr>
            <w:r>
              <w:rPr>
                <w:rFonts w:ascii="Calibri" w:hAnsi="Calibri"/>
                <w:color w:val="111827"/>
                <w:sz w:val="18"/>
              </w:rPr>
              <w:t>SLOW-MOVER REVIEW</w:t>
            </w:r>
          </w:p>
        </w:tc>
      </w:tr>
    </w:tbl>
    <w:p>
      <w:pPr>
        <w:spacing w:after="40"/>
      </w:pPr>
    </w:p>
    <w:p>
      <w:pPr>
        <w:spacing w:after="120" w:line="264" w:lineRule="auto"/>
      </w:pPr>
      <w:r>
        <w:rPr>
          <w:rFonts w:ascii="Calibri" w:hAnsi="Calibri"/>
          <w:b/>
          <w:color w:val="111827"/>
        </w:rPr>
        <w:t xml:space="preserve">3. Rebalance inventory and cash. </w:t>
      </w:r>
      <w:r>
        <w:rPr>
          <w:rFonts w:ascii="Calibri" w:hAnsi="Calibri"/>
          <w:color w:val="111827"/>
        </w:rPr>
        <w:t>PF-WHEY-CHOC and GT-SERUM-VITC have 47 and 56 days of fulfillable cover with no inbound shown. At the other extreme, 13 SKUs exceed one year of cover at Q2 demand; stop blanket replenishment and review promotions, bundles, and purchase commitments.</w:t>
      </w:r>
    </w:p>
    <w:p>
      <w:pPr>
        <w:pStyle w:val="Heading1"/>
        <w:keepNext/>
      </w:pPr>
      <w:r>
        <w:t>3. First 90 days: proposed order of work</w:t>
      </w:r>
    </w:p>
    <w:p>
      <w:pPr>
        <w:spacing w:after="120" w:line="264" w:lineRule="auto"/>
      </w:pPr>
      <w:r>
        <w:rPr>
          <w:rFonts w:ascii="Calibri" w:hAnsi="Calibri"/>
          <w:color w:val="111827"/>
        </w:rPr>
        <w:t>I would make source delivery and reconciliation repeatable first, automate the management P&amp;L second, and add inventory and advertising actions third.</w:t>
      </w:r>
    </w:p>
    <w:tbl>
      <w:tblPr>
        <w:tblStyle w:val="TableGrid"/>
        <w:tblW w:type="dxa" w:w="9360"/>
        <w:tblLayout w:type="fixed"/>
        <w:tblLook w:firstColumn="1" w:firstRow="1" w:lastColumn="0" w:lastRow="0" w:noHBand="0" w:noVBand="1" w:val="04A0"/>
        <w:jc w:val="left"/>
        <w:tblInd w:w="120" w:type="dxa"/>
      </w:tblPr>
      <w:tblGrid>
        <w:gridCol w:w="1450"/>
        <w:gridCol w:w="4500"/>
        <w:gridCol w:w="3410"/>
      </w:tblGrid>
      <w:tr>
        <w:trPr>
          <w:tblHeader w:val="true"/>
        </w:trPr>
        <w:tc>
          <w:tcPr>
            <w:tcW w:type="dxa" w:w="1450"/>
            <w:tcMar>
              <w:top w:w="80" w:type="dxa"/>
              <w:start w:w="120" w:type="dxa"/>
              <w:bottom w:w="80" w:type="dxa"/>
              <w:end w:w="120" w:type="dxa"/>
            </w:tcMar>
            <w:vAlign w:val="center"/>
            <w:shd w:fill="0B2545"/>
          </w:tcPr>
          <w:p>
            <w:pPr>
              <w:spacing w:after="0"/>
            </w:pPr>
            <w:r>
              <w:rPr>
                <w:rFonts w:ascii="Calibri" w:hAnsi="Calibri"/>
                <w:b/>
                <w:color w:val="FFFFFF"/>
                <w:sz w:val="18"/>
              </w:rPr>
              <w:t>Timing</w:t>
            </w:r>
          </w:p>
        </w:tc>
        <w:tc>
          <w:tcPr>
            <w:tcW w:type="dxa" w:w="4500"/>
            <w:tcMar>
              <w:top w:w="80" w:type="dxa"/>
              <w:start w:w="120" w:type="dxa"/>
              <w:bottom w:w="80" w:type="dxa"/>
              <w:end w:w="120" w:type="dxa"/>
            </w:tcMar>
            <w:vAlign w:val="center"/>
            <w:shd w:fill="0B2545"/>
          </w:tcPr>
          <w:p>
            <w:pPr>
              <w:spacing w:after="0"/>
            </w:pPr>
            <w:r>
              <w:rPr>
                <w:rFonts w:ascii="Calibri" w:hAnsi="Calibri"/>
                <w:b/>
                <w:color w:val="FFFFFF"/>
                <w:sz w:val="18"/>
              </w:rPr>
              <w:t>What to automate</w:t>
            </w:r>
          </w:p>
        </w:tc>
        <w:tc>
          <w:tcPr>
            <w:tcW w:type="dxa" w:w="3410"/>
            <w:tcMar>
              <w:top w:w="80" w:type="dxa"/>
              <w:start w:w="120" w:type="dxa"/>
              <w:bottom w:w="80" w:type="dxa"/>
              <w:end w:w="120" w:type="dxa"/>
            </w:tcMar>
            <w:vAlign w:val="center"/>
            <w:shd w:fill="0B2545"/>
          </w:tcPr>
          <w:p>
            <w:pPr>
              <w:spacing w:after="0"/>
            </w:pPr>
            <w:r>
              <w:rPr>
                <w:rFonts w:ascii="Calibri" w:hAnsi="Calibri"/>
                <w:b/>
                <w:color w:val="FFFFFF"/>
                <w:sz w:val="18"/>
              </w:rPr>
              <w:t>Why now / tangible output</w:t>
            </w:r>
          </w:p>
        </w:tc>
      </w:tr>
      <w:tr>
        <w:tc>
          <w:tcPr>
            <w:tcW w:type="dxa" w:w="1450"/>
            <w:tcMar>
              <w:top w:w="80" w:type="dxa"/>
              <w:start w:w="120" w:type="dxa"/>
              <w:bottom w:w="80" w:type="dxa"/>
              <w:end w:w="120" w:type="dxa"/>
            </w:tcMar>
            <w:vAlign w:val="center"/>
          </w:tcPr>
          <w:p>
            <w:pPr>
              <w:spacing w:after="0"/>
            </w:pPr>
            <w:r>
              <w:rPr>
                <w:rFonts w:ascii="Calibri" w:hAnsi="Calibri"/>
                <w:color w:val="111827"/>
                <w:sz w:val="18"/>
              </w:rPr>
              <w:t>Days 1-30</w:t>
            </w:r>
          </w:p>
        </w:tc>
        <w:tc>
          <w:tcPr>
            <w:tcW w:type="dxa" w:w="4500"/>
            <w:tcMar>
              <w:top w:w="80" w:type="dxa"/>
              <w:start w:w="120" w:type="dxa"/>
              <w:bottom w:w="80" w:type="dxa"/>
              <w:end w:w="120" w:type="dxa"/>
            </w:tcMar>
            <w:vAlign w:val="center"/>
          </w:tcPr>
          <w:p>
            <w:pPr>
              <w:spacing w:after="0"/>
            </w:pPr>
            <w:r>
              <w:rPr>
                <w:rFonts w:ascii="Calibri" w:hAnsi="Calibri"/>
                <w:color w:val="111827"/>
                <w:sz w:val="18"/>
              </w:rPr>
              <w:t>Schedule QuickBooks, REACH, Amazon, and Sheet loads; preserve raw history; add product/UOM mappings, schema-change alerts, duplicate rules, and amount checks.</w:t>
            </w:r>
          </w:p>
        </w:tc>
        <w:tc>
          <w:tcPr>
            <w:tcW w:type="dxa" w:w="3410"/>
            <w:tcMar>
              <w:top w:w="80" w:type="dxa"/>
              <w:start w:w="120" w:type="dxa"/>
              <w:bottom w:w="80" w:type="dxa"/>
              <w:end w:w="120" w:type="dxa"/>
            </w:tcMar>
            <w:vAlign w:val="center"/>
          </w:tcPr>
          <w:p>
            <w:pPr>
              <w:spacing w:after="0"/>
            </w:pPr>
            <w:r>
              <w:rPr>
                <w:rFonts w:ascii="Calibri" w:hAnsi="Calibri"/>
                <w:color w:val="111827"/>
                <w:sz w:val="18"/>
              </w:rPr>
              <w:t>Daily load status, drift alerts, and a review list for failed records.</w:t>
            </w:r>
          </w:p>
        </w:tc>
      </w:tr>
      <w:tr>
        <w:tc>
          <w:tcPr>
            <w:tcW w:type="dxa" w:w="1450"/>
            <w:shd w:fill="F2F4F7"/>
            <w:tcMar>
              <w:top w:w="80" w:type="dxa"/>
              <w:start w:w="120" w:type="dxa"/>
              <w:bottom w:w="80" w:type="dxa"/>
              <w:end w:w="120" w:type="dxa"/>
            </w:tcMar>
            <w:vAlign w:val="center"/>
          </w:tcPr>
          <w:p>
            <w:pPr>
              <w:spacing w:after="0"/>
            </w:pPr>
            <w:r>
              <w:rPr>
                <w:rFonts w:ascii="Calibri" w:hAnsi="Calibri"/>
                <w:color w:val="111827"/>
                <w:sz w:val="18"/>
              </w:rPr>
              <w:t>Days 31-60</w:t>
            </w:r>
          </w:p>
        </w:tc>
        <w:tc>
          <w:tcPr>
            <w:tcW w:type="dxa" w:w="4500"/>
            <w:shd w:fill="F2F4F7"/>
            <w:tcMar>
              <w:top w:w="80" w:type="dxa"/>
              <w:start w:w="120" w:type="dxa"/>
              <w:bottom w:w="80" w:type="dxa"/>
              <w:end w:w="120" w:type="dxa"/>
            </w:tcMar>
            <w:vAlign w:val="center"/>
          </w:tcPr>
          <w:p>
            <w:pPr>
              <w:spacing w:after="0"/>
            </w:pPr>
            <w:r>
              <w:rPr>
                <w:rFonts w:ascii="Calibri" w:hAnsi="Calibri"/>
                <w:color w:val="111827"/>
                <w:sz w:val="18"/>
              </w:rPr>
              <w:t>Build the brand/SKU contribution-margin tables; reconcile Amazon settlements to QuickBooks; replace copy-and-paste reporting.</w:t>
            </w:r>
          </w:p>
        </w:tc>
        <w:tc>
          <w:tcPr>
            <w:tcW w:type="dxa" w:w="3410"/>
            <w:shd w:fill="F2F4F7"/>
            <w:tcMar>
              <w:top w:w="80" w:type="dxa"/>
              <w:start w:w="120" w:type="dxa"/>
              <w:bottom w:w="80" w:type="dxa"/>
              <w:end w:w="120" w:type="dxa"/>
            </w:tcMar>
            <w:vAlign w:val="center"/>
          </w:tcPr>
          <w:p>
            <w:pPr>
              <w:spacing w:after="0"/>
            </w:pPr>
            <w:r>
              <w:rPr>
                <w:rFonts w:ascii="Calibri" w:hAnsi="Calibri"/>
                <w:color w:val="111827"/>
                <w:sz w:val="18"/>
              </w:rPr>
              <w:t>Repeatable channel P&amp;L and settlement-to-GL reconciliation.</w:t>
            </w:r>
          </w:p>
        </w:tc>
      </w:tr>
      <w:tr>
        <w:tc>
          <w:tcPr>
            <w:tcW w:type="dxa" w:w="1450"/>
            <w:tcMar>
              <w:top w:w="80" w:type="dxa"/>
              <w:start w:w="120" w:type="dxa"/>
              <w:bottom w:w="80" w:type="dxa"/>
              <w:end w:w="120" w:type="dxa"/>
            </w:tcMar>
            <w:vAlign w:val="center"/>
          </w:tcPr>
          <w:p>
            <w:pPr>
              <w:spacing w:after="0"/>
            </w:pPr>
            <w:r>
              <w:rPr>
                <w:rFonts w:ascii="Calibri" w:hAnsi="Calibri"/>
                <w:color w:val="111827"/>
                <w:sz w:val="18"/>
              </w:rPr>
              <w:t>Days 61-90</w:t>
            </w:r>
          </w:p>
        </w:tc>
        <w:tc>
          <w:tcPr>
            <w:tcW w:type="dxa" w:w="4500"/>
            <w:tcMar>
              <w:top w:w="80" w:type="dxa"/>
              <w:start w:w="120" w:type="dxa"/>
              <w:bottom w:w="80" w:type="dxa"/>
              <w:end w:w="120" w:type="dxa"/>
            </w:tcMar>
            <w:vAlign w:val="center"/>
          </w:tcPr>
          <w:p>
            <w:pPr>
              <w:spacing w:after="0"/>
            </w:pPr>
            <w:r>
              <w:rPr>
                <w:rFonts w:ascii="Calibri" w:hAnsi="Calibri"/>
                <w:color w:val="111827"/>
                <w:sz w:val="18"/>
              </w:rPr>
              <w:t>Add REACH PO status and receipts, inventory alerts, campaign/SKU spend, and a 13-week cash and inventory outlook.</w:t>
            </w:r>
          </w:p>
        </w:tc>
        <w:tc>
          <w:tcPr>
            <w:tcW w:type="dxa" w:w="3410"/>
            <w:tcMar>
              <w:top w:w="80" w:type="dxa"/>
              <w:start w:w="120" w:type="dxa"/>
              <w:bottom w:w="80" w:type="dxa"/>
              <w:end w:w="120" w:type="dxa"/>
            </w:tcMar>
            <w:vAlign w:val="center"/>
          </w:tcPr>
          <w:p>
            <w:pPr>
              <w:spacing w:after="0"/>
            </w:pPr>
            <w:r>
              <w:rPr>
                <w:rFonts w:ascii="Calibri" w:hAnsi="Calibri"/>
                <w:color w:val="111827"/>
                <w:sz w:val="18"/>
              </w:rPr>
              <w:t>Inventory and advertising actions based on better source detail.</w:t>
            </w:r>
          </w:p>
        </w:tc>
      </w:tr>
    </w:tbl>
    <w:p>
      <w:pPr>
        <w:spacing w:after="40"/>
      </w:pPr>
    </w:p>
    <w:p>
      <w:pPr>
        <w:pStyle w:val="Heading2"/>
        <w:keepNext/>
      </w:pPr>
      <w:r>
        <w:t>Two implementation paths</w:t>
      </w:r>
    </w:p>
    <w:tbl>
      <w:tblPr>
        <w:tblStyle w:val="TableGrid"/>
        <w:tblW w:type="dxa" w:w="9360"/>
        <w:tblLayout w:type="fixed"/>
        <w:tblLook w:firstColumn="1" w:firstRow="1" w:lastColumn="0" w:lastRow="0" w:noHBand="0" w:noVBand="1" w:val="04A0"/>
        <w:jc w:val="left"/>
        <w:tblInd w:w="120" w:type="dxa"/>
      </w:tblPr>
      <w:tblGrid>
        <w:gridCol w:w="1900"/>
        <w:gridCol w:w="4300"/>
        <w:gridCol w:w="3160"/>
      </w:tblGrid>
      <w:tr>
        <w:trPr>
          <w:tblHeader w:val="true"/>
        </w:trPr>
        <w:tc>
          <w:tcPr>
            <w:tcW w:type="dxa" w:w="1900"/>
            <w:tcMar>
              <w:top w:w="80" w:type="dxa"/>
              <w:start w:w="120" w:type="dxa"/>
              <w:bottom w:w="80" w:type="dxa"/>
              <w:end w:w="120" w:type="dxa"/>
            </w:tcMar>
            <w:vAlign w:val="center"/>
            <w:shd w:fill="0B2545"/>
          </w:tcPr>
          <w:p>
            <w:pPr>
              <w:spacing w:after="0"/>
            </w:pPr>
            <w:r>
              <w:rPr>
                <w:rFonts w:ascii="Calibri" w:hAnsi="Calibri"/>
                <w:b/>
                <w:color w:val="FFFFFF"/>
                <w:sz w:val="18"/>
              </w:rPr>
              <w:t>Path</w:t>
            </w:r>
          </w:p>
        </w:tc>
        <w:tc>
          <w:tcPr>
            <w:tcW w:type="dxa" w:w="4300"/>
            <w:tcMar>
              <w:top w:w="80" w:type="dxa"/>
              <w:start w:w="120" w:type="dxa"/>
              <w:bottom w:w="80" w:type="dxa"/>
              <w:end w:w="120" w:type="dxa"/>
            </w:tcMar>
            <w:vAlign w:val="center"/>
            <w:shd w:fill="0B2545"/>
          </w:tcPr>
          <w:p>
            <w:pPr>
              <w:spacing w:after="0"/>
            </w:pPr>
            <w:r>
              <w:rPr>
                <w:rFonts w:ascii="Calibri" w:hAnsi="Calibri"/>
                <w:b/>
                <w:color w:val="FFFFFF"/>
                <w:sz w:val="18"/>
              </w:rPr>
              <w:t>Ingestion / medallion stack</w:t>
            </w:r>
          </w:p>
        </w:tc>
        <w:tc>
          <w:tcPr>
            <w:tcW w:type="dxa" w:w="3160"/>
            <w:tcMar>
              <w:top w:w="80" w:type="dxa"/>
              <w:start w:w="120" w:type="dxa"/>
              <w:bottom w:w="80" w:type="dxa"/>
              <w:end w:w="120" w:type="dxa"/>
            </w:tcMar>
            <w:vAlign w:val="center"/>
            <w:shd w:fill="0B2545"/>
          </w:tcPr>
          <w:p>
            <w:pPr>
              <w:spacing w:after="0"/>
            </w:pPr>
            <w:r>
              <w:rPr>
                <w:rFonts w:ascii="Calibri" w:hAnsi="Calibri"/>
                <w:b/>
                <w:color w:val="FFFFFF"/>
                <w:sz w:val="18"/>
              </w:rPr>
              <w:t>Tradeoff</w:t>
            </w:r>
          </w:p>
        </w:tc>
      </w:tr>
      <w:tr>
        <w:tc>
          <w:tcPr>
            <w:tcW w:type="dxa" w:w="1900"/>
            <w:tcMar>
              <w:top w:w="80" w:type="dxa"/>
              <w:start w:w="120" w:type="dxa"/>
              <w:bottom w:w="80" w:type="dxa"/>
              <w:end w:w="120" w:type="dxa"/>
            </w:tcMar>
            <w:vAlign w:val="center"/>
          </w:tcPr>
          <w:p>
            <w:pPr>
              <w:spacing w:after="0"/>
            </w:pPr>
            <w:r>
              <w:rPr>
                <w:rFonts w:ascii="Calibri" w:hAnsi="Calibri"/>
                <w:color w:val="111827"/>
                <w:sz w:val="18"/>
              </w:rPr>
              <w:t>Efficient / cost-aware</w:t>
            </w:r>
          </w:p>
        </w:tc>
        <w:tc>
          <w:tcPr>
            <w:tcW w:type="dxa" w:w="4300"/>
            <w:tcMar>
              <w:top w:w="80" w:type="dxa"/>
              <w:start w:w="120" w:type="dxa"/>
              <w:bottom w:w="80" w:type="dxa"/>
              <w:end w:w="120" w:type="dxa"/>
            </w:tcMar>
            <w:vAlign w:val="center"/>
          </w:tcPr>
          <w:p>
            <w:pPr>
              <w:spacing w:after="0"/>
            </w:pPr>
            <w:r>
              <w:rPr>
                <w:rFonts w:ascii="Calibri" w:hAnsi="Calibri"/>
                <w:color w:val="111827"/>
                <w:sz w:val="18"/>
              </w:rPr>
              <w:t>Cloud Run + Workflows; GCS/BigQuery Bronze; Dataform Silver/Gold; Connected Sheets + Looker Studio</w:t>
            </w:r>
          </w:p>
        </w:tc>
        <w:tc>
          <w:tcPr>
            <w:tcW w:type="dxa" w:w="3160"/>
            <w:tcMar>
              <w:top w:w="80" w:type="dxa"/>
              <w:start w:w="120" w:type="dxa"/>
              <w:bottom w:w="80" w:type="dxa"/>
              <w:end w:w="120" w:type="dxa"/>
            </w:tcMar>
            <w:vAlign w:val="center"/>
          </w:tcPr>
          <w:p>
            <w:pPr>
              <w:spacing w:after="0"/>
            </w:pPr>
            <w:r>
              <w:rPr>
                <w:rFonts w:ascii="Calibri" w:hAnsi="Calibri"/>
                <w:color w:val="111827"/>
                <w:sz w:val="18"/>
              </w:rPr>
              <w:t>Recommended start: lower recurring software cost; team owns connector maintenance.</w:t>
            </w:r>
          </w:p>
        </w:tc>
      </w:tr>
      <w:tr>
        <w:tc>
          <w:tcPr>
            <w:tcW w:type="dxa" w:w="1900"/>
            <w:shd w:fill="F2F4F7"/>
            <w:tcMar>
              <w:top w:w="80" w:type="dxa"/>
              <w:start w:w="120" w:type="dxa"/>
              <w:bottom w:w="80" w:type="dxa"/>
              <w:end w:w="120" w:type="dxa"/>
            </w:tcMar>
            <w:vAlign w:val="center"/>
          </w:tcPr>
          <w:p>
            <w:pPr>
              <w:spacing w:after="0"/>
            </w:pPr>
            <w:r>
              <w:rPr>
                <w:rFonts w:ascii="Calibri" w:hAnsi="Calibri"/>
                <w:color w:val="111827"/>
                <w:sz w:val="18"/>
              </w:rPr>
              <w:t>Premium / managed</w:t>
            </w:r>
          </w:p>
        </w:tc>
        <w:tc>
          <w:tcPr>
            <w:tcW w:type="dxa" w:w="4300"/>
            <w:shd w:fill="F2F4F7"/>
            <w:tcMar>
              <w:top w:w="80" w:type="dxa"/>
              <w:start w:w="120" w:type="dxa"/>
              <w:bottom w:w="80" w:type="dxa"/>
              <w:end w:w="120" w:type="dxa"/>
            </w:tcMar>
            <w:vAlign w:val="center"/>
          </w:tcPr>
          <w:p>
            <w:pPr>
              <w:spacing w:after="0"/>
            </w:pPr>
            <w:r>
              <w:rPr>
                <w:rFonts w:ascii="Calibri" w:hAnsi="Calibri"/>
                <w:color w:val="111827"/>
                <w:sz w:val="18"/>
              </w:rPr>
              <w:t>Managed Amazon/QuickBooks ELT; BigQuery Bronze; dbt Cloud Silver/Gold; managed observability + Looker</w:t>
            </w:r>
          </w:p>
        </w:tc>
        <w:tc>
          <w:tcPr>
            <w:tcW w:type="dxa" w:w="3160"/>
            <w:shd w:fill="F2F4F7"/>
            <w:tcMar>
              <w:top w:w="80" w:type="dxa"/>
              <w:start w:w="120" w:type="dxa"/>
              <w:bottom w:w="80" w:type="dxa"/>
              <w:end w:w="120" w:type="dxa"/>
            </w:tcMar>
            <w:vAlign w:val="center"/>
          </w:tcPr>
          <w:p>
            <w:pPr>
              <w:spacing w:after="0"/>
            </w:pPr>
            <w:r>
              <w:rPr>
                <w:rFonts w:ascii="Calibri" w:hAnsi="Calibri"/>
                <w:color w:val="111827"/>
                <w:sz w:val="18"/>
              </w:rPr>
              <w:t>Faster rollout and stronger operations; higher subscription cost and vendor dependence.</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AF5FB"/>
          </w:tcPr>
          <w:p>
            <w:pPr>
              <w:spacing w:after="0"/>
            </w:pPr>
            <w:r>
              <w:rPr>
                <w:rFonts w:ascii="Calibri" w:hAnsi="Calibri"/>
                <w:b/>
                <w:color w:val="0B2545"/>
              </w:rPr>
              <w:t xml:space="preserve">Recommendation: </w:t>
            </w:r>
            <w:r>
              <w:rPr>
                <w:rFonts w:ascii="Calibri" w:hAnsi="Calibri"/>
                <w:color w:val="0B2545"/>
              </w:rPr>
              <w:t>Start cost-aware unless connector reliability and implementation speed justify managed ELT. Keep the same Bronze-Silver-Gold contracts so components can be upgraded without redesigning finance logic.</w:t>
            </w:r>
          </w:p>
        </w:tc>
      </w:tr>
    </w:tbl>
    <w:p>
      <w:pPr>
        <w:spacing w:after="40"/>
      </w:pPr>
    </w:p>
    <w:p>
      <w:pPr>
        <w:spacing w:after="120" w:line="264" w:lineRule="auto"/>
      </w:pPr>
      <w:r>
        <w:rPr>
          <w:rFonts w:ascii="Calibri" w:hAnsi="Calibri"/>
          <w:b/>
          <w:color w:val="111827"/>
        </w:rPr>
        <w:t xml:space="preserve">Success measures. </w:t>
      </w:r>
      <w:r>
        <w:rPr>
          <w:rFonts w:ascii="Calibri" w:hAnsi="Calibri"/>
          <w:color w:val="111827"/>
        </w:rPr>
        <w:t>Day-90 targets: 95%+ scheduled-feed reliability; 99.5%+ of net sales with A-grade product/brand identity; Amazon-to-QuickBooks reconciliation within tolerance; at least 50% less recurring report preparation.</w:t>
      </w:r>
    </w:p>
    <w:p>
      <w:r>
        <w:br w:type="page"/>
      </w:r>
    </w:p>
    <w:p>
      <w:pPr>
        <w:pStyle w:val="Heading1"/>
        <w:keepNext/>
      </w:pPr>
      <w:r>
        <w:t>Appendix: observed data-quality issues</w:t>
      </w:r>
    </w:p>
    <w:tbl>
      <w:tblPr>
        <w:tblStyle w:val="TableGrid"/>
        <w:tblW w:type="dxa" w:w="9360"/>
        <w:tblLayout w:type="fixed"/>
        <w:tblLook w:firstColumn="1" w:firstRow="1" w:lastColumn="0" w:lastRow="0" w:noHBand="0" w:noVBand="1" w:val="04A0"/>
        <w:jc w:val="left"/>
        <w:tblInd w:w="120" w:type="dxa"/>
      </w:tblPr>
      <w:tblGrid>
        <w:gridCol w:w="1250"/>
        <w:gridCol w:w="3500"/>
        <w:gridCol w:w="4610"/>
      </w:tblGrid>
      <w:tr>
        <w:trPr>
          <w:tblHeader w:val="true"/>
        </w:trPr>
        <w:tc>
          <w:tcPr>
            <w:tcW w:type="dxa" w:w="1250"/>
            <w:tcMar>
              <w:top w:w="80" w:type="dxa"/>
              <w:start w:w="120" w:type="dxa"/>
              <w:bottom w:w="80" w:type="dxa"/>
              <w:end w:w="120" w:type="dxa"/>
            </w:tcMar>
            <w:vAlign w:val="center"/>
            <w:shd w:fill="0B2545"/>
          </w:tcPr>
          <w:p>
            <w:pPr>
              <w:spacing w:after="0"/>
            </w:pPr>
            <w:r>
              <w:rPr>
                <w:rFonts w:ascii="Calibri" w:hAnsi="Calibri"/>
                <w:b/>
                <w:color w:val="FFFFFF"/>
                <w:sz w:val="18"/>
              </w:rPr>
              <w:t>Severity</w:t>
            </w:r>
          </w:p>
        </w:tc>
        <w:tc>
          <w:tcPr>
            <w:tcW w:type="dxa" w:w="3500"/>
            <w:tcMar>
              <w:top w:w="80" w:type="dxa"/>
              <w:start w:w="120" w:type="dxa"/>
              <w:bottom w:w="80" w:type="dxa"/>
              <w:end w:w="120" w:type="dxa"/>
            </w:tcMar>
            <w:vAlign w:val="center"/>
            <w:shd w:fill="0B2545"/>
          </w:tcPr>
          <w:p>
            <w:pPr>
              <w:spacing w:after="0"/>
            </w:pPr>
            <w:r>
              <w:rPr>
                <w:rFonts w:ascii="Calibri" w:hAnsi="Calibri"/>
                <w:b/>
                <w:color w:val="FFFFFF"/>
                <w:sz w:val="18"/>
              </w:rPr>
              <w:t>Issue</w:t>
            </w:r>
          </w:p>
        </w:tc>
        <w:tc>
          <w:tcPr>
            <w:tcW w:type="dxa" w:w="4610"/>
            <w:tcMar>
              <w:top w:w="80" w:type="dxa"/>
              <w:start w:w="120" w:type="dxa"/>
              <w:bottom w:w="80" w:type="dxa"/>
              <w:end w:w="120" w:type="dxa"/>
            </w:tcMar>
            <w:vAlign w:val="center"/>
            <w:shd w:fill="0B2545"/>
          </w:tcPr>
          <w:p>
            <w:pPr>
              <w:spacing w:after="0"/>
            </w:pPr>
            <w:r>
              <w:rPr>
                <w:rFonts w:ascii="Calibri" w:hAnsi="Calibri"/>
                <w:b/>
                <w:color w:val="FFFFFF"/>
                <w:sz w:val="18"/>
              </w:rPr>
              <w:t>Resolution</w:t>
            </w:r>
          </w:p>
        </w:tc>
      </w:tr>
      <w:tr>
        <w:tc>
          <w:tcPr>
            <w:tcW w:type="dxa" w:w="1250"/>
            <w:tcMar>
              <w:top w:w="80" w:type="dxa"/>
              <w:start w:w="120" w:type="dxa"/>
              <w:bottom w:w="80" w:type="dxa"/>
              <w:end w:w="120" w:type="dxa"/>
            </w:tcMar>
            <w:vAlign w:val="center"/>
          </w:tcPr>
          <w:p>
            <w:pPr>
              <w:spacing w:after="0"/>
            </w:pPr>
            <w:r>
              <w:rPr>
                <w:rFonts w:ascii="Calibri" w:hAnsi="Calibri"/>
                <w:color w:val="111827"/>
                <w:sz w:val="18"/>
              </w:rPr>
              <w:t>High</w:t>
            </w:r>
          </w:p>
        </w:tc>
        <w:tc>
          <w:tcPr>
            <w:tcW w:type="dxa" w:w="3500"/>
            <w:tcMar>
              <w:top w:w="80" w:type="dxa"/>
              <w:start w:w="120" w:type="dxa"/>
              <w:bottom w:w="80" w:type="dxa"/>
              <w:end w:w="120" w:type="dxa"/>
            </w:tcMar>
            <w:vAlign w:val="center"/>
          </w:tcPr>
          <w:p>
            <w:pPr>
              <w:spacing w:after="0"/>
            </w:pPr>
            <w:r>
              <w:rPr>
                <w:rFonts w:ascii="Calibri" w:hAnsi="Calibri"/>
                <w:color w:val="111827"/>
                <w:sz w:val="18"/>
              </w:rPr>
              <w:t>Two sellable SKUs have no PO landed-cost history</w:t>
            </w:r>
          </w:p>
        </w:tc>
        <w:tc>
          <w:tcPr>
            <w:tcW w:type="dxa" w:w="4610"/>
            <w:tcMar>
              <w:top w:w="80" w:type="dxa"/>
              <w:start w:w="120" w:type="dxa"/>
              <w:bottom w:w="80" w:type="dxa"/>
              <w:end w:w="120" w:type="dxa"/>
            </w:tcMar>
            <w:vAlign w:val="center"/>
          </w:tcPr>
          <w:p>
            <w:pPr>
              <w:spacing w:after="0"/>
            </w:pPr>
            <w:r>
              <w:rPr>
                <w:rFonts w:ascii="Calibri" w:hAnsi="Calibri"/>
                <w:color w:val="111827"/>
                <w:sz w:val="18"/>
              </w:rPr>
              <w:t>Imputed each SKU at its brand median landed unit cost and flagged every affected row.</w:t>
            </w:r>
          </w:p>
        </w:tc>
      </w:tr>
      <w:tr>
        <w:tc>
          <w:tcPr>
            <w:tcW w:type="dxa" w:w="1250"/>
            <w:shd w:fill="F2F4F7"/>
            <w:tcMar>
              <w:top w:w="80" w:type="dxa"/>
              <w:start w:w="120" w:type="dxa"/>
              <w:bottom w:w="80" w:type="dxa"/>
              <w:end w:w="120" w:type="dxa"/>
            </w:tcMar>
            <w:vAlign w:val="center"/>
          </w:tcPr>
          <w:p>
            <w:pPr>
              <w:spacing w:after="0"/>
            </w:pPr>
            <w:r>
              <w:rPr>
                <w:rFonts w:ascii="Calibri" w:hAnsi="Calibri"/>
                <w:color w:val="111827"/>
                <w:sz w:val="18"/>
              </w:rPr>
              <w:t>High</w:t>
            </w:r>
          </w:p>
        </w:tc>
        <w:tc>
          <w:tcPr>
            <w:tcW w:type="dxa" w:w="3500"/>
            <w:shd w:fill="F2F4F7"/>
            <w:tcMar>
              <w:top w:w="80" w:type="dxa"/>
              <w:start w:w="120" w:type="dxa"/>
              <w:bottom w:w="80" w:type="dxa"/>
              <w:end w:w="120" w:type="dxa"/>
            </w:tcMar>
            <w:vAlign w:val="center"/>
          </w:tcPr>
          <w:p>
            <w:pPr>
              <w:spacing w:after="0"/>
            </w:pPr>
            <w:r>
              <w:rPr>
                <w:rFonts w:ascii="Calibri" w:hAnsi="Calibri"/>
                <w:color w:val="111827"/>
                <w:sz w:val="18"/>
              </w:rPr>
              <w:t>PH-DENTAL-30CT PO quantity is cases, not sellable units</w:t>
            </w:r>
          </w:p>
        </w:tc>
        <w:tc>
          <w:tcPr>
            <w:tcW w:type="dxa" w:w="4610"/>
            <w:shd w:fill="F2F4F7"/>
            <w:tcMar>
              <w:top w:w="80" w:type="dxa"/>
              <w:start w:w="120" w:type="dxa"/>
              <w:bottom w:w="80" w:type="dxa"/>
              <w:end w:w="120" w:type="dxa"/>
            </w:tcMar>
            <w:vAlign w:val="center"/>
          </w:tcPr>
          <w:p>
            <w:pPr>
              <w:spacing w:after="0"/>
            </w:pPr>
            <w:r>
              <w:rPr>
                <w:rFonts w:ascii="Calibri" w:hAnsi="Calibri"/>
                <w:color w:val="111827"/>
                <w:sz w:val="18"/>
              </w:rPr>
              <w:t>Applied an explicit 12-unit case-pack override before calculating weighted landed cost.</w:t>
            </w:r>
          </w:p>
        </w:tc>
      </w:tr>
      <w:tr>
        <w:tc>
          <w:tcPr>
            <w:tcW w:type="dxa" w:w="1250"/>
            <w:tcMar>
              <w:top w:w="80" w:type="dxa"/>
              <w:start w:w="120" w:type="dxa"/>
              <w:bottom w:w="80" w:type="dxa"/>
              <w:end w:w="120" w:type="dxa"/>
            </w:tcMar>
            <w:vAlign w:val="center"/>
          </w:tcPr>
          <w:p>
            <w:pPr>
              <w:spacing w:after="0"/>
            </w:pPr>
            <w:r>
              <w:rPr>
                <w:rFonts w:ascii="Calibri" w:hAnsi="Calibri"/>
                <w:color w:val="111827"/>
                <w:sz w:val="18"/>
              </w:rPr>
              <w:t>Medium</w:t>
            </w:r>
          </w:p>
        </w:tc>
        <w:tc>
          <w:tcPr>
            <w:tcW w:type="dxa" w:w="3500"/>
            <w:tcMar>
              <w:top w:w="80" w:type="dxa"/>
              <w:start w:w="120" w:type="dxa"/>
              <w:bottom w:w="80" w:type="dxa"/>
              <w:end w:w="120" w:type="dxa"/>
            </w:tcMar>
            <w:vAlign w:val="center"/>
          </w:tcPr>
          <w:p>
            <w:pPr>
              <w:spacing w:after="0"/>
            </w:pPr>
            <w:r>
              <w:rPr>
                <w:rFonts w:ascii="Calibri" w:hAnsi="Calibri"/>
                <w:color w:val="111827"/>
                <w:sz w:val="18"/>
              </w:rPr>
              <w:t>One product appears under two SKU strings</w:t>
            </w:r>
          </w:p>
        </w:tc>
        <w:tc>
          <w:tcPr>
            <w:tcW w:type="dxa" w:w="4610"/>
            <w:tcMar>
              <w:top w:w="80" w:type="dxa"/>
              <w:start w:w="120" w:type="dxa"/>
              <w:bottom w:w="80" w:type="dxa"/>
              <w:end w:w="120" w:type="dxa"/>
            </w:tcMar>
            <w:vAlign w:val="center"/>
          </w:tcPr>
          <w:p>
            <w:pPr>
              <w:spacing w:after="0"/>
            </w:pPr>
            <w:r>
              <w:rPr>
                <w:rFonts w:ascii="Calibri" w:hAnsi="Calibri"/>
                <w:color w:val="111827"/>
                <w:sz w:val="18"/>
              </w:rPr>
              <w:t>Canonicalized using an auditable alias bridge; matched ASIN B0PFELECIT.</w:t>
            </w:r>
          </w:p>
        </w:tc>
      </w:tr>
      <w:tr>
        <w:tc>
          <w:tcPr>
            <w:tcW w:type="dxa" w:w="1250"/>
            <w:shd w:fill="F2F4F7"/>
            <w:tcMar>
              <w:top w:w="80" w:type="dxa"/>
              <w:start w:w="120" w:type="dxa"/>
              <w:bottom w:w="80" w:type="dxa"/>
              <w:end w:w="120" w:type="dxa"/>
            </w:tcMar>
            <w:vAlign w:val="center"/>
          </w:tcPr>
          <w:p>
            <w:pPr>
              <w:spacing w:after="0"/>
            </w:pPr>
            <w:r>
              <w:rPr>
                <w:rFonts w:ascii="Calibri" w:hAnsi="Calibri"/>
                <w:color w:val="111827"/>
                <w:sz w:val="18"/>
              </w:rPr>
              <w:t>Medium</w:t>
            </w:r>
          </w:p>
        </w:tc>
        <w:tc>
          <w:tcPr>
            <w:tcW w:type="dxa" w:w="3500"/>
            <w:shd w:fill="F2F4F7"/>
            <w:tcMar>
              <w:top w:w="80" w:type="dxa"/>
              <w:start w:w="120" w:type="dxa"/>
              <w:bottom w:w="80" w:type="dxa"/>
              <w:end w:w="120" w:type="dxa"/>
            </w:tcMar>
            <w:vAlign w:val="center"/>
          </w:tcPr>
          <w:p>
            <w:pPr>
              <w:spacing w:after="0"/>
            </w:pPr>
            <w:r>
              <w:rPr>
                <w:rFonts w:ascii="Calibri" w:hAnsi="Calibri"/>
                <w:color w:val="111827"/>
                <w:sz w:val="18"/>
              </w:rPr>
              <w:t>ASIN is not unique in the supplied mapping</w:t>
            </w:r>
          </w:p>
        </w:tc>
        <w:tc>
          <w:tcPr>
            <w:tcW w:type="dxa" w:w="4610"/>
            <w:shd w:fill="F2F4F7"/>
            <w:tcMar>
              <w:top w:w="80" w:type="dxa"/>
              <w:start w:w="120" w:type="dxa"/>
              <w:bottom w:w="80" w:type="dxa"/>
              <w:end w:w="120" w:type="dxa"/>
            </w:tcMar>
            <w:vAlign w:val="center"/>
          </w:tcPr>
          <w:p>
            <w:pPr>
              <w:spacing w:after="0"/>
            </w:pPr>
            <w:r>
              <w:rPr>
                <w:rFonts w:ascii="Calibri" w:hAnsi="Calibri"/>
                <w:color w:val="111827"/>
                <w:sz w:val="18"/>
              </w:rPr>
              <w:t>Used SKU as the transaction join key and quarantined ASIN-only joins for review.</w:t>
            </w:r>
          </w:p>
        </w:tc>
      </w:tr>
      <w:tr>
        <w:tc>
          <w:tcPr>
            <w:tcW w:type="dxa" w:w="1250"/>
            <w:tcMar>
              <w:top w:w="80" w:type="dxa"/>
              <w:start w:w="120" w:type="dxa"/>
              <w:bottom w:w="80" w:type="dxa"/>
              <w:end w:w="120" w:type="dxa"/>
            </w:tcMar>
            <w:vAlign w:val="center"/>
          </w:tcPr>
          <w:p>
            <w:pPr>
              <w:spacing w:after="0"/>
            </w:pPr>
            <w:r>
              <w:rPr>
                <w:rFonts w:ascii="Calibri" w:hAnsi="Calibri"/>
                <w:color w:val="111827"/>
                <w:sz w:val="18"/>
              </w:rPr>
              <w:t>Medium</w:t>
            </w:r>
          </w:p>
        </w:tc>
        <w:tc>
          <w:tcPr>
            <w:tcW w:type="dxa" w:w="3500"/>
            <w:tcMar>
              <w:top w:w="80" w:type="dxa"/>
              <w:start w:w="120" w:type="dxa"/>
              <w:bottom w:w="80" w:type="dxa"/>
              <w:end w:w="120" w:type="dxa"/>
            </w:tcMar>
            <w:vAlign w:val="center"/>
          </w:tcPr>
          <w:p>
            <w:pPr>
              <w:spacing w:after="0"/>
            </w:pPr>
            <w:r>
              <w:rPr>
                <w:rFonts w:ascii="Calibri" w:hAnsi="Calibri"/>
                <w:color w:val="111827"/>
                <w:sz w:val="18"/>
              </w:rPr>
              <w:t>Platform fees and adjustments have no usable SKU allocation key</w:t>
            </w:r>
          </w:p>
        </w:tc>
        <w:tc>
          <w:tcPr>
            <w:tcW w:type="dxa" w:w="4610"/>
            <w:tcMar>
              <w:top w:w="80" w:type="dxa"/>
              <w:start w:w="120" w:type="dxa"/>
              <w:bottom w:w="80" w:type="dxa"/>
              <w:end w:w="120" w:type="dxa"/>
            </w:tcMar>
            <w:vAlign w:val="center"/>
          </w:tcPr>
          <w:p>
            <w:pPr>
              <w:spacing w:after="0"/>
            </w:pPr>
            <w:r>
              <w:rPr>
                <w:rFonts w:ascii="Calibri" w:hAnsi="Calibri"/>
                <w:color w:val="111827"/>
                <w:sz w:val="18"/>
              </w:rPr>
              <w:t>Kept these amounts below SKU-attributable contribution margin; did not force an allocation.</w:t>
            </w:r>
          </w:p>
        </w:tc>
      </w:tr>
      <w:tr>
        <w:tc>
          <w:tcPr>
            <w:tcW w:type="dxa" w:w="1250"/>
            <w:shd w:fill="F2F4F7"/>
            <w:tcMar>
              <w:top w:w="80" w:type="dxa"/>
              <w:start w:w="120" w:type="dxa"/>
              <w:bottom w:w="80" w:type="dxa"/>
              <w:end w:w="120" w:type="dxa"/>
            </w:tcMar>
            <w:vAlign w:val="center"/>
          </w:tcPr>
          <w:p>
            <w:pPr>
              <w:spacing w:after="0"/>
            </w:pPr>
            <w:r>
              <w:rPr>
                <w:rFonts w:ascii="Calibri" w:hAnsi="Calibri"/>
                <w:color w:val="111827"/>
                <w:sz w:val="18"/>
              </w:rPr>
              <w:t>Medium</w:t>
            </w:r>
          </w:p>
        </w:tc>
        <w:tc>
          <w:tcPr>
            <w:tcW w:type="dxa" w:w="3500"/>
            <w:shd w:fill="F2F4F7"/>
            <w:tcMar>
              <w:top w:w="80" w:type="dxa"/>
              <w:start w:w="120" w:type="dxa"/>
              <w:bottom w:w="80" w:type="dxa"/>
              <w:end w:w="120" w:type="dxa"/>
            </w:tcMar>
            <w:vAlign w:val="center"/>
          </w:tcPr>
          <w:p>
            <w:pPr>
              <w:spacing w:after="0"/>
            </w:pPr>
            <w:r>
              <w:rPr>
                <w:rFonts w:ascii="Calibri" w:hAnsi="Calibri"/>
                <w:color w:val="111827"/>
                <w:sz w:val="18"/>
              </w:rPr>
              <w:t>PO data has no receipt/status lifecycle</w:t>
            </w:r>
          </w:p>
        </w:tc>
        <w:tc>
          <w:tcPr>
            <w:tcW w:type="dxa" w:w="4610"/>
            <w:shd w:fill="F2F4F7"/>
            <w:tcMar>
              <w:top w:w="80" w:type="dxa"/>
              <w:start w:w="120" w:type="dxa"/>
              <w:bottom w:w="80" w:type="dxa"/>
              <w:end w:w="120" w:type="dxa"/>
            </w:tcMar>
            <w:vAlign w:val="center"/>
          </w:tcPr>
          <w:p>
            <w:pPr>
              <w:spacing w:after="0"/>
            </w:pPr>
            <w:r>
              <w:rPr>
                <w:rFonts w:ascii="Calibri" w:hAnsi="Calibri"/>
                <w:color w:val="111827"/>
                <w:sz w:val="18"/>
              </w:rPr>
              <w:t>Used PO lines only for weighted landed unit cost; did not label PO quantities as inbound.</w:t>
            </w:r>
          </w:p>
        </w:tc>
      </w:tr>
      <w:tr>
        <w:tc>
          <w:tcPr>
            <w:tcW w:type="dxa" w:w="1250"/>
            <w:tcMar>
              <w:top w:w="80" w:type="dxa"/>
              <w:start w:w="120" w:type="dxa"/>
              <w:bottom w:w="80" w:type="dxa"/>
              <w:end w:w="120" w:type="dxa"/>
            </w:tcMar>
            <w:vAlign w:val="center"/>
          </w:tcPr>
          <w:p>
            <w:pPr>
              <w:spacing w:after="0"/>
            </w:pPr>
            <w:r>
              <w:rPr>
                <w:rFonts w:ascii="Calibri" w:hAnsi="Calibri"/>
                <w:color w:val="111827"/>
                <w:sz w:val="18"/>
              </w:rPr>
              <w:t>Low</w:t>
            </w:r>
          </w:p>
        </w:tc>
        <w:tc>
          <w:tcPr>
            <w:tcW w:type="dxa" w:w="3500"/>
            <w:tcMar>
              <w:top w:w="80" w:type="dxa"/>
              <w:start w:w="120" w:type="dxa"/>
              <w:bottom w:w="80" w:type="dxa"/>
              <w:end w:w="120" w:type="dxa"/>
            </w:tcMar>
            <w:vAlign w:val="center"/>
          </w:tcPr>
          <w:p>
            <w:pPr>
              <w:spacing w:after="0"/>
            </w:pPr>
            <w:r>
              <w:rPr>
                <w:rFonts w:ascii="Calibri" w:hAnsi="Calibri"/>
                <w:color w:val="111827"/>
                <w:sz w:val="18"/>
              </w:rPr>
              <w:t>Mixed PO date formats</w:t>
            </w:r>
          </w:p>
        </w:tc>
        <w:tc>
          <w:tcPr>
            <w:tcW w:type="dxa" w:w="4610"/>
            <w:tcMar>
              <w:top w:w="80" w:type="dxa"/>
              <w:start w:w="120" w:type="dxa"/>
              <w:bottom w:w="80" w:type="dxa"/>
              <w:end w:w="120" w:type="dxa"/>
            </w:tcMar>
            <w:vAlign w:val="center"/>
          </w:tcPr>
          <w:p>
            <w:pPr>
              <w:spacing w:after="0"/>
            </w:pPr>
            <w:r>
              <w:rPr>
                <w:rFonts w:ascii="Calibri" w:hAnsi="Calibri"/>
                <w:color w:val="111827"/>
                <w:sz w:val="18"/>
              </w:rPr>
              <w:t>Parsed with mixed-format logic and stored as typed dates.</w:t>
            </w:r>
          </w:p>
        </w:tc>
      </w:tr>
      <w:tr>
        <w:tc>
          <w:tcPr>
            <w:tcW w:type="dxa" w:w="1250"/>
            <w:shd w:fill="F2F4F7"/>
            <w:tcMar>
              <w:top w:w="80" w:type="dxa"/>
              <w:start w:w="120" w:type="dxa"/>
              <w:bottom w:w="80" w:type="dxa"/>
              <w:end w:w="120" w:type="dxa"/>
            </w:tcMar>
            <w:vAlign w:val="center"/>
          </w:tcPr>
          <w:p>
            <w:pPr>
              <w:spacing w:after="0"/>
            </w:pPr>
            <w:r>
              <w:rPr>
                <w:rFonts w:ascii="Calibri" w:hAnsi="Calibri"/>
                <w:color w:val="111827"/>
                <w:sz w:val="18"/>
              </w:rPr>
              <w:t>Low</w:t>
            </w:r>
          </w:p>
        </w:tc>
        <w:tc>
          <w:tcPr>
            <w:tcW w:type="dxa" w:w="3500"/>
            <w:shd w:fill="F2F4F7"/>
            <w:tcMar>
              <w:top w:w="80" w:type="dxa"/>
              <w:start w:w="120" w:type="dxa"/>
              <w:bottom w:w="80" w:type="dxa"/>
              <w:end w:w="120" w:type="dxa"/>
            </w:tcMar>
            <w:vAlign w:val="center"/>
          </w:tcPr>
          <w:p>
            <w:pPr>
              <w:spacing w:after="0"/>
            </w:pPr>
            <w:r>
              <w:rPr>
                <w:rFonts w:ascii="Calibri" w:hAnsi="Calibri"/>
                <w:color w:val="111827"/>
                <w:sz w:val="18"/>
              </w:rPr>
              <w:t>Quarter/date and arithmetic reconciliation</w:t>
            </w:r>
          </w:p>
        </w:tc>
        <w:tc>
          <w:tcPr>
            <w:tcW w:type="dxa" w:w="4610"/>
            <w:shd w:fill="F2F4F7"/>
            <w:tcMar>
              <w:top w:w="80" w:type="dxa"/>
              <w:start w:w="120" w:type="dxa"/>
              <w:bottom w:w="80" w:type="dxa"/>
              <w:end w:w="120" w:type="dxa"/>
            </w:tcMar>
            <w:vAlign w:val="center"/>
          </w:tcPr>
          <w:p>
            <w:pPr>
              <w:spacing w:after="0"/>
            </w:pPr>
            <w:r>
              <w:rPr>
                <w:rFonts w:ascii="Calibri" w:hAnsi="Calibri"/>
                <w:color w:val="111827"/>
                <w:sz w:val="18"/>
              </w:rPr>
              <w:t>Confirmed Q2 date scope and arithmetic tie-outs within floating-point tolerance.</w:t>
            </w:r>
          </w:p>
        </w:tc>
      </w:tr>
    </w:tbl>
    <w:p>
      <w:pPr>
        <w:spacing w:after="40"/>
      </w:pPr>
    </w:p>
    <w:p>
      <w:pPr>
        <w:pStyle w:val="Heading2"/>
        <w:keepNext/>
      </w:pPr>
      <w:r>
        <w:t>AI-use disclosure</w:t>
      </w:r>
    </w:p>
    <w:p>
      <w:pPr>
        <w:spacing w:after="120" w:line="264" w:lineRule="auto"/>
      </w:pPr>
      <w:r>
        <w:rPr>
          <w:rFonts w:ascii="Calibri" w:hAnsi="Calibri"/>
          <w:color w:val="111827"/>
        </w:rPr>
        <w:t>I used AI to help profile the files, draft portions of the Python and SQL, and format the workbook, written response, and presentation. I reviewed the transformation logic, tied the outputs back to the supplied files, and kept all assumptions and imputed values visible. I did not use external operating or financial data in the profitability calculation.</w:t>
      </w:r>
    </w:p>
    <w:p>
      <w:pPr>
        <w:pStyle w:val="Heading2"/>
        <w:keepNext/>
      </w:pPr>
      <w:r>
        <w:t>Source files</w:t>
      </w:r>
    </w:p>
    <w:p>
      <w:pPr>
        <w:spacing w:after="40" w:line="264" w:lineRule="auto"/>
      </w:pPr>
      <w:r>
        <w:rPr>
          <w:rFonts w:ascii="Calibri" w:hAnsi="Calibri"/>
          <w:color w:val="111827"/>
        </w:rPr>
        <w:t>Copy of sku_asin_brand_mapping.csv</w:t>
      </w:r>
    </w:p>
    <w:p>
      <w:pPr>
        <w:spacing w:after="40" w:line="264" w:lineRule="auto"/>
      </w:pPr>
      <w:r>
        <w:rPr>
          <w:rFonts w:ascii="Calibri" w:hAnsi="Calibri"/>
          <w:color w:val="111827"/>
        </w:rPr>
        <w:t>Copy of purchase_orders_landed_cost.csv</w:t>
      </w:r>
    </w:p>
    <w:p>
      <w:pPr>
        <w:spacing w:after="40" w:line="264" w:lineRule="auto"/>
      </w:pPr>
      <w:r>
        <w:rPr>
          <w:rFonts w:ascii="Calibri" w:hAnsi="Calibri"/>
          <w:color w:val="111827"/>
        </w:rPr>
        <w:t>Copy of inventory_snapshot_2026-06-30.csv</w:t>
      </w:r>
    </w:p>
    <w:p>
      <w:pPr>
        <w:spacing w:after="40" w:line="264" w:lineRule="auto"/>
      </w:pPr>
      <w:r>
        <w:rPr>
          <w:rFonts w:ascii="Calibri" w:hAnsi="Calibri"/>
          <w:color w:val="111827"/>
        </w:rPr>
        <w:t>Copy of amazon_settlements_apr-jun_2026.csv</w:t>
      </w:r>
    </w:p>
    <w:sectPr w:rsidR="00FC693F" w:rsidRPr="0006063C" w:rsidSect="00034616">
      <w:headerReference w:type="default" r:id="rId9"/>
      <w:headerReference w:type="even" r:id="rId10"/>
      <w:footerReference w:type="default" r:id="rId1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6070"/>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56070"/>
        <w:sz w:val="17"/>
      </w:rPr>
      <w:t>FINANCE ANALYTICS ASSESSMENT  |  AMAZON Q2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56070"/>
        <w:sz w:val="17"/>
      </w:rPr>
      <w:t>FINANCE ANALYTICS ASSESSMENT  |  AMAZON Q2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Amazon Q2 2026 Finance Analytics Assessment</dc:title>
  <dc:subject>Data model, profitability analysis, and 90-day automation plan</dc:subject>
  <dc:creator>Assessment Candidate</dc:creator>
  <cp:keywords>Amazon, contribution margin, BigQuery, finance automation</cp:keywords>
  <dc:description>generated by python-docx</dc:description>
  <cp:lastModifiedBy/>
  <cp:revision>1</cp:revision>
  <dcterms:created xsi:type="dcterms:W3CDTF">2013-12-23T23:15:00Z</dcterms:created>
  <dcterms:modified xsi:type="dcterms:W3CDTF">2013-12-23T23:15:00Z</dcterms:modified>
  <cp:category/>
</cp:coreProperties>
</file>