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B2545"/>
          <w:sz w:val="46"/>
        </w:rPr>
        <w:t>FINANCE ANALYTICS ASSESSMENT</w:t>
      </w:r>
    </w:p>
    <w:p>
      <w:pPr>
        <w:spacing w:after="280"/>
      </w:pPr>
      <w:r>
        <w:rPr>
          <w:rFonts w:ascii="Calibri" w:hAnsi="Calibri"/>
          <w:color w:val="556070"/>
          <w:sz w:val="28"/>
        </w:rPr>
        <w:t>Q2 2026 Amazon profitability, scalable data model, and 90-day automation plan</w:t>
      </w:r>
    </w:p>
    <w:p>
      <w:pPr>
        <w:spacing w:after="40"/>
      </w:pPr>
      <w:r>
        <w:rPr>
          <w:rFonts w:ascii="Calibri" w:hAnsi="Calibri"/>
          <w:b/>
          <w:color w:val="111827"/>
          <w:sz w:val="21"/>
        </w:rPr>
        <w:t xml:space="preserve">Audience: </w:t>
      </w:r>
      <w:r>
        <w:rPr>
          <w:rFonts w:ascii="Calibri" w:hAnsi="Calibri"/>
          <w:color w:val="111827"/>
          <w:sz w:val="21"/>
        </w:rPr>
        <w:t>Finance leadership</w:t>
      </w:r>
    </w:p>
    <w:p>
      <w:pPr>
        <w:spacing w:after="40"/>
      </w:pPr>
      <w:r>
        <w:rPr>
          <w:rFonts w:ascii="Calibri" w:hAnsi="Calibri"/>
          <w:b/>
          <w:color w:val="111827"/>
          <w:sz w:val="21"/>
        </w:rPr>
        <w:t xml:space="preserve">Period: </w:t>
      </w:r>
      <w:r>
        <w:rPr>
          <w:rFonts w:ascii="Calibri" w:hAnsi="Calibri"/>
          <w:color w:val="111827"/>
          <w:sz w:val="21"/>
        </w:rPr>
        <w:t>April 1-June 30, 2026</w:t>
      </w:r>
    </w:p>
    <w:p>
      <w:pPr>
        <w:spacing w:after="40"/>
      </w:pPr>
      <w:r>
        <w:rPr>
          <w:rFonts w:ascii="Calibri" w:hAnsi="Calibri"/>
          <w:b/>
          <w:color w:val="111827"/>
          <w:sz w:val="21"/>
        </w:rPr>
        <w:t xml:space="preserve">Scope: </w:t>
      </w:r>
      <w:r>
        <w:rPr>
          <w:rFonts w:ascii="Calibri" w:hAnsi="Calibri"/>
          <w:color w:val="111827"/>
          <w:sz w:val="21"/>
        </w:rPr>
        <w:t>Amazon settlements, product mapping, landed cost, and 6/30 inventory</w:t>
      </w:r>
    </w:p>
    <w:p>
      <w:pPr>
        <w:spacing w:after="40"/>
      </w:pPr>
      <w:r>
        <w:rPr>
          <w:rFonts w:ascii="Calibri" w:hAnsi="Calibri"/>
          <w:b/>
          <w:color w:val="111827"/>
          <w:sz w:val="21"/>
        </w:rPr>
        <w:t xml:space="preserve">Submission: </w:t>
      </w:r>
      <w:r>
        <w:rPr>
          <w:rFonts w:ascii="Calibri" w:hAnsi="Calibri"/>
          <w:color w:val="111827"/>
          <w:sz w:val="21"/>
        </w:rPr>
        <w:t>GitHub-ready code; BigQuery production design; Databricks demo option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B"/>
          </w:tcPr>
          <w:p>
            <w:pPr>
              <w:spacing w:after="0"/>
            </w:pPr>
            <w:r>
              <w:rPr>
                <w:rFonts w:ascii="Calibri" w:hAnsi="Calibri"/>
                <w:b/>
                <w:color w:val="0B2545"/>
              </w:rPr>
              <w:t xml:space="preserve">Executive answer: </w:t>
            </w:r>
            <w:r>
              <w:rPr>
                <w:rFonts w:ascii="Calibri" w:hAnsi="Calibri"/>
                <w:color w:val="0B2545"/>
              </w:rPr>
              <w:t>SKU-attributable contribution margin is $51.2K (38.7% of net sales after promotions). Advertising, storage, and subscription charges lack SKU keys and are therefore shown below CM1; including them and two adjustments produces an estimated $5.5K loss after platform overhead.</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0B2545"/>
          </w:tcPr>
          <w:p>
            <w:pPr>
              <w:spacing w:after="0"/>
              <w:jc w:val="right"/>
            </w:pPr>
            <w:r>
              <w:rPr>
                <w:rFonts w:ascii="Calibri" w:hAnsi="Calibri"/>
                <w:b/>
                <w:color w:val="FFFFFF"/>
                <w:sz w:val="18"/>
              </w:rPr>
              <w:t>Net sales</w:t>
            </w:r>
          </w:p>
        </w:tc>
        <w:tc>
          <w:tcPr>
            <w:tcW w:type="dxa" w:w="2340"/>
            <w:tcMar>
              <w:top w:w="80" w:type="dxa"/>
              <w:start w:w="120" w:type="dxa"/>
              <w:bottom w:w="80" w:type="dxa"/>
              <w:end w:w="120" w:type="dxa"/>
            </w:tcMar>
            <w:vAlign w:val="center"/>
            <w:shd w:fill="0B2545"/>
          </w:tcPr>
          <w:p>
            <w:pPr>
              <w:spacing w:after="0"/>
              <w:jc w:val="right"/>
            </w:pPr>
            <w:r>
              <w:rPr>
                <w:rFonts w:ascii="Calibri" w:hAnsi="Calibri"/>
                <w:b/>
                <w:color w:val="FFFFFF"/>
                <w:sz w:val="18"/>
              </w:rPr>
              <w:t>CM1</w:t>
            </w:r>
          </w:p>
        </w:tc>
        <w:tc>
          <w:tcPr>
            <w:tcW w:type="dxa" w:w="2340"/>
            <w:tcMar>
              <w:top w:w="80" w:type="dxa"/>
              <w:start w:w="120" w:type="dxa"/>
              <w:bottom w:w="80" w:type="dxa"/>
              <w:end w:w="120" w:type="dxa"/>
            </w:tcMar>
            <w:vAlign w:val="center"/>
            <w:shd w:fill="0B2545"/>
          </w:tcPr>
          <w:p>
            <w:pPr>
              <w:spacing w:after="0"/>
              <w:jc w:val="right"/>
            </w:pPr>
            <w:r>
              <w:rPr>
                <w:rFonts w:ascii="Calibri" w:hAnsi="Calibri"/>
                <w:b/>
                <w:color w:val="FFFFFF"/>
                <w:sz w:val="18"/>
              </w:rPr>
              <w:t>CM1 %</w:t>
            </w:r>
          </w:p>
        </w:tc>
        <w:tc>
          <w:tcPr>
            <w:tcW w:type="dxa" w:w="2340"/>
            <w:tcMar>
              <w:top w:w="80" w:type="dxa"/>
              <w:start w:w="120" w:type="dxa"/>
              <w:bottom w:w="80" w:type="dxa"/>
              <w:end w:w="120" w:type="dxa"/>
            </w:tcMar>
            <w:vAlign w:val="center"/>
            <w:shd w:fill="0B2545"/>
          </w:tcPr>
          <w:p>
            <w:pPr>
              <w:spacing w:after="0"/>
              <w:jc w:val="right"/>
            </w:pPr>
            <w:r>
              <w:rPr>
                <w:rFonts w:ascii="Calibri" w:hAnsi="Calibri"/>
                <w:b/>
                <w:color w:val="FFFFFF"/>
                <w:sz w:val="18"/>
              </w:rPr>
              <w:t>After platform overhead</w:t>
            </w:r>
          </w:p>
        </w:tc>
      </w:tr>
      <w:tr>
        <w:tc>
          <w:tcPr>
            <w:tcW w:type="dxa" w:w="2340"/>
            <w:tcMar>
              <w:top w:w="80" w:type="dxa"/>
              <w:start w:w="120" w:type="dxa"/>
              <w:bottom w:w="80" w:type="dxa"/>
              <w:end w:w="120" w:type="dxa"/>
            </w:tcMar>
            <w:vAlign w:val="center"/>
          </w:tcPr>
          <w:p>
            <w:pPr>
              <w:spacing w:after="0"/>
              <w:jc w:val="right"/>
            </w:pPr>
            <w:r>
              <w:rPr>
                <w:rFonts w:ascii="Calibri" w:hAnsi="Calibri"/>
                <w:color w:val="111827"/>
                <w:sz w:val="18"/>
              </w:rPr>
              <w:t>$132,342</w:t>
            </w:r>
          </w:p>
        </w:tc>
        <w:tc>
          <w:tcPr>
            <w:tcW w:type="dxa" w:w="2340"/>
            <w:tcMar>
              <w:top w:w="80" w:type="dxa"/>
              <w:start w:w="120" w:type="dxa"/>
              <w:bottom w:w="80" w:type="dxa"/>
              <w:end w:w="120" w:type="dxa"/>
            </w:tcMar>
            <w:vAlign w:val="center"/>
          </w:tcPr>
          <w:p>
            <w:pPr>
              <w:spacing w:after="0"/>
              <w:jc w:val="right"/>
            </w:pPr>
            <w:r>
              <w:rPr>
                <w:rFonts w:ascii="Calibri" w:hAnsi="Calibri"/>
                <w:color w:val="111827"/>
                <w:sz w:val="18"/>
              </w:rPr>
              <w:t>$51,243</w:t>
            </w:r>
          </w:p>
        </w:tc>
        <w:tc>
          <w:tcPr>
            <w:tcW w:type="dxa" w:w="2340"/>
            <w:tcMar>
              <w:top w:w="80" w:type="dxa"/>
              <w:start w:w="120" w:type="dxa"/>
              <w:bottom w:w="80" w:type="dxa"/>
              <w:end w:w="120" w:type="dxa"/>
            </w:tcMar>
            <w:vAlign w:val="center"/>
          </w:tcPr>
          <w:p>
            <w:pPr>
              <w:spacing w:after="0"/>
              <w:jc w:val="right"/>
            </w:pPr>
            <w:r>
              <w:rPr>
                <w:rFonts w:ascii="Calibri" w:hAnsi="Calibri"/>
                <w:color w:val="111827"/>
                <w:sz w:val="18"/>
              </w:rPr>
              <w:t>38.7%</w:t>
            </w:r>
          </w:p>
        </w:tc>
        <w:tc>
          <w:tcPr>
            <w:tcW w:type="dxa" w:w="2340"/>
            <w:tcMar>
              <w:top w:w="80" w:type="dxa"/>
              <w:start w:w="120" w:type="dxa"/>
              <w:bottom w:w="80" w:type="dxa"/>
              <w:end w:w="120" w:type="dxa"/>
            </w:tcMar>
            <w:vAlign w:val="center"/>
          </w:tcPr>
          <w:p>
            <w:pPr>
              <w:spacing w:after="0"/>
              <w:jc w:val="right"/>
            </w:pPr>
            <w:r>
              <w:rPr>
                <w:rFonts w:ascii="Calibri" w:hAnsi="Calibri"/>
                <w:color w:val="111827"/>
                <w:sz w:val="18"/>
              </w:rPr>
              <w:t>($5,483)</w:t>
            </w:r>
          </w:p>
        </w:tc>
      </w:tr>
    </w:tbl>
    <w:p>
      <w:pPr>
        <w:spacing w:after="40"/>
      </w:pPr>
    </w:p>
    <w:p>
      <w:pPr>
        <w:pStyle w:val="Heading1"/>
        <w:keepNext/>
      </w:pPr>
      <w:r>
        <w:t>1. Data model: controlled layers, stable identities</w:t>
      </w:r>
    </w:p>
    <w:p>
      <w:pPr>
        <w:spacing w:after="120" w:line="264" w:lineRule="auto"/>
      </w:pPr>
      <w:r>
        <w:rPr>
          <w:rFonts w:ascii="Calibri" w:hAnsi="Calibri"/>
          <w:color w:val="111827"/>
        </w:rPr>
        <w:t>The recommended production path is BigQuery with dbt or Dataform. Raw inputs remain immutable; finance-facing marts are published only after identity, arithmetic, completeness, and reconciliation checks pass. Databricks can demonstrate the same medallion pattern if the company already operates a lakehouse.</w:t>
      </w:r>
    </w:p>
    <w:tbl>
      <w:tblPr>
        <w:tblStyle w:val="TableGrid"/>
        <w:tblW w:type="dxa" w:w="9360"/>
        <w:tblLayout w:type="fixed"/>
        <w:tblLook w:firstColumn="1" w:firstRow="1" w:lastColumn="0" w:lastRow="0" w:noHBand="0" w:noVBand="1" w:val="04A0"/>
        <w:jc w:val="left"/>
        <w:tblInd w:w="120" w:type="dxa"/>
      </w:tblPr>
      <w:tblGrid>
        <w:gridCol w:w="1200"/>
        <w:gridCol w:w="4300"/>
        <w:gridCol w:w="3860"/>
      </w:tblGrid>
      <w:tr>
        <w:trPr>
          <w:tblHeader w:val="true"/>
        </w:trPr>
        <w:tc>
          <w:tcPr>
            <w:tcW w:type="dxa" w:w="1200"/>
            <w:tcMar>
              <w:top w:w="80" w:type="dxa"/>
              <w:start w:w="120" w:type="dxa"/>
              <w:bottom w:w="80" w:type="dxa"/>
              <w:end w:w="120" w:type="dxa"/>
            </w:tcMar>
            <w:vAlign w:val="center"/>
            <w:shd w:fill="0B2545"/>
          </w:tcPr>
          <w:p>
            <w:pPr>
              <w:spacing w:after="0"/>
            </w:pPr>
            <w:r>
              <w:rPr>
                <w:rFonts w:ascii="Calibri" w:hAnsi="Calibri"/>
                <w:b/>
                <w:color w:val="FFFFFF"/>
                <w:sz w:val="18"/>
              </w:rPr>
              <w:t>Layer</w:t>
            </w:r>
          </w:p>
        </w:tc>
        <w:tc>
          <w:tcPr>
            <w:tcW w:type="dxa" w:w="4300"/>
            <w:tcMar>
              <w:top w:w="80" w:type="dxa"/>
              <w:start w:w="120" w:type="dxa"/>
              <w:bottom w:w="80" w:type="dxa"/>
              <w:end w:w="120" w:type="dxa"/>
            </w:tcMar>
            <w:vAlign w:val="center"/>
            <w:shd w:fill="0B2545"/>
          </w:tcPr>
          <w:p>
            <w:pPr>
              <w:spacing w:after="0"/>
            </w:pPr>
            <w:r>
              <w:rPr>
                <w:rFonts w:ascii="Calibri" w:hAnsi="Calibri"/>
                <w:b/>
                <w:color w:val="FFFFFF"/>
                <w:sz w:val="18"/>
              </w:rPr>
              <w:t>What it contains</w:t>
            </w:r>
          </w:p>
        </w:tc>
        <w:tc>
          <w:tcPr>
            <w:tcW w:type="dxa" w:w="3860"/>
            <w:tcMar>
              <w:top w:w="80" w:type="dxa"/>
              <w:start w:w="120" w:type="dxa"/>
              <w:bottom w:w="80" w:type="dxa"/>
              <w:end w:w="120" w:type="dxa"/>
            </w:tcMar>
            <w:vAlign w:val="center"/>
            <w:shd w:fill="0B2545"/>
          </w:tcPr>
          <w:p>
            <w:pPr>
              <w:spacing w:after="0"/>
            </w:pPr>
            <w:r>
              <w:rPr>
                <w:rFonts w:ascii="Calibri" w:hAnsi="Calibri"/>
                <w:b/>
                <w:color w:val="FFFFFF"/>
                <w:sz w:val="18"/>
              </w:rPr>
              <w:t>Control objective</w:t>
            </w:r>
          </w:p>
        </w:tc>
      </w:tr>
      <w:tr>
        <w:tc>
          <w:tcPr>
            <w:tcW w:type="dxa" w:w="1200"/>
            <w:tcMar>
              <w:top w:w="80" w:type="dxa"/>
              <w:start w:w="120" w:type="dxa"/>
              <w:bottom w:w="80" w:type="dxa"/>
              <w:end w:w="120" w:type="dxa"/>
            </w:tcMar>
            <w:vAlign w:val="center"/>
          </w:tcPr>
          <w:p>
            <w:pPr>
              <w:spacing w:after="0"/>
            </w:pPr>
            <w:r>
              <w:rPr>
                <w:rFonts w:ascii="Calibri" w:hAnsi="Calibri"/>
                <w:color w:val="111827"/>
                <w:sz w:val="18"/>
              </w:rPr>
              <w:t>Raw</w:t>
            </w:r>
          </w:p>
        </w:tc>
        <w:tc>
          <w:tcPr>
            <w:tcW w:type="dxa" w:w="4300"/>
            <w:tcMar>
              <w:top w:w="80" w:type="dxa"/>
              <w:start w:w="120" w:type="dxa"/>
              <w:bottom w:w="80" w:type="dxa"/>
              <w:end w:w="120" w:type="dxa"/>
            </w:tcMar>
            <w:vAlign w:val="center"/>
          </w:tcPr>
          <w:p>
            <w:pPr>
              <w:spacing w:after="0"/>
            </w:pPr>
            <w:r>
              <w:rPr>
                <w:rFonts w:ascii="Calibri" w:hAnsi="Calibri"/>
                <w:color w:val="111827"/>
                <w:sz w:val="18"/>
              </w:rPr>
              <w:t>Versioned QuickBooks, REACH, Amazon, and Google Sheets extracts</w:t>
            </w:r>
          </w:p>
        </w:tc>
        <w:tc>
          <w:tcPr>
            <w:tcW w:type="dxa" w:w="3860"/>
            <w:tcMar>
              <w:top w:w="80" w:type="dxa"/>
              <w:start w:w="120" w:type="dxa"/>
              <w:bottom w:w="80" w:type="dxa"/>
              <w:end w:w="120" w:type="dxa"/>
            </w:tcMar>
            <w:vAlign w:val="center"/>
          </w:tcPr>
          <w:p>
            <w:pPr>
              <w:spacing w:after="0"/>
            </w:pPr>
            <w:r>
              <w:rPr>
                <w:rFonts w:ascii="Calibri" w:hAnsi="Calibri"/>
                <w:color w:val="111827"/>
                <w:sz w:val="18"/>
              </w:rPr>
              <w:t>Replayable source evidence with file, load time, and row hash</w:t>
            </w:r>
          </w:p>
        </w:tc>
      </w:tr>
      <w:tr>
        <w:tc>
          <w:tcPr>
            <w:tcW w:type="dxa" w:w="1200"/>
            <w:shd w:fill="F2F4F7"/>
            <w:tcMar>
              <w:top w:w="80" w:type="dxa"/>
              <w:start w:w="120" w:type="dxa"/>
              <w:bottom w:w="80" w:type="dxa"/>
              <w:end w:w="120" w:type="dxa"/>
            </w:tcMar>
            <w:vAlign w:val="center"/>
          </w:tcPr>
          <w:p>
            <w:pPr>
              <w:spacing w:after="0"/>
            </w:pPr>
            <w:r>
              <w:rPr>
                <w:rFonts w:ascii="Calibri" w:hAnsi="Calibri"/>
                <w:color w:val="111827"/>
                <w:sz w:val="18"/>
              </w:rPr>
              <w:t>Staging</w:t>
            </w:r>
          </w:p>
        </w:tc>
        <w:tc>
          <w:tcPr>
            <w:tcW w:type="dxa" w:w="4300"/>
            <w:shd w:fill="F2F4F7"/>
            <w:tcMar>
              <w:top w:w="80" w:type="dxa"/>
              <w:start w:w="120" w:type="dxa"/>
              <w:bottom w:w="80" w:type="dxa"/>
              <w:end w:w="120" w:type="dxa"/>
            </w:tcMar>
            <w:vAlign w:val="center"/>
          </w:tcPr>
          <w:p>
            <w:pPr>
              <w:spacing w:after="0"/>
            </w:pPr>
            <w:r>
              <w:rPr>
                <w:rFonts w:ascii="Calibri" w:hAnsi="Calibri"/>
                <w:color w:val="111827"/>
                <w:sz w:val="18"/>
              </w:rPr>
              <w:t>Typed, renamed, deduplicated source-shaped views</w:t>
            </w:r>
          </w:p>
        </w:tc>
        <w:tc>
          <w:tcPr>
            <w:tcW w:type="dxa" w:w="3860"/>
            <w:shd w:fill="F2F4F7"/>
            <w:tcMar>
              <w:top w:w="80" w:type="dxa"/>
              <w:start w:w="120" w:type="dxa"/>
              <w:bottom w:w="80" w:type="dxa"/>
              <w:end w:w="120" w:type="dxa"/>
            </w:tcMar>
            <w:vAlign w:val="center"/>
          </w:tcPr>
          <w:p>
            <w:pPr>
              <w:spacing w:after="0"/>
            </w:pPr>
            <w:r>
              <w:rPr>
                <w:rFonts w:ascii="Calibri" w:hAnsi="Calibri"/>
                <w:color w:val="111827"/>
                <w:sz w:val="18"/>
              </w:rPr>
              <w:t>Reject schema/date/type failures without altering raw data</w:t>
            </w:r>
          </w:p>
        </w:tc>
      </w:tr>
      <w:tr>
        <w:tc>
          <w:tcPr>
            <w:tcW w:type="dxa" w:w="1200"/>
            <w:tcMar>
              <w:top w:w="80" w:type="dxa"/>
              <w:start w:w="120" w:type="dxa"/>
              <w:bottom w:w="80" w:type="dxa"/>
              <w:end w:w="120" w:type="dxa"/>
            </w:tcMar>
            <w:vAlign w:val="center"/>
          </w:tcPr>
          <w:p>
            <w:pPr>
              <w:spacing w:after="0"/>
            </w:pPr>
            <w:r>
              <w:rPr>
                <w:rFonts w:ascii="Calibri" w:hAnsi="Calibri"/>
                <w:color w:val="111827"/>
                <w:sz w:val="18"/>
              </w:rPr>
              <w:t>Core</w:t>
            </w:r>
          </w:p>
        </w:tc>
        <w:tc>
          <w:tcPr>
            <w:tcW w:type="dxa" w:w="4300"/>
            <w:tcMar>
              <w:top w:w="80" w:type="dxa"/>
              <w:start w:w="120" w:type="dxa"/>
              <w:bottom w:w="80" w:type="dxa"/>
              <w:end w:w="120" w:type="dxa"/>
            </w:tcMar>
            <w:vAlign w:val="center"/>
          </w:tcPr>
          <w:p>
            <w:pPr>
              <w:spacing w:after="0"/>
            </w:pPr>
            <w:r>
              <w:rPr>
                <w:rFonts w:ascii="Calibri" w:hAnsi="Calibri"/>
                <w:color w:val="111827"/>
                <w:sz w:val="18"/>
              </w:rPr>
              <w:t>Dimensions, facts, identifier bridge, UOM conversions</w:t>
            </w:r>
          </w:p>
        </w:tc>
        <w:tc>
          <w:tcPr>
            <w:tcW w:type="dxa" w:w="3860"/>
            <w:tcMar>
              <w:top w:w="80" w:type="dxa"/>
              <w:start w:w="120" w:type="dxa"/>
              <w:bottom w:w="80" w:type="dxa"/>
              <w:end w:w="120" w:type="dxa"/>
            </w:tcMar>
            <w:vAlign w:val="center"/>
          </w:tcPr>
          <w:p>
            <w:pPr>
              <w:spacing w:after="0"/>
            </w:pPr>
            <w:r>
              <w:rPr>
                <w:rFonts w:ascii="Calibri" w:hAnsi="Calibri"/>
                <w:color w:val="111827"/>
                <w:sz w:val="18"/>
              </w:rPr>
              <w:t>Stable keys, effective dates, and reusable business logic</w:t>
            </w:r>
          </w:p>
        </w:tc>
      </w:tr>
      <w:tr>
        <w:tc>
          <w:tcPr>
            <w:tcW w:type="dxa" w:w="1200"/>
            <w:shd w:fill="F2F4F7"/>
            <w:tcMar>
              <w:top w:w="80" w:type="dxa"/>
              <w:start w:w="120" w:type="dxa"/>
              <w:bottom w:w="80" w:type="dxa"/>
              <w:end w:w="120" w:type="dxa"/>
            </w:tcMar>
            <w:vAlign w:val="center"/>
          </w:tcPr>
          <w:p>
            <w:pPr>
              <w:spacing w:after="0"/>
            </w:pPr>
            <w:r>
              <w:rPr>
                <w:rFonts w:ascii="Calibri" w:hAnsi="Calibri"/>
                <w:color w:val="111827"/>
                <w:sz w:val="18"/>
              </w:rPr>
              <w:t>Marts</w:t>
            </w:r>
          </w:p>
        </w:tc>
        <w:tc>
          <w:tcPr>
            <w:tcW w:type="dxa" w:w="4300"/>
            <w:shd w:fill="F2F4F7"/>
            <w:tcMar>
              <w:top w:w="80" w:type="dxa"/>
              <w:start w:w="120" w:type="dxa"/>
              <w:bottom w:w="80" w:type="dxa"/>
              <w:end w:w="120" w:type="dxa"/>
            </w:tcMar>
            <w:vAlign w:val="center"/>
          </w:tcPr>
          <w:p>
            <w:pPr>
              <w:spacing w:after="0"/>
            </w:pPr>
            <w:r>
              <w:rPr>
                <w:rFonts w:ascii="Calibri" w:hAnsi="Calibri"/>
                <w:color w:val="111827"/>
                <w:sz w:val="18"/>
              </w:rPr>
              <w:t>Brand/SKU profitability, inventory health, close reconciliation</w:t>
            </w:r>
          </w:p>
        </w:tc>
        <w:tc>
          <w:tcPr>
            <w:tcW w:type="dxa" w:w="3860"/>
            <w:shd w:fill="F2F4F7"/>
            <w:tcMar>
              <w:top w:w="80" w:type="dxa"/>
              <w:start w:w="120" w:type="dxa"/>
              <w:bottom w:w="80" w:type="dxa"/>
              <w:end w:w="120" w:type="dxa"/>
            </w:tcMar>
            <w:vAlign w:val="center"/>
          </w:tcPr>
          <w:p>
            <w:pPr>
              <w:spacing w:after="0"/>
            </w:pPr>
            <w:r>
              <w:rPr>
                <w:rFonts w:ascii="Calibri" w:hAnsi="Calibri"/>
                <w:color w:val="111827"/>
                <w:sz w:val="18"/>
              </w:rPr>
              <w:t>One governed definition for leadership and operators</w:t>
            </w:r>
          </w:p>
        </w:tc>
      </w:tr>
      <w:tr>
        <w:tc>
          <w:tcPr>
            <w:tcW w:type="dxa" w:w="1200"/>
            <w:tcMar>
              <w:top w:w="80" w:type="dxa"/>
              <w:start w:w="120" w:type="dxa"/>
              <w:bottom w:w="80" w:type="dxa"/>
              <w:end w:w="120" w:type="dxa"/>
            </w:tcMar>
            <w:vAlign w:val="center"/>
          </w:tcPr>
          <w:p>
            <w:pPr>
              <w:spacing w:after="0"/>
            </w:pPr>
            <w:r>
              <w:rPr>
                <w:rFonts w:ascii="Calibri" w:hAnsi="Calibri"/>
                <w:color w:val="111827"/>
                <w:sz w:val="18"/>
              </w:rPr>
              <w:t>Quality</w:t>
            </w:r>
          </w:p>
        </w:tc>
        <w:tc>
          <w:tcPr>
            <w:tcW w:type="dxa" w:w="4300"/>
            <w:tcMar>
              <w:top w:w="80" w:type="dxa"/>
              <w:start w:w="120" w:type="dxa"/>
              <w:bottom w:w="80" w:type="dxa"/>
              <w:end w:w="120" w:type="dxa"/>
            </w:tcMar>
            <w:vAlign w:val="center"/>
          </w:tcPr>
          <w:p>
            <w:pPr>
              <w:spacing w:after="0"/>
            </w:pPr>
            <w:r>
              <w:rPr>
                <w:rFonts w:ascii="Calibri" w:hAnsi="Calibri"/>
                <w:color w:val="111827"/>
                <w:sz w:val="18"/>
              </w:rPr>
              <w:t>Test results, quarantined rows, owners, aging, resolution</w:t>
            </w:r>
          </w:p>
        </w:tc>
        <w:tc>
          <w:tcPr>
            <w:tcW w:type="dxa" w:w="3860"/>
            <w:tcMar>
              <w:top w:w="80" w:type="dxa"/>
              <w:start w:w="120" w:type="dxa"/>
              <w:bottom w:w="80" w:type="dxa"/>
              <w:end w:w="120" w:type="dxa"/>
            </w:tcMar>
            <w:vAlign w:val="center"/>
          </w:tcPr>
          <w:p>
            <w:pPr>
              <w:spacing w:after="0"/>
            </w:pPr>
            <w:r>
              <w:rPr>
                <w:rFonts w:ascii="Calibri" w:hAnsi="Calibri"/>
                <w:color w:val="111827"/>
                <w:sz w:val="18"/>
              </w:rPr>
              <w:t>Prevent silent drops and expose material exceptions</w:t>
            </w:r>
          </w:p>
        </w:tc>
      </w:tr>
    </w:tbl>
    <w:p>
      <w:pPr>
        <w:spacing w:after="40"/>
      </w:pPr>
    </w:p>
    <w:p>
      <w:r>
        <w:br w:type="page"/>
      </w:r>
    </w:p>
    <w:p>
      <w:pPr>
        <w:pStyle w:val="Heading1"/>
        <w:keepNext/>
      </w:pPr>
      <w:r>
        <w:t>Data model schema and reporting grains</w:t>
      </w:r>
    </w:p>
    <w:tbl>
      <w:tblPr>
        <w:tblStyle w:val="TableGrid"/>
        <w:tblW w:type="dxa" w:w="9360"/>
        <w:tblLayout w:type="fixed"/>
        <w:tblLook w:firstColumn="1" w:firstRow="1" w:lastColumn="0" w:lastRow="0" w:noHBand="0" w:noVBand="1" w:val="04A0"/>
        <w:jc w:val="left"/>
        <w:tblInd w:w="120" w:type="dxa"/>
      </w:tblPr>
      <w:tblGrid>
        <w:gridCol w:w="3000"/>
        <w:gridCol w:w="2860"/>
        <w:gridCol w:w="3500"/>
      </w:tblGrid>
      <w:tr>
        <w:trPr>
          <w:tblHeader w:val="true"/>
        </w:trPr>
        <w:tc>
          <w:tcPr>
            <w:tcW w:type="dxa" w:w="3000"/>
            <w:tcMar>
              <w:top w:w="80" w:type="dxa"/>
              <w:start w:w="120" w:type="dxa"/>
              <w:bottom w:w="80" w:type="dxa"/>
              <w:end w:w="120" w:type="dxa"/>
            </w:tcMar>
            <w:vAlign w:val="center"/>
            <w:shd w:fill="0B2545"/>
          </w:tcPr>
          <w:p>
            <w:pPr>
              <w:spacing w:after="0"/>
            </w:pPr>
            <w:r>
              <w:rPr>
                <w:rFonts w:ascii="Calibri" w:hAnsi="Calibri"/>
                <w:b/>
                <w:color w:val="FFFFFF"/>
                <w:sz w:val="18"/>
              </w:rPr>
              <w:t>Object</w:t>
            </w:r>
          </w:p>
        </w:tc>
        <w:tc>
          <w:tcPr>
            <w:tcW w:type="dxa" w:w="2860"/>
            <w:tcMar>
              <w:top w:w="80" w:type="dxa"/>
              <w:start w:w="120" w:type="dxa"/>
              <w:bottom w:w="80" w:type="dxa"/>
              <w:end w:w="120" w:type="dxa"/>
            </w:tcMar>
            <w:vAlign w:val="center"/>
            <w:shd w:fill="0B2545"/>
          </w:tcPr>
          <w:p>
            <w:pPr>
              <w:spacing w:after="0"/>
            </w:pPr>
            <w:r>
              <w:rPr>
                <w:rFonts w:ascii="Calibri" w:hAnsi="Calibri"/>
                <w:b/>
                <w:color w:val="FFFFFF"/>
                <w:sz w:val="18"/>
              </w:rPr>
              <w:t>Grain</w:t>
            </w:r>
          </w:p>
        </w:tc>
        <w:tc>
          <w:tcPr>
            <w:tcW w:type="dxa" w:w="3500"/>
            <w:tcMar>
              <w:top w:w="80" w:type="dxa"/>
              <w:start w:w="120" w:type="dxa"/>
              <w:bottom w:w="80" w:type="dxa"/>
              <w:end w:w="120" w:type="dxa"/>
            </w:tcMar>
            <w:vAlign w:val="center"/>
            <w:shd w:fill="0B2545"/>
          </w:tcPr>
          <w:p>
            <w:pPr>
              <w:spacing w:after="0"/>
            </w:pPr>
            <w:r>
              <w:rPr>
                <w:rFonts w:ascii="Calibri" w:hAnsi="Calibri"/>
                <w:b/>
                <w:color w:val="FFFFFF"/>
                <w:sz w:val="18"/>
              </w:rPr>
              <w:t>Key / identity</w:t>
            </w:r>
          </w:p>
        </w:tc>
      </w:tr>
      <w:tr>
        <w:tc>
          <w:tcPr>
            <w:tcW w:type="dxa" w:w="3000"/>
            <w:tcMar>
              <w:top w:w="80" w:type="dxa"/>
              <w:start w:w="120" w:type="dxa"/>
              <w:bottom w:w="80" w:type="dxa"/>
              <w:end w:w="120" w:type="dxa"/>
            </w:tcMar>
            <w:vAlign w:val="center"/>
          </w:tcPr>
          <w:p>
            <w:pPr>
              <w:spacing w:after="0"/>
            </w:pPr>
            <w:r>
              <w:rPr>
                <w:rFonts w:ascii="Calibri" w:hAnsi="Calibri"/>
                <w:color w:val="111827"/>
                <w:sz w:val="18"/>
              </w:rPr>
              <w:t>dim_product</w:t>
            </w:r>
          </w:p>
        </w:tc>
        <w:tc>
          <w:tcPr>
            <w:tcW w:type="dxa" w:w="2860"/>
            <w:tcMar>
              <w:top w:w="80" w:type="dxa"/>
              <w:start w:w="120" w:type="dxa"/>
              <w:bottom w:w="80" w:type="dxa"/>
              <w:end w:w="120" w:type="dxa"/>
            </w:tcMar>
            <w:vAlign w:val="center"/>
          </w:tcPr>
          <w:p>
            <w:pPr>
              <w:spacing w:after="0"/>
            </w:pPr>
            <w:r>
              <w:rPr>
                <w:rFonts w:ascii="Calibri" w:hAnsi="Calibri"/>
                <w:color w:val="111827"/>
                <w:sz w:val="18"/>
              </w:rPr>
              <w:t>One canonical SKU version</w:t>
            </w:r>
          </w:p>
        </w:tc>
        <w:tc>
          <w:tcPr>
            <w:tcW w:type="dxa" w:w="3500"/>
            <w:tcMar>
              <w:top w:w="80" w:type="dxa"/>
              <w:start w:w="120" w:type="dxa"/>
              <w:bottom w:w="80" w:type="dxa"/>
              <w:end w:w="120" w:type="dxa"/>
            </w:tcMar>
            <w:vAlign w:val="center"/>
          </w:tcPr>
          <w:p>
            <w:pPr>
              <w:spacing w:after="0"/>
            </w:pPr>
            <w:r>
              <w:rPr>
                <w:rFonts w:ascii="Calibri" w:hAnsi="Calibri"/>
                <w:color w:val="111827"/>
                <w:sz w:val="18"/>
              </w:rPr>
              <w:t>product_key; canonical SKU + effective dates</w:t>
            </w:r>
          </w:p>
        </w:tc>
      </w:tr>
      <w:tr>
        <w:tc>
          <w:tcPr>
            <w:tcW w:type="dxa" w:w="3000"/>
            <w:shd w:fill="F2F4F7"/>
            <w:tcMar>
              <w:top w:w="80" w:type="dxa"/>
              <w:start w:w="120" w:type="dxa"/>
              <w:bottom w:w="80" w:type="dxa"/>
              <w:end w:w="120" w:type="dxa"/>
            </w:tcMar>
            <w:vAlign w:val="center"/>
          </w:tcPr>
          <w:p>
            <w:pPr>
              <w:spacing w:after="0"/>
            </w:pPr>
            <w:r>
              <w:rPr>
                <w:rFonts w:ascii="Calibri" w:hAnsi="Calibri"/>
                <w:color w:val="111827"/>
                <w:sz w:val="18"/>
              </w:rPr>
              <w:t>bridge_product_identifier</w:t>
            </w:r>
          </w:p>
        </w:tc>
        <w:tc>
          <w:tcPr>
            <w:tcW w:type="dxa" w:w="2860"/>
            <w:shd w:fill="F2F4F7"/>
            <w:tcMar>
              <w:top w:w="80" w:type="dxa"/>
              <w:start w:w="120" w:type="dxa"/>
              <w:bottom w:w="80" w:type="dxa"/>
              <w:end w:w="120" w:type="dxa"/>
            </w:tcMar>
            <w:vAlign w:val="center"/>
          </w:tcPr>
          <w:p>
            <w:pPr>
              <w:spacing w:after="0"/>
            </w:pPr>
            <w:r>
              <w:rPr>
                <w:rFonts w:ascii="Calibri" w:hAnsi="Calibri"/>
                <w:color w:val="111827"/>
                <w:sz w:val="18"/>
              </w:rPr>
              <w:t>Identifier version</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type + value + marketplace + effective dates</w:t>
            </w:r>
          </w:p>
        </w:tc>
      </w:tr>
      <w:tr>
        <w:tc>
          <w:tcPr>
            <w:tcW w:type="dxa" w:w="3000"/>
            <w:tcMar>
              <w:top w:w="80" w:type="dxa"/>
              <w:start w:w="120" w:type="dxa"/>
              <w:bottom w:w="80" w:type="dxa"/>
              <w:end w:w="120" w:type="dxa"/>
            </w:tcMar>
            <w:vAlign w:val="center"/>
          </w:tcPr>
          <w:p>
            <w:pPr>
              <w:spacing w:after="0"/>
            </w:pPr>
            <w:r>
              <w:rPr>
                <w:rFonts w:ascii="Calibri" w:hAnsi="Calibri"/>
                <w:color w:val="111827"/>
                <w:sz w:val="18"/>
              </w:rPr>
              <w:t>dim_brand / dim_vendor / dim_channel</w:t>
            </w:r>
          </w:p>
        </w:tc>
        <w:tc>
          <w:tcPr>
            <w:tcW w:type="dxa" w:w="2860"/>
            <w:tcMar>
              <w:top w:w="80" w:type="dxa"/>
              <w:start w:w="120" w:type="dxa"/>
              <w:bottom w:w="80" w:type="dxa"/>
              <w:end w:w="120" w:type="dxa"/>
            </w:tcMar>
            <w:vAlign w:val="center"/>
          </w:tcPr>
          <w:p>
            <w:pPr>
              <w:spacing w:after="0"/>
            </w:pPr>
            <w:r>
              <w:rPr>
                <w:rFonts w:ascii="Calibri" w:hAnsi="Calibri"/>
                <w:color w:val="111827"/>
                <w:sz w:val="18"/>
              </w:rPr>
              <w:t>One conformed entity</w:t>
            </w:r>
          </w:p>
        </w:tc>
        <w:tc>
          <w:tcPr>
            <w:tcW w:type="dxa" w:w="3500"/>
            <w:tcMar>
              <w:top w:w="80" w:type="dxa"/>
              <w:start w:w="120" w:type="dxa"/>
              <w:bottom w:w="80" w:type="dxa"/>
              <w:end w:w="120" w:type="dxa"/>
            </w:tcMar>
            <w:vAlign w:val="center"/>
          </w:tcPr>
          <w:p>
            <w:pPr>
              <w:spacing w:after="0"/>
            </w:pPr>
            <w:r>
              <w:rPr>
                <w:rFonts w:ascii="Calibri" w:hAnsi="Calibri"/>
                <w:color w:val="111827"/>
                <w:sz w:val="18"/>
              </w:rPr>
              <w:t>Surrogate key + governed natural key</w:t>
            </w:r>
          </w:p>
        </w:tc>
      </w:tr>
      <w:tr>
        <w:tc>
          <w:tcPr>
            <w:tcW w:type="dxa" w:w="3000"/>
            <w:shd w:fill="F2F4F7"/>
            <w:tcMar>
              <w:top w:w="80" w:type="dxa"/>
              <w:start w:w="120" w:type="dxa"/>
              <w:bottom w:w="80" w:type="dxa"/>
              <w:end w:w="120" w:type="dxa"/>
            </w:tcMar>
            <w:vAlign w:val="center"/>
          </w:tcPr>
          <w:p>
            <w:pPr>
              <w:spacing w:after="0"/>
            </w:pPr>
            <w:r>
              <w:rPr>
                <w:rFonts w:ascii="Calibri" w:hAnsi="Calibri"/>
                <w:color w:val="111827"/>
                <w:sz w:val="18"/>
              </w:rPr>
              <w:t>fct_marketplace_transaction</w:t>
            </w:r>
          </w:p>
        </w:tc>
        <w:tc>
          <w:tcPr>
            <w:tcW w:type="dxa" w:w="2860"/>
            <w:shd w:fill="F2F4F7"/>
            <w:tcMar>
              <w:top w:w="80" w:type="dxa"/>
              <w:start w:w="120" w:type="dxa"/>
              <w:bottom w:w="80" w:type="dxa"/>
              <w:end w:w="120" w:type="dxa"/>
            </w:tcMar>
            <w:vAlign w:val="center"/>
          </w:tcPr>
          <w:p>
            <w:pPr>
              <w:spacing w:after="0"/>
            </w:pPr>
            <w:r>
              <w:rPr>
                <w:rFonts w:ascii="Calibri" w:hAnsi="Calibri"/>
                <w:color w:val="111827"/>
                <w:sz w:val="18"/>
              </w:rPr>
              <w:t>One settlement row</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source file + row hash; order/settlement IDs retained</w:t>
            </w:r>
          </w:p>
        </w:tc>
      </w:tr>
      <w:tr>
        <w:tc>
          <w:tcPr>
            <w:tcW w:type="dxa" w:w="3000"/>
            <w:tcMar>
              <w:top w:w="80" w:type="dxa"/>
              <w:start w:w="120" w:type="dxa"/>
              <w:bottom w:w="80" w:type="dxa"/>
              <w:end w:w="120" w:type="dxa"/>
            </w:tcMar>
            <w:vAlign w:val="center"/>
          </w:tcPr>
          <w:p>
            <w:pPr>
              <w:spacing w:after="0"/>
            </w:pPr>
            <w:r>
              <w:rPr>
                <w:rFonts w:ascii="Calibri" w:hAnsi="Calibri"/>
                <w:color w:val="111827"/>
                <w:sz w:val="18"/>
              </w:rPr>
              <w:t>fct_purchase_order_line</w:t>
            </w:r>
          </w:p>
        </w:tc>
        <w:tc>
          <w:tcPr>
            <w:tcW w:type="dxa" w:w="2860"/>
            <w:tcMar>
              <w:top w:w="80" w:type="dxa"/>
              <w:start w:w="120" w:type="dxa"/>
              <w:bottom w:w="80" w:type="dxa"/>
              <w:end w:w="120" w:type="dxa"/>
            </w:tcMar>
            <w:vAlign w:val="center"/>
          </w:tcPr>
          <w:p>
            <w:pPr>
              <w:spacing w:after="0"/>
            </w:pPr>
            <w:r>
              <w:rPr>
                <w:rFonts w:ascii="Calibri" w:hAnsi="Calibri"/>
                <w:color w:val="111827"/>
                <w:sz w:val="18"/>
              </w:rPr>
              <w:t>One PO line/version</w:t>
            </w:r>
          </w:p>
        </w:tc>
        <w:tc>
          <w:tcPr>
            <w:tcW w:type="dxa" w:w="3500"/>
            <w:tcMar>
              <w:top w:w="80" w:type="dxa"/>
              <w:start w:w="120" w:type="dxa"/>
              <w:bottom w:w="80" w:type="dxa"/>
              <w:end w:w="120" w:type="dxa"/>
            </w:tcMar>
            <w:vAlign w:val="center"/>
          </w:tcPr>
          <w:p>
            <w:pPr>
              <w:spacing w:after="0"/>
            </w:pPr>
            <w:r>
              <w:rPr>
                <w:rFonts w:ascii="Calibri" w:hAnsi="Calibri"/>
                <w:color w:val="111827"/>
                <w:sz w:val="18"/>
              </w:rPr>
              <w:t>PO number + line + source update</w:t>
            </w:r>
          </w:p>
        </w:tc>
      </w:tr>
      <w:tr>
        <w:tc>
          <w:tcPr>
            <w:tcW w:type="dxa" w:w="3000"/>
            <w:shd w:fill="F2F4F7"/>
            <w:tcMar>
              <w:top w:w="80" w:type="dxa"/>
              <w:start w:w="120" w:type="dxa"/>
              <w:bottom w:w="80" w:type="dxa"/>
              <w:end w:w="120" w:type="dxa"/>
            </w:tcMar>
            <w:vAlign w:val="center"/>
          </w:tcPr>
          <w:p>
            <w:pPr>
              <w:spacing w:after="0"/>
            </w:pPr>
            <w:r>
              <w:rPr>
                <w:rFonts w:ascii="Calibri" w:hAnsi="Calibri"/>
                <w:color w:val="111827"/>
                <w:sz w:val="18"/>
              </w:rPr>
              <w:t>inventory facts</w:t>
            </w:r>
          </w:p>
        </w:tc>
        <w:tc>
          <w:tcPr>
            <w:tcW w:type="dxa" w:w="2860"/>
            <w:shd w:fill="F2F4F7"/>
            <w:tcMar>
              <w:top w:w="80" w:type="dxa"/>
              <w:start w:w="120" w:type="dxa"/>
              <w:bottom w:w="80" w:type="dxa"/>
              <w:end w:w="120" w:type="dxa"/>
            </w:tcMar>
            <w:vAlign w:val="center"/>
          </w:tcPr>
          <w:p>
            <w:pPr>
              <w:spacing w:after="0"/>
            </w:pPr>
            <w:r>
              <w:rPr>
                <w:rFonts w:ascii="Calibri" w:hAnsi="Calibri"/>
                <w:color w:val="111827"/>
                <w:sz w:val="18"/>
              </w:rPr>
              <w:t>Snapshot by SKU/location/disposition; one receipt event</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snapshot key; receipt/shipment line ID</w:t>
            </w:r>
          </w:p>
        </w:tc>
      </w:tr>
      <w:tr>
        <w:tc>
          <w:tcPr>
            <w:tcW w:type="dxa" w:w="3000"/>
            <w:tcMar>
              <w:top w:w="80" w:type="dxa"/>
              <w:start w:w="120" w:type="dxa"/>
              <w:bottom w:w="80" w:type="dxa"/>
              <w:end w:w="120" w:type="dxa"/>
            </w:tcMar>
            <w:vAlign w:val="center"/>
          </w:tcPr>
          <w:p>
            <w:pPr>
              <w:spacing w:after="0"/>
            </w:pPr>
            <w:r>
              <w:rPr>
                <w:rFonts w:ascii="Calibri" w:hAnsi="Calibri"/>
                <w:color w:val="111827"/>
                <w:sz w:val="18"/>
              </w:rPr>
              <w:t>advertising / GL facts</w:t>
            </w:r>
          </w:p>
        </w:tc>
        <w:tc>
          <w:tcPr>
            <w:tcW w:type="dxa" w:w="2860"/>
            <w:tcMar>
              <w:top w:w="80" w:type="dxa"/>
              <w:start w:w="120" w:type="dxa"/>
              <w:bottom w:w="80" w:type="dxa"/>
              <w:end w:w="120" w:type="dxa"/>
            </w:tcMar>
            <w:vAlign w:val="center"/>
          </w:tcPr>
          <w:p>
            <w:pPr>
              <w:spacing w:after="0"/>
            </w:pPr>
            <w:r>
              <w:rPr>
                <w:rFonts w:ascii="Calibri" w:hAnsi="Calibri"/>
                <w:color w:val="111827"/>
                <w:sz w:val="18"/>
              </w:rPr>
              <w:t>Campaign/ad group/SKU cost; one QuickBooks journal line</w:t>
            </w:r>
          </w:p>
        </w:tc>
        <w:tc>
          <w:tcPr>
            <w:tcW w:type="dxa" w:w="3500"/>
            <w:tcMar>
              <w:top w:w="80" w:type="dxa"/>
              <w:start w:w="120" w:type="dxa"/>
              <w:bottom w:w="80" w:type="dxa"/>
              <w:end w:w="120" w:type="dxa"/>
            </w:tcMar>
            <w:vAlign w:val="center"/>
          </w:tcPr>
          <w:p>
            <w:pPr>
              <w:spacing w:after="0"/>
            </w:pPr>
            <w:r>
              <w:rPr>
                <w:rFonts w:ascii="Calibri" w:hAnsi="Calibri"/>
                <w:color w:val="111827"/>
                <w:sz w:val="18"/>
              </w:rPr>
              <w:t>advertising ID; transaction + line ID</w:t>
            </w:r>
          </w:p>
        </w:tc>
      </w:tr>
      <w:tr>
        <w:tc>
          <w:tcPr>
            <w:tcW w:type="dxa" w:w="3000"/>
            <w:shd w:fill="F2F4F7"/>
            <w:tcMar>
              <w:top w:w="80" w:type="dxa"/>
              <w:start w:w="120" w:type="dxa"/>
              <w:bottom w:w="80" w:type="dxa"/>
              <w:end w:w="120" w:type="dxa"/>
            </w:tcMar>
            <w:vAlign w:val="center"/>
          </w:tcPr>
          <w:p>
            <w:pPr>
              <w:spacing w:after="0"/>
            </w:pPr>
            <w:r>
              <w:rPr>
                <w:rFonts w:ascii="Calibri" w:hAnsi="Calibri"/>
                <w:color w:val="111827"/>
                <w:sz w:val="18"/>
              </w:rPr>
              <w:t>finance marts</w:t>
            </w:r>
          </w:p>
        </w:tc>
        <w:tc>
          <w:tcPr>
            <w:tcW w:type="dxa" w:w="2860"/>
            <w:shd w:fill="F2F4F7"/>
            <w:tcMar>
              <w:top w:w="80" w:type="dxa"/>
              <w:start w:w="120" w:type="dxa"/>
              <w:bottom w:w="80" w:type="dxa"/>
              <w:end w:w="120" w:type="dxa"/>
            </w:tcMar>
            <w:vAlign w:val="center"/>
          </w:tcPr>
          <w:p>
            <w:pPr>
              <w:spacing w:after="0"/>
            </w:pPr>
            <w:r>
              <w:rPr>
                <w:rFonts w:ascii="Calibri" w:hAnsi="Calibri"/>
                <w:color w:val="111827"/>
                <w:sz w:val="18"/>
              </w:rPr>
              <w:t>Daily SKU profitability; daily SKU/location inventory health</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reporting composite keys</w:t>
            </w:r>
          </w:p>
        </w:tc>
      </w:tr>
    </w:tbl>
    <w:p>
      <w:pPr>
        <w:spacing w:after="40"/>
      </w:pPr>
    </w:p>
    <w:p>
      <w:pPr>
        <w:pStyle w:val="Heading2"/>
        <w:keepNext/>
      </w:pPr>
      <w:r>
        <w:t>Identifier and cost rules</w:t>
      </w:r>
    </w:p>
    <w:p>
      <w:pPr>
        <w:spacing w:after="120" w:line="264" w:lineRule="auto"/>
      </w:pPr>
      <w:r>
        <w:rPr>
          <w:rFonts w:ascii="Calibri" w:hAnsi="Calibri"/>
          <w:b/>
          <w:color w:val="111827"/>
        </w:rPr>
        <w:t xml:space="preserve">Product identity. </w:t>
      </w:r>
      <w:r>
        <w:rPr>
          <w:rFonts w:ascii="Calibri" w:hAnsi="Calibri"/>
          <w:color w:val="111827"/>
        </w:rPr>
        <w:t>Use the supplied SKU mapping as authoritative. Resolve alternate SKUs and ASINs through an effective-dated identifier bridge; do not rewrite historical facts. Prefix inference (GT, PF, PH) is a monitored fallback only. The actual Peak Fuel prefix in the files is PF, not PK.</w:t>
      </w:r>
    </w:p>
    <w:p>
      <w:pPr>
        <w:spacing w:after="120" w:line="264" w:lineRule="auto"/>
      </w:pPr>
      <w:r>
        <w:rPr>
          <w:rFonts w:ascii="Calibri" w:hAnsi="Calibri"/>
          <w:b/>
          <w:color w:val="111827"/>
        </w:rPr>
        <w:t xml:space="preserve">Units of measure. </w:t>
      </w:r>
      <w:r>
        <w:rPr>
          <w:rFonts w:ascii="Calibri" w:hAnsi="Calibri"/>
          <w:color w:val="111827"/>
        </w:rPr>
        <w:t>Store purchasing UOM and sellable UOM separately. PH-DENTAL-30CT is ordered as cases of 12, so 99 PO cases become 1,188 sellable units before landed unit cost is calculated.</w:t>
      </w:r>
    </w:p>
    <w:p>
      <w:pPr>
        <w:spacing w:after="120" w:line="264" w:lineRule="auto"/>
      </w:pPr>
      <w:r>
        <w:rPr>
          <w:rFonts w:ascii="Calibri" w:hAnsi="Calibri"/>
          <w:b/>
          <w:color w:val="111827"/>
        </w:rPr>
        <w:t xml:space="preserve">Costing. </w:t>
      </w:r>
      <w:r>
        <w:rPr>
          <w:rFonts w:ascii="Calibri" w:hAnsi="Calibri"/>
          <w:color w:val="111827"/>
        </w:rPr>
        <w:t>Use receipt-date cost layers or perpetual weighted average when receipt data exists. For this assessment, quarter-wide weighted PO landed cost is the least speculative method because opening inventory layers and receiving dates are absent.</w:t>
      </w:r>
    </w:p>
    <w:p>
      <w:pPr>
        <w:pStyle w:val="Heading2"/>
        <w:keepNext/>
      </w:pPr>
      <w:r>
        <w:t>Data quality as an operating process</w:t>
      </w:r>
    </w:p>
    <w:p>
      <w:pPr>
        <w:spacing w:after="60" w:line="264" w:lineRule="auto"/>
      </w:pPr>
      <w:r>
        <w:rPr>
          <w:rFonts w:ascii="Calibri" w:hAnsi="Calibri"/>
          <w:b/>
          <w:color w:val="111827"/>
        </w:rPr>
        <w:t xml:space="preserve">Contract. </w:t>
      </w:r>
      <w:r>
        <w:rPr>
          <w:rFonts w:ascii="Calibri" w:hAnsi="Calibri"/>
          <w:color w:val="111827"/>
        </w:rPr>
        <w:t>Test schema, types, accepted values, date coverage, and freshness at ingestion.</w:t>
      </w:r>
    </w:p>
    <w:p>
      <w:pPr>
        <w:spacing w:after="60" w:line="264" w:lineRule="auto"/>
      </w:pPr>
      <w:r>
        <w:rPr>
          <w:rFonts w:ascii="Calibri" w:hAnsi="Calibri"/>
          <w:b/>
          <w:color w:val="111827"/>
        </w:rPr>
        <w:t xml:space="preserve">Identity. </w:t>
      </w:r>
      <w:r>
        <w:rPr>
          <w:rFonts w:ascii="Calibri" w:hAnsi="Calibri"/>
          <w:color w:val="111827"/>
        </w:rPr>
        <w:t>Require each sold identifier to resolve to exactly one product; quarantine ASIN collisions.</w:t>
      </w:r>
    </w:p>
    <w:p>
      <w:pPr>
        <w:spacing w:after="60" w:line="264" w:lineRule="auto"/>
      </w:pPr>
      <w:r>
        <w:rPr>
          <w:rFonts w:ascii="Calibri" w:hAnsi="Calibri"/>
          <w:b/>
          <w:color w:val="111827"/>
        </w:rPr>
        <w:t xml:space="preserve">Finance. </w:t>
      </w:r>
      <w:r>
        <w:rPr>
          <w:rFonts w:ascii="Calibri" w:hAnsi="Calibri"/>
          <w:color w:val="111827"/>
        </w:rPr>
        <w:t>Reconcile settlement components to total, PO line math, marts to staging, and marketplace cash to QuickBooks.</w:t>
      </w:r>
    </w:p>
    <w:p>
      <w:pPr>
        <w:spacing w:after="60" w:line="264" w:lineRule="auto"/>
      </w:pPr>
      <w:r>
        <w:rPr>
          <w:rFonts w:ascii="Calibri" w:hAnsi="Calibri"/>
          <w:b/>
          <w:color w:val="111827"/>
        </w:rPr>
        <w:t xml:space="preserve">Completeness. </w:t>
      </w:r>
      <w:r>
        <w:rPr>
          <w:rFonts w:ascii="Calibri" w:hAnsi="Calibri"/>
          <w:color w:val="111827"/>
        </w:rPr>
        <w:t>Require product and cost coverage; classify unallocated charges but never silently drop them.</w:t>
      </w:r>
    </w:p>
    <w:p>
      <w:pPr>
        <w:spacing w:after="60" w:line="264" w:lineRule="auto"/>
      </w:pPr>
      <w:r>
        <w:rPr>
          <w:rFonts w:ascii="Calibri" w:hAnsi="Calibri"/>
          <w:b/>
          <w:color w:val="111827"/>
        </w:rPr>
        <w:t xml:space="preserve">Ownership. </w:t>
      </w:r>
      <w:r>
        <w:rPr>
          <w:rFonts w:ascii="Calibri" w:hAnsi="Calibri"/>
          <w:color w:val="111827"/>
        </w:rPr>
        <w:t>Write failures to an exception table with severity, source row, first seen, owner, status, and resolution.</w:t>
      </w:r>
    </w:p>
    <w:p>
      <w:pPr>
        <w:pStyle w:val="Heading1"/>
        <w:keepNext/>
        <w:pageBreakBefore/>
      </w:pPr>
      <w:r>
        <w:t>2. Profitability analysis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B"/>
          </w:tcPr>
          <w:p>
            <w:pPr>
              <w:spacing w:after="0"/>
            </w:pPr>
            <w:r>
              <w:rPr>
                <w:rFonts w:ascii="Calibri" w:hAnsi="Calibri"/>
                <w:b/>
                <w:color w:val="0B2545"/>
              </w:rPr>
              <w:t xml:space="preserve">Definition: </w:t>
            </w:r>
            <w:r>
              <w:rPr>
                <w:rFonts w:ascii="Calibri" w:hAnsi="Calibri"/>
                <w:color w:val="0B2545"/>
              </w:rPr>
              <w:t>CM1 = product sales net of refunds - promotional deductions - referral fees - FBA fulfillment fees - landed COGS.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6960"/>
        <w:gridCol w:w="2400"/>
      </w:tblGrid>
      <w:tr>
        <w:trPr>
          <w:tblHeader w:val="true"/>
        </w:trPr>
        <w:tc>
          <w:tcPr>
            <w:tcW w:type="dxa" w:w="6960"/>
            <w:tcMar>
              <w:top w:w="80" w:type="dxa"/>
              <w:start w:w="120" w:type="dxa"/>
              <w:bottom w:w="80" w:type="dxa"/>
              <w:end w:w="120" w:type="dxa"/>
            </w:tcMar>
            <w:vAlign w:val="center"/>
            <w:shd w:fill="0B2545"/>
          </w:tcPr>
          <w:p>
            <w:pPr>
              <w:spacing w:after="0"/>
            </w:pPr>
            <w:r>
              <w:rPr>
                <w:rFonts w:ascii="Calibri" w:hAnsi="Calibri"/>
                <w:b/>
                <w:color w:val="FFFFFF"/>
                <w:sz w:val="18"/>
              </w:rPr>
              <w:t>Profit bridge</w:t>
            </w:r>
          </w:p>
        </w:tc>
        <w:tc>
          <w:tcPr>
            <w:tcW w:type="dxa" w:w="2400"/>
            <w:tcMar>
              <w:top w:w="80" w:type="dxa"/>
              <w:start w:w="120" w:type="dxa"/>
              <w:bottom w:w="80" w:type="dxa"/>
              <w:end w:w="120" w:type="dxa"/>
            </w:tcMar>
            <w:vAlign w:val="center"/>
            <w:shd w:fill="0B2545"/>
          </w:tcPr>
          <w:p>
            <w:pPr>
              <w:spacing w:after="0"/>
              <w:jc w:val="right"/>
            </w:pPr>
            <w:r>
              <w:rPr>
                <w:rFonts w:ascii="Calibri" w:hAnsi="Calibri"/>
                <w:b/>
                <w:color w:val="FFFFFF"/>
                <w:sz w:val="18"/>
              </w:rPr>
              <w:t>Q2 2026</w:t>
            </w:r>
          </w:p>
        </w:tc>
      </w:tr>
      <w:tr>
        <w:tc>
          <w:tcPr>
            <w:tcW w:type="dxa" w:w="6960"/>
            <w:tcMar>
              <w:top w:w="80" w:type="dxa"/>
              <w:start w:w="120" w:type="dxa"/>
              <w:bottom w:w="80" w:type="dxa"/>
              <w:end w:w="120" w:type="dxa"/>
            </w:tcMar>
            <w:vAlign w:val="center"/>
          </w:tcPr>
          <w:p>
            <w:pPr>
              <w:spacing w:after="0"/>
            </w:pPr>
            <w:r>
              <w:rPr>
                <w:rFonts w:ascii="Calibri" w:hAnsi="Calibri"/>
                <w:color w:val="111827"/>
                <w:sz w:val="18"/>
              </w:rPr>
              <w:t>Gross product sales, net of refunds</w:t>
            </w:r>
          </w:p>
        </w:tc>
        <w:tc>
          <w:tcPr>
            <w:tcW w:type="dxa" w:w="2400"/>
            <w:tcMar>
              <w:top w:w="80" w:type="dxa"/>
              <w:start w:w="120" w:type="dxa"/>
              <w:bottom w:w="80" w:type="dxa"/>
              <w:end w:w="120" w:type="dxa"/>
            </w:tcMar>
            <w:vAlign w:val="center"/>
          </w:tcPr>
          <w:p>
            <w:pPr>
              <w:spacing w:after="0"/>
              <w:jc w:val="right"/>
            </w:pPr>
            <w:r>
              <w:rPr>
                <w:rFonts w:ascii="Calibri" w:hAnsi="Calibri"/>
                <w:color w:val="111827"/>
                <w:sz w:val="18"/>
              </w:rPr>
              <w:t>$135,812</w:t>
            </w:r>
          </w:p>
        </w:tc>
      </w:tr>
      <w:tr>
        <w:tc>
          <w:tcPr>
            <w:tcW w:type="dxa" w:w="6960"/>
            <w:shd w:fill="F2F4F7"/>
            <w:tcMar>
              <w:top w:w="80" w:type="dxa"/>
              <w:start w:w="120" w:type="dxa"/>
              <w:bottom w:w="80" w:type="dxa"/>
              <w:end w:w="120" w:type="dxa"/>
            </w:tcMar>
            <w:vAlign w:val="center"/>
          </w:tcPr>
          <w:p>
            <w:pPr>
              <w:spacing w:after="0"/>
            </w:pPr>
            <w:r>
              <w:rPr>
                <w:rFonts w:ascii="Calibri" w:hAnsi="Calibri"/>
                <w:color w:val="111827"/>
                <w:sz w:val="18"/>
              </w:rPr>
              <w:t>Promotional deductions, net of reversals</w:t>
            </w:r>
          </w:p>
        </w:tc>
        <w:tc>
          <w:tcPr>
            <w:tcW w:type="dxa" w:w="2400"/>
            <w:shd w:fill="F2F4F7"/>
            <w:tcMar>
              <w:top w:w="80" w:type="dxa"/>
              <w:start w:w="120" w:type="dxa"/>
              <w:bottom w:w="80" w:type="dxa"/>
              <w:end w:w="120" w:type="dxa"/>
            </w:tcMar>
            <w:vAlign w:val="center"/>
          </w:tcPr>
          <w:p>
            <w:pPr>
              <w:spacing w:after="0"/>
              <w:jc w:val="right"/>
            </w:pPr>
            <w:r>
              <w:rPr>
                <w:rFonts w:ascii="Calibri" w:hAnsi="Calibri"/>
                <w:color w:val="111827"/>
                <w:sz w:val="18"/>
              </w:rPr>
              <w:t>($3,470)</w:t>
            </w:r>
          </w:p>
        </w:tc>
      </w:tr>
      <w:tr>
        <w:tc>
          <w:tcPr>
            <w:tcW w:type="dxa" w:w="6960"/>
            <w:tcMar>
              <w:top w:w="80" w:type="dxa"/>
              <w:start w:w="120" w:type="dxa"/>
              <w:bottom w:w="80" w:type="dxa"/>
              <w:end w:w="120" w:type="dxa"/>
            </w:tcMar>
            <w:vAlign w:val="center"/>
          </w:tcPr>
          <w:p>
            <w:pPr>
              <w:spacing w:after="0"/>
            </w:pPr>
            <w:r>
              <w:rPr>
                <w:rFonts w:ascii="Calibri" w:hAnsi="Calibri"/>
                <w:color w:val="111827"/>
                <w:sz w:val="18"/>
              </w:rPr>
              <w:t>Net sales after promotions</w:t>
            </w:r>
          </w:p>
        </w:tc>
        <w:tc>
          <w:tcPr>
            <w:tcW w:type="dxa" w:w="2400"/>
            <w:tcMar>
              <w:top w:w="80" w:type="dxa"/>
              <w:start w:w="120" w:type="dxa"/>
              <w:bottom w:w="80" w:type="dxa"/>
              <w:end w:w="120" w:type="dxa"/>
            </w:tcMar>
            <w:vAlign w:val="center"/>
          </w:tcPr>
          <w:p>
            <w:pPr>
              <w:spacing w:after="0"/>
              <w:jc w:val="right"/>
            </w:pPr>
            <w:r>
              <w:rPr>
                <w:rFonts w:ascii="Calibri" w:hAnsi="Calibri"/>
                <w:color w:val="111827"/>
                <w:sz w:val="18"/>
              </w:rPr>
              <w:t>$132,342</w:t>
            </w:r>
          </w:p>
        </w:tc>
      </w:tr>
      <w:tr>
        <w:tc>
          <w:tcPr>
            <w:tcW w:type="dxa" w:w="6960"/>
            <w:shd w:fill="F2F4F7"/>
            <w:tcMar>
              <w:top w:w="80" w:type="dxa"/>
              <w:start w:w="120" w:type="dxa"/>
              <w:bottom w:w="80" w:type="dxa"/>
              <w:end w:w="120" w:type="dxa"/>
            </w:tcMar>
            <w:vAlign w:val="center"/>
          </w:tcPr>
          <w:p>
            <w:pPr>
              <w:spacing w:after="0"/>
            </w:pPr>
            <w:r>
              <w:rPr>
                <w:rFonts w:ascii="Calibri" w:hAnsi="Calibri"/>
                <w:color w:val="111827"/>
                <w:sz w:val="18"/>
              </w:rPr>
              <w:t>Referral fees</w:t>
            </w:r>
          </w:p>
        </w:tc>
        <w:tc>
          <w:tcPr>
            <w:tcW w:type="dxa" w:w="2400"/>
            <w:shd w:fill="F2F4F7"/>
            <w:tcMar>
              <w:top w:w="80" w:type="dxa"/>
              <w:start w:w="120" w:type="dxa"/>
              <w:bottom w:w="80" w:type="dxa"/>
              <w:end w:w="120" w:type="dxa"/>
            </w:tcMar>
            <w:vAlign w:val="center"/>
          </w:tcPr>
          <w:p>
            <w:pPr>
              <w:spacing w:after="0"/>
              <w:jc w:val="right"/>
            </w:pPr>
            <w:r>
              <w:rPr>
                <w:rFonts w:ascii="Calibri" w:hAnsi="Calibri"/>
                <w:color w:val="111827"/>
                <w:sz w:val="18"/>
              </w:rPr>
              <w:t>($19,997)</w:t>
            </w:r>
          </w:p>
        </w:tc>
      </w:tr>
      <w:tr>
        <w:tc>
          <w:tcPr>
            <w:tcW w:type="dxa" w:w="6960"/>
            <w:tcMar>
              <w:top w:w="80" w:type="dxa"/>
              <w:start w:w="120" w:type="dxa"/>
              <w:bottom w:w="80" w:type="dxa"/>
              <w:end w:w="120" w:type="dxa"/>
            </w:tcMar>
            <w:vAlign w:val="center"/>
          </w:tcPr>
          <w:p>
            <w:pPr>
              <w:spacing w:after="0"/>
            </w:pPr>
            <w:r>
              <w:rPr>
                <w:rFonts w:ascii="Calibri" w:hAnsi="Calibri"/>
                <w:color w:val="111827"/>
                <w:sz w:val="18"/>
              </w:rPr>
              <w:t>FBA fulfillment fees</w:t>
            </w:r>
          </w:p>
        </w:tc>
        <w:tc>
          <w:tcPr>
            <w:tcW w:type="dxa" w:w="2400"/>
            <w:tcMar>
              <w:top w:w="80" w:type="dxa"/>
              <w:start w:w="120" w:type="dxa"/>
              <w:bottom w:w="80" w:type="dxa"/>
              <w:end w:w="120" w:type="dxa"/>
            </w:tcMar>
            <w:vAlign w:val="center"/>
          </w:tcPr>
          <w:p>
            <w:pPr>
              <w:spacing w:after="0"/>
              <w:jc w:val="right"/>
            </w:pPr>
            <w:r>
              <w:rPr>
                <w:rFonts w:ascii="Calibri" w:hAnsi="Calibri"/>
                <w:color w:val="111827"/>
                <w:sz w:val="18"/>
              </w:rPr>
              <w:t>($23,395)</w:t>
            </w:r>
          </w:p>
        </w:tc>
      </w:tr>
      <w:tr>
        <w:tc>
          <w:tcPr>
            <w:tcW w:type="dxa" w:w="6960"/>
            <w:shd w:fill="F2F4F7"/>
            <w:tcMar>
              <w:top w:w="80" w:type="dxa"/>
              <w:start w:w="120" w:type="dxa"/>
              <w:bottom w:w="80" w:type="dxa"/>
              <w:end w:w="120" w:type="dxa"/>
            </w:tcMar>
            <w:vAlign w:val="center"/>
          </w:tcPr>
          <w:p>
            <w:pPr>
              <w:spacing w:after="0"/>
            </w:pPr>
            <w:r>
              <w:rPr>
                <w:rFonts w:ascii="Calibri" w:hAnsi="Calibri"/>
                <w:color w:val="111827"/>
                <w:sz w:val="18"/>
              </w:rPr>
              <w:t>Landed COGS</w:t>
            </w:r>
          </w:p>
        </w:tc>
        <w:tc>
          <w:tcPr>
            <w:tcW w:type="dxa" w:w="2400"/>
            <w:shd w:fill="F2F4F7"/>
            <w:tcMar>
              <w:top w:w="80" w:type="dxa"/>
              <w:start w:w="120" w:type="dxa"/>
              <w:bottom w:w="80" w:type="dxa"/>
              <w:end w:w="120" w:type="dxa"/>
            </w:tcMar>
            <w:vAlign w:val="center"/>
          </w:tcPr>
          <w:p>
            <w:pPr>
              <w:spacing w:after="0"/>
              <w:jc w:val="right"/>
            </w:pPr>
            <w:r>
              <w:rPr>
                <w:rFonts w:ascii="Calibri" w:hAnsi="Calibri"/>
                <w:color w:val="111827"/>
                <w:sz w:val="18"/>
              </w:rPr>
              <w:t>($37,707)</w:t>
            </w:r>
          </w:p>
        </w:tc>
      </w:tr>
      <w:tr>
        <w:tc>
          <w:tcPr>
            <w:tcW w:type="dxa" w:w="6960"/>
            <w:tcMar>
              <w:top w:w="80" w:type="dxa"/>
              <w:start w:w="120" w:type="dxa"/>
              <w:bottom w:w="80" w:type="dxa"/>
              <w:end w:w="120" w:type="dxa"/>
            </w:tcMar>
            <w:vAlign w:val="center"/>
          </w:tcPr>
          <w:p>
            <w:pPr>
              <w:spacing w:after="0"/>
            </w:pPr>
            <w:r>
              <w:rPr>
                <w:rFonts w:ascii="Calibri" w:hAnsi="Calibri"/>
                <w:color w:val="111827"/>
                <w:sz w:val="18"/>
              </w:rPr>
              <w:t>Contribution margin (CM1)</w:t>
            </w:r>
          </w:p>
        </w:tc>
        <w:tc>
          <w:tcPr>
            <w:tcW w:type="dxa" w:w="2400"/>
            <w:tcMar>
              <w:top w:w="80" w:type="dxa"/>
              <w:start w:w="120" w:type="dxa"/>
              <w:bottom w:w="80" w:type="dxa"/>
              <w:end w:w="120" w:type="dxa"/>
            </w:tcMar>
            <w:vAlign w:val="center"/>
          </w:tcPr>
          <w:p>
            <w:pPr>
              <w:spacing w:after="0"/>
              <w:jc w:val="right"/>
            </w:pPr>
            <w:r>
              <w:rPr>
                <w:rFonts w:ascii="Calibri" w:hAnsi="Calibri"/>
                <w:color w:val="111827"/>
                <w:sz w:val="18"/>
              </w:rPr>
              <w:t>$51,243</w:t>
            </w:r>
          </w:p>
        </w:tc>
      </w:tr>
      <w:tr>
        <w:tc>
          <w:tcPr>
            <w:tcW w:type="dxa" w:w="6960"/>
            <w:shd w:fill="F2F4F7"/>
            <w:tcMar>
              <w:top w:w="80" w:type="dxa"/>
              <w:start w:w="120" w:type="dxa"/>
              <w:bottom w:w="80" w:type="dxa"/>
              <w:end w:w="120" w:type="dxa"/>
            </w:tcMar>
            <w:vAlign w:val="center"/>
          </w:tcPr>
          <w:p>
            <w:pPr>
              <w:spacing w:after="0"/>
            </w:pPr>
            <w:r>
              <w:rPr>
                <w:rFonts w:ascii="Calibri" w:hAnsi="Calibri"/>
                <w:color w:val="111827"/>
                <w:sz w:val="18"/>
              </w:rPr>
              <w:t>Advertising cost</w:t>
            </w:r>
          </w:p>
        </w:tc>
        <w:tc>
          <w:tcPr>
            <w:tcW w:type="dxa" w:w="2400"/>
            <w:shd w:fill="F2F4F7"/>
            <w:tcMar>
              <w:top w:w="80" w:type="dxa"/>
              <w:start w:w="120" w:type="dxa"/>
              <w:bottom w:w="80" w:type="dxa"/>
              <w:end w:w="120" w:type="dxa"/>
            </w:tcMar>
            <w:vAlign w:val="center"/>
          </w:tcPr>
          <w:p>
            <w:pPr>
              <w:spacing w:after="0"/>
              <w:jc w:val="right"/>
            </w:pPr>
            <w:r>
              <w:rPr>
                <w:rFonts w:ascii="Calibri" w:hAnsi="Calibri"/>
                <w:color w:val="111827"/>
                <w:sz w:val="18"/>
              </w:rPr>
              <w:t>($50,576)</w:t>
            </w:r>
          </w:p>
        </w:tc>
      </w:tr>
      <w:tr>
        <w:tc>
          <w:tcPr>
            <w:tcW w:type="dxa" w:w="6960"/>
            <w:tcMar>
              <w:top w:w="80" w:type="dxa"/>
              <w:start w:w="120" w:type="dxa"/>
              <w:bottom w:w="80" w:type="dxa"/>
              <w:end w:w="120" w:type="dxa"/>
            </w:tcMar>
            <w:vAlign w:val="center"/>
          </w:tcPr>
          <w:p>
            <w:pPr>
              <w:spacing w:after="0"/>
            </w:pPr>
            <w:r>
              <w:rPr>
                <w:rFonts w:ascii="Calibri" w:hAnsi="Calibri"/>
                <w:color w:val="111827"/>
                <w:sz w:val="18"/>
              </w:rPr>
              <w:t>FBA storage fee</w:t>
            </w:r>
          </w:p>
        </w:tc>
        <w:tc>
          <w:tcPr>
            <w:tcW w:type="dxa" w:w="2400"/>
            <w:tcMar>
              <w:top w:w="80" w:type="dxa"/>
              <w:start w:w="120" w:type="dxa"/>
              <w:bottom w:w="80" w:type="dxa"/>
              <w:end w:w="120" w:type="dxa"/>
            </w:tcMar>
            <w:vAlign w:val="center"/>
          </w:tcPr>
          <w:p>
            <w:pPr>
              <w:spacing w:after="0"/>
              <w:jc w:val="right"/>
            </w:pPr>
            <w:r>
              <w:rPr>
                <w:rFonts w:ascii="Calibri" w:hAnsi="Calibri"/>
                <w:color w:val="111827"/>
                <w:sz w:val="18"/>
              </w:rPr>
              <w:t>($6,119)</w:t>
            </w:r>
          </w:p>
        </w:tc>
      </w:tr>
      <w:tr>
        <w:tc>
          <w:tcPr>
            <w:tcW w:type="dxa" w:w="6960"/>
            <w:shd w:fill="F2F4F7"/>
            <w:tcMar>
              <w:top w:w="80" w:type="dxa"/>
              <w:start w:w="120" w:type="dxa"/>
              <w:bottom w:w="80" w:type="dxa"/>
              <w:end w:w="120" w:type="dxa"/>
            </w:tcMar>
            <w:vAlign w:val="center"/>
          </w:tcPr>
          <w:p>
            <w:pPr>
              <w:spacing w:after="0"/>
            </w:pPr>
            <w:r>
              <w:rPr>
                <w:rFonts w:ascii="Calibri" w:hAnsi="Calibri"/>
                <w:color w:val="111827"/>
                <w:sz w:val="18"/>
              </w:rPr>
              <w:t>Subscription fee</w:t>
            </w:r>
          </w:p>
        </w:tc>
        <w:tc>
          <w:tcPr>
            <w:tcW w:type="dxa" w:w="2400"/>
            <w:shd w:fill="F2F4F7"/>
            <w:tcMar>
              <w:top w:w="80" w:type="dxa"/>
              <w:start w:w="120" w:type="dxa"/>
              <w:bottom w:w="80" w:type="dxa"/>
              <w:end w:w="120" w:type="dxa"/>
            </w:tcMar>
            <w:vAlign w:val="center"/>
          </w:tcPr>
          <w:p>
            <w:pPr>
              <w:spacing w:after="0"/>
              <w:jc w:val="right"/>
            </w:pPr>
            <w:r>
              <w:rPr>
                <w:rFonts w:ascii="Calibri" w:hAnsi="Calibri"/>
                <w:color w:val="111827"/>
                <w:sz w:val="18"/>
              </w:rPr>
              <w:t>($120)</w:t>
            </w:r>
          </w:p>
        </w:tc>
      </w:tr>
      <w:tr>
        <w:tc>
          <w:tcPr>
            <w:tcW w:type="dxa" w:w="6960"/>
            <w:tcMar>
              <w:top w:w="80" w:type="dxa"/>
              <w:start w:w="120" w:type="dxa"/>
              <w:bottom w:w="80" w:type="dxa"/>
              <w:end w:w="120" w:type="dxa"/>
            </w:tcMar>
            <w:vAlign w:val="center"/>
          </w:tcPr>
          <w:p>
            <w:pPr>
              <w:spacing w:after="0"/>
            </w:pPr>
            <w:r>
              <w:rPr>
                <w:rFonts w:ascii="Calibri" w:hAnsi="Calibri"/>
                <w:color w:val="111827"/>
                <w:sz w:val="18"/>
              </w:rPr>
              <w:t>Adjustments / other income</w:t>
            </w:r>
          </w:p>
        </w:tc>
        <w:tc>
          <w:tcPr>
            <w:tcW w:type="dxa" w:w="2400"/>
            <w:tcMar>
              <w:top w:w="80" w:type="dxa"/>
              <w:start w:w="120" w:type="dxa"/>
              <w:bottom w:w="80" w:type="dxa"/>
              <w:end w:w="120" w:type="dxa"/>
            </w:tcMar>
            <w:vAlign w:val="center"/>
          </w:tcPr>
          <w:p>
            <w:pPr>
              <w:spacing w:after="0"/>
              <w:jc w:val="right"/>
            </w:pPr>
            <w:r>
              <w:rPr>
                <w:rFonts w:ascii="Calibri" w:hAnsi="Calibri"/>
                <w:color w:val="111827"/>
                <w:sz w:val="18"/>
              </w:rPr>
              <w:t>$89</w:t>
            </w:r>
          </w:p>
        </w:tc>
      </w:tr>
      <w:tr>
        <w:tc>
          <w:tcPr>
            <w:tcW w:type="dxa" w:w="6960"/>
            <w:shd w:fill="F2F4F7"/>
            <w:tcMar>
              <w:top w:w="80" w:type="dxa"/>
              <w:start w:w="120" w:type="dxa"/>
              <w:bottom w:w="80" w:type="dxa"/>
              <w:end w:w="120" w:type="dxa"/>
            </w:tcMar>
            <w:vAlign w:val="center"/>
          </w:tcPr>
          <w:p>
            <w:pPr>
              <w:spacing w:after="0"/>
            </w:pPr>
            <w:r>
              <w:rPr>
                <w:rFonts w:ascii="Calibri" w:hAnsi="Calibri"/>
                <w:color w:val="111827"/>
                <w:sz w:val="18"/>
              </w:rPr>
              <w:t>Profit after platform overhead</w:t>
            </w:r>
          </w:p>
        </w:tc>
        <w:tc>
          <w:tcPr>
            <w:tcW w:type="dxa" w:w="2400"/>
            <w:shd w:fill="F2F4F7"/>
            <w:tcMar>
              <w:top w:w="80" w:type="dxa"/>
              <w:start w:w="120" w:type="dxa"/>
              <w:bottom w:w="80" w:type="dxa"/>
              <w:end w:w="120" w:type="dxa"/>
            </w:tcMar>
            <w:vAlign w:val="center"/>
          </w:tcPr>
          <w:p>
            <w:pPr>
              <w:spacing w:after="0"/>
              <w:jc w:val="right"/>
            </w:pPr>
            <w:r>
              <w:rPr>
                <w:rFonts w:ascii="Calibri" w:hAnsi="Calibri"/>
                <w:color w:val="111827"/>
                <w:sz w:val="18"/>
              </w:rPr>
              <w:t>($5,483)</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400"/>
        <w:gridCol w:w="1740"/>
        <w:gridCol w:w="1740"/>
        <w:gridCol w:w="1740"/>
        <w:gridCol w:w="1740"/>
      </w:tblGrid>
      <w:tr>
        <w:trPr>
          <w:tblHeader w:val="true"/>
        </w:trPr>
        <w:tc>
          <w:tcPr>
            <w:tcW w:type="dxa" w:w="2400"/>
            <w:tcMar>
              <w:top w:w="80" w:type="dxa"/>
              <w:start w:w="120" w:type="dxa"/>
              <w:bottom w:w="80" w:type="dxa"/>
              <w:end w:w="120" w:type="dxa"/>
            </w:tcMar>
            <w:vAlign w:val="center"/>
            <w:shd w:fill="0B2545"/>
          </w:tcPr>
          <w:p>
            <w:pPr>
              <w:spacing w:after="0"/>
            </w:pPr>
            <w:r>
              <w:rPr>
                <w:rFonts w:ascii="Calibri" w:hAnsi="Calibri"/>
                <w:b/>
                <w:color w:val="FFFFFF"/>
                <w:sz w:val="18"/>
              </w:rPr>
              <w:t>Brand</w:t>
            </w:r>
          </w:p>
        </w:tc>
        <w:tc>
          <w:tcPr>
            <w:tcW w:type="dxa" w:w="1740"/>
            <w:tcMar>
              <w:top w:w="80" w:type="dxa"/>
              <w:start w:w="120" w:type="dxa"/>
              <w:bottom w:w="80" w:type="dxa"/>
              <w:end w:w="120" w:type="dxa"/>
            </w:tcMar>
            <w:vAlign w:val="center"/>
            <w:shd w:fill="0B2545"/>
          </w:tcPr>
          <w:p>
            <w:pPr>
              <w:spacing w:after="0"/>
              <w:jc w:val="right"/>
            </w:pPr>
            <w:r>
              <w:rPr>
                <w:rFonts w:ascii="Calibri" w:hAnsi="Calibri"/>
                <w:b/>
                <w:color w:val="FFFFFF"/>
                <w:sz w:val="18"/>
              </w:rPr>
              <w:t>Net sales</w:t>
            </w:r>
          </w:p>
        </w:tc>
        <w:tc>
          <w:tcPr>
            <w:tcW w:type="dxa" w:w="1740"/>
            <w:tcMar>
              <w:top w:w="80" w:type="dxa"/>
              <w:start w:w="120" w:type="dxa"/>
              <w:bottom w:w="80" w:type="dxa"/>
              <w:end w:w="120" w:type="dxa"/>
            </w:tcMar>
            <w:vAlign w:val="center"/>
            <w:shd w:fill="0B2545"/>
          </w:tcPr>
          <w:p>
            <w:pPr>
              <w:spacing w:after="0"/>
              <w:jc w:val="right"/>
            </w:pPr>
            <w:r>
              <w:rPr>
                <w:rFonts w:ascii="Calibri" w:hAnsi="Calibri"/>
                <w:b/>
                <w:color w:val="FFFFFF"/>
                <w:sz w:val="18"/>
              </w:rPr>
              <w:t>Landed COGS</w:t>
            </w:r>
          </w:p>
        </w:tc>
        <w:tc>
          <w:tcPr>
            <w:tcW w:type="dxa" w:w="1740"/>
            <w:tcMar>
              <w:top w:w="80" w:type="dxa"/>
              <w:start w:w="120" w:type="dxa"/>
              <w:bottom w:w="80" w:type="dxa"/>
              <w:end w:w="120" w:type="dxa"/>
            </w:tcMar>
            <w:vAlign w:val="center"/>
            <w:shd w:fill="0B2545"/>
          </w:tcPr>
          <w:p>
            <w:pPr>
              <w:spacing w:after="0"/>
              <w:jc w:val="right"/>
            </w:pPr>
            <w:r>
              <w:rPr>
                <w:rFonts w:ascii="Calibri" w:hAnsi="Calibri"/>
                <w:b/>
                <w:color w:val="FFFFFF"/>
                <w:sz w:val="18"/>
              </w:rPr>
              <w:t>CM1</w:t>
            </w:r>
          </w:p>
        </w:tc>
        <w:tc>
          <w:tcPr>
            <w:tcW w:type="dxa" w:w="1740"/>
            <w:tcMar>
              <w:top w:w="80" w:type="dxa"/>
              <w:start w:w="120" w:type="dxa"/>
              <w:bottom w:w="80" w:type="dxa"/>
              <w:end w:w="120" w:type="dxa"/>
            </w:tcMar>
            <w:vAlign w:val="center"/>
            <w:shd w:fill="0B2545"/>
          </w:tcPr>
          <w:p>
            <w:pPr>
              <w:spacing w:after="0"/>
              <w:jc w:val="right"/>
            </w:pPr>
            <w:r>
              <w:rPr>
                <w:rFonts w:ascii="Calibri" w:hAnsi="Calibri"/>
                <w:b/>
                <w:color w:val="FFFFFF"/>
                <w:sz w:val="18"/>
              </w:rPr>
              <w:t>CM1 %</w:t>
            </w:r>
          </w:p>
        </w:tc>
      </w:tr>
      <w:tr>
        <w:tc>
          <w:tcPr>
            <w:tcW w:type="dxa" w:w="2400"/>
            <w:tcMar>
              <w:top w:w="80" w:type="dxa"/>
              <w:start w:w="120" w:type="dxa"/>
              <w:bottom w:w="80" w:type="dxa"/>
              <w:end w:w="120" w:type="dxa"/>
            </w:tcMar>
            <w:vAlign w:val="center"/>
          </w:tcPr>
          <w:p>
            <w:pPr>
              <w:spacing w:after="0"/>
            </w:pPr>
            <w:r>
              <w:rPr>
                <w:rFonts w:ascii="Calibri" w:hAnsi="Calibri"/>
                <w:color w:val="111827"/>
                <w:sz w:val="18"/>
              </w:rPr>
              <w:t>Peak Fuel</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$55,657</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$16,513</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$22,027</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39.6%</w:t>
            </w:r>
          </w:p>
        </w:tc>
      </w:tr>
      <w:tr>
        <w:tc>
          <w:tcPr>
            <w:tcW w:type="dxa" w:w="2400"/>
            <w:shd w:fill="F2F4F7"/>
            <w:tcMar>
              <w:top w:w="80" w:type="dxa"/>
              <w:start w:w="120" w:type="dxa"/>
              <w:bottom w:w="80" w:type="dxa"/>
              <w:end w:w="120" w:type="dxa"/>
            </w:tcMar>
            <w:vAlign w:val="center"/>
          </w:tcPr>
          <w:p>
            <w:pPr>
              <w:spacing w:after="0"/>
            </w:pPr>
            <w:r>
              <w:rPr>
                <w:rFonts w:ascii="Calibri" w:hAnsi="Calibri"/>
                <w:color w:val="111827"/>
                <w:sz w:val="18"/>
              </w:rPr>
              <w:t>GlowTheory</w:t>
            </w:r>
          </w:p>
        </w:tc>
        <w:tc>
          <w:tcPr>
            <w:tcW w:type="dxa" w:w="1740"/>
            <w:shd w:fill="F2F4F7"/>
            <w:tcMar>
              <w:top w:w="80" w:type="dxa"/>
              <w:start w:w="120" w:type="dxa"/>
              <w:bottom w:w="80" w:type="dxa"/>
              <w:end w:w="120" w:type="dxa"/>
            </w:tcMar>
            <w:vAlign w:val="center"/>
          </w:tcPr>
          <w:p>
            <w:pPr>
              <w:spacing w:after="0"/>
              <w:jc w:val="right"/>
            </w:pPr>
            <w:r>
              <w:rPr>
                <w:rFonts w:ascii="Calibri" w:hAnsi="Calibri"/>
                <w:color w:val="111827"/>
                <w:sz w:val="18"/>
              </w:rPr>
              <w:t>$42,873</w:t>
            </w:r>
          </w:p>
        </w:tc>
        <w:tc>
          <w:tcPr>
            <w:tcW w:type="dxa" w:w="1740"/>
            <w:shd w:fill="F2F4F7"/>
            <w:tcMar>
              <w:top w:w="80" w:type="dxa"/>
              <w:start w:w="120" w:type="dxa"/>
              <w:bottom w:w="80" w:type="dxa"/>
              <w:end w:w="120" w:type="dxa"/>
            </w:tcMar>
            <w:vAlign w:val="center"/>
          </w:tcPr>
          <w:p>
            <w:pPr>
              <w:spacing w:after="0"/>
              <w:jc w:val="right"/>
            </w:pPr>
            <w:r>
              <w:rPr>
                <w:rFonts w:ascii="Calibri" w:hAnsi="Calibri"/>
                <w:color w:val="111827"/>
                <w:sz w:val="18"/>
              </w:rPr>
              <w:t>$8,778</w:t>
            </w:r>
          </w:p>
        </w:tc>
        <w:tc>
          <w:tcPr>
            <w:tcW w:type="dxa" w:w="1740"/>
            <w:shd w:fill="F2F4F7"/>
            <w:tcMar>
              <w:top w:w="80" w:type="dxa"/>
              <w:start w:w="120" w:type="dxa"/>
              <w:bottom w:w="80" w:type="dxa"/>
              <w:end w:w="120" w:type="dxa"/>
            </w:tcMar>
            <w:vAlign w:val="center"/>
          </w:tcPr>
          <w:p>
            <w:pPr>
              <w:spacing w:after="0"/>
              <w:jc w:val="right"/>
            </w:pPr>
            <w:r>
              <w:rPr>
                <w:rFonts w:ascii="Calibri" w:hAnsi="Calibri"/>
                <w:color w:val="111827"/>
                <w:sz w:val="18"/>
              </w:rPr>
              <w:t>$20,548</w:t>
            </w:r>
          </w:p>
        </w:tc>
        <w:tc>
          <w:tcPr>
            <w:tcW w:type="dxa" w:w="1740"/>
            <w:shd w:fill="F2F4F7"/>
            <w:tcMar>
              <w:top w:w="80" w:type="dxa"/>
              <w:start w:w="120" w:type="dxa"/>
              <w:bottom w:w="80" w:type="dxa"/>
              <w:end w:w="120" w:type="dxa"/>
            </w:tcMar>
            <w:vAlign w:val="center"/>
          </w:tcPr>
          <w:p>
            <w:pPr>
              <w:spacing w:after="0"/>
              <w:jc w:val="right"/>
            </w:pPr>
            <w:r>
              <w:rPr>
                <w:rFonts w:ascii="Calibri" w:hAnsi="Calibri"/>
                <w:color w:val="111827"/>
                <w:sz w:val="18"/>
              </w:rPr>
              <w:t>47.9%</w:t>
            </w:r>
          </w:p>
        </w:tc>
      </w:tr>
      <w:tr>
        <w:tc>
          <w:tcPr>
            <w:tcW w:type="dxa" w:w="2400"/>
            <w:tcMar>
              <w:top w:w="80" w:type="dxa"/>
              <w:start w:w="120" w:type="dxa"/>
              <w:bottom w:w="80" w:type="dxa"/>
              <w:end w:w="120" w:type="dxa"/>
            </w:tcMar>
            <w:vAlign w:val="center"/>
          </w:tcPr>
          <w:p>
            <w:pPr>
              <w:spacing w:after="0"/>
            </w:pPr>
            <w:r>
              <w:rPr>
                <w:rFonts w:ascii="Calibri" w:hAnsi="Calibri"/>
                <w:color w:val="111827"/>
                <w:sz w:val="18"/>
              </w:rPr>
              <w:t>PawHaus</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$33,813</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$12,416</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$8,667</w:t>
            </w:r>
          </w:p>
        </w:tc>
        <w:tc>
          <w:tcPr>
            <w:tcW w:type="dxa" w:w="1740"/>
            <w:tcMar>
              <w:top w:w="80" w:type="dxa"/>
              <w:start w:w="120" w:type="dxa"/>
              <w:bottom w:w="80" w:type="dxa"/>
              <w:end w:w="120" w:type="dxa"/>
            </w:tcMar>
            <w:vAlign w:val="center"/>
          </w:tcPr>
          <w:p>
            <w:pPr>
              <w:spacing w:after="0"/>
              <w:jc w:val="right"/>
            </w:pPr>
            <w:r>
              <w:rPr>
                <w:rFonts w:ascii="Calibri" w:hAnsi="Calibri"/>
                <w:color w:val="111827"/>
                <w:sz w:val="18"/>
              </w:rPr>
              <w:t>25.6%</w:t>
            </w:r>
          </w:p>
        </w:tc>
      </w:tr>
    </w:tbl>
    <w:p>
      <w:pPr>
        <w:spacing w:after="40"/>
      </w:pPr>
    </w:p>
    <w:p>
      <w:pPr>
        <w:pStyle w:val="Heading2"/>
        <w:keepNext/>
      </w:pPr>
      <w:r>
        <w:t>Material assumptions</w:t>
      </w:r>
    </w:p>
    <w:p>
      <w:pPr>
        <w:spacing w:after="120" w:line="264" w:lineRule="auto"/>
      </w:pPr>
      <w:r>
        <w:rPr>
          <w:rFonts w:ascii="Calibri" w:hAnsi="Calibri"/>
          <w:b/>
          <w:color w:val="111827"/>
        </w:rPr>
        <w:t xml:space="preserve">Refunds. </w:t>
      </w:r>
      <w:r>
        <w:rPr>
          <w:rFonts w:ascii="Calibri" w:hAnsi="Calibri"/>
          <w:color w:val="111827"/>
        </w:rPr>
        <w:t>Order and Refund rows are in CM1. Refunds reverse sales, promotions, referral fees, units, and landed COGS; return disposition was not provided. FBA fee reversals are used exactly as reported (none appear on refund rows).</w:t>
      </w:r>
    </w:p>
    <w:p>
      <w:pPr>
        <w:spacing w:after="120" w:line="264" w:lineRule="auto"/>
      </w:pPr>
      <w:r>
        <w:rPr>
          <w:rFonts w:ascii="Calibri" w:hAnsi="Calibri"/>
          <w:b/>
          <w:color w:val="111827"/>
        </w:rPr>
        <w:t xml:space="preserve">Missing costs. </w:t>
      </w:r>
      <w:r>
        <w:rPr>
          <w:rFonts w:ascii="Calibri" w:hAnsi="Calibri"/>
          <w:color w:val="111827"/>
        </w:rPr>
        <w:t>GT-LIP-BALM and PH-TOY-ROPE-L lack PO cost history. Each uses its brand median landed cost and is flagged. Together they represent $3.1K, or 2.3%, of gross sales.</w:t>
      </w:r>
    </w:p>
    <w:p>
      <w:pPr>
        <w:spacing w:after="120" w:line="264" w:lineRule="auto"/>
      </w:pPr>
      <w:r>
        <w:rPr>
          <w:rFonts w:ascii="Calibri" w:hAnsi="Calibri"/>
          <w:b/>
          <w:color w:val="111827"/>
        </w:rPr>
        <w:t xml:space="preserve">Unallocated charges. </w:t>
      </w:r>
      <w:r>
        <w:rPr>
          <w:rFonts w:ascii="Calibri" w:hAnsi="Calibri"/>
          <w:color w:val="111827"/>
        </w:rPr>
        <w:t>Advertising, storage, subscription, and adjustments remain below CM1 because the supplied file lacks a causal SKU key. No arbitrary allocation was used.</w:t>
      </w:r>
    </w:p>
    <w:p>
      <w:pPr>
        <w:pStyle w:val="Heading1"/>
        <w:keepNext/>
        <w:pageBreakBefore/>
      </w:pPr>
      <w:r>
        <w:t>Leadership findings and recommendations</w:t>
      </w:r>
    </w:p>
    <w:p>
      <w:pPr>
        <w:pStyle w:val="Heading2"/>
        <w:keepNext/>
      </w:pPr>
      <w:r>
        <w:t>Where contribution margin is created</w:t>
      </w:r>
    </w:p>
    <w:tbl>
      <w:tblPr>
        <w:tblStyle w:val="TableGrid"/>
        <w:tblW w:type="dxa" w:w="9360"/>
        <w:tblLayout w:type="fixed"/>
        <w:tblLook w:firstColumn="1" w:firstRow="1" w:lastColumn="0" w:lastRow="0" w:noHBand="0" w:noVBand="1" w:val="04A0"/>
        <w:jc w:val="left"/>
        <w:tblInd w:w="120" w:type="dxa"/>
      </w:tblPr>
      <w:tblGrid>
        <w:gridCol w:w="2500"/>
        <w:gridCol w:w="1700"/>
        <w:gridCol w:w="1720"/>
        <w:gridCol w:w="1720"/>
        <w:gridCol w:w="1720"/>
      </w:tblGrid>
      <w:tr>
        <w:trPr>
          <w:tblHeader w:val="true"/>
        </w:trPr>
        <w:tc>
          <w:tcPr>
            <w:tcW w:type="dxa" w:w="2500"/>
            <w:tcMar>
              <w:top w:w="80" w:type="dxa"/>
              <w:start w:w="120" w:type="dxa"/>
              <w:bottom w:w="80" w:type="dxa"/>
              <w:end w:w="120" w:type="dxa"/>
            </w:tcMar>
            <w:vAlign w:val="center"/>
            <w:shd w:fill="0B2545"/>
          </w:tcPr>
          <w:p>
            <w:pPr>
              <w:spacing w:after="0"/>
            </w:pPr>
            <w:r>
              <w:rPr>
                <w:rFonts w:ascii="Calibri" w:hAnsi="Calibri"/>
                <w:b/>
                <w:color w:val="FFFFFF"/>
                <w:sz w:val="18"/>
              </w:rPr>
              <w:t>SKU</w:t>
            </w:r>
          </w:p>
        </w:tc>
        <w:tc>
          <w:tcPr>
            <w:tcW w:type="dxa" w:w="1700"/>
            <w:tcMar>
              <w:top w:w="80" w:type="dxa"/>
              <w:start w:w="120" w:type="dxa"/>
              <w:bottom w:w="80" w:type="dxa"/>
              <w:end w:w="120" w:type="dxa"/>
            </w:tcMar>
            <w:vAlign w:val="center"/>
            <w:shd w:fill="0B2545"/>
          </w:tcPr>
          <w:p>
            <w:pPr>
              <w:spacing w:after="0"/>
            </w:pPr>
            <w:r>
              <w:rPr>
                <w:rFonts w:ascii="Calibri" w:hAnsi="Calibri"/>
                <w:b/>
                <w:color w:val="FFFFFF"/>
                <w:sz w:val="18"/>
              </w:rPr>
              <w:t>Brand</w:t>
            </w:r>
          </w:p>
        </w:tc>
        <w:tc>
          <w:tcPr>
            <w:tcW w:type="dxa" w:w="1720"/>
            <w:tcMar>
              <w:top w:w="80" w:type="dxa"/>
              <w:start w:w="120" w:type="dxa"/>
              <w:bottom w:w="80" w:type="dxa"/>
              <w:end w:w="120" w:type="dxa"/>
            </w:tcMar>
            <w:vAlign w:val="center"/>
            <w:shd w:fill="0B2545"/>
          </w:tcPr>
          <w:p>
            <w:pPr>
              <w:spacing w:after="0"/>
              <w:jc w:val="right"/>
            </w:pPr>
            <w:r>
              <w:rPr>
                <w:rFonts w:ascii="Calibri" w:hAnsi="Calibri"/>
                <w:b/>
                <w:color w:val="FFFFFF"/>
                <w:sz w:val="18"/>
              </w:rPr>
              <w:t>Net sales</w:t>
            </w:r>
          </w:p>
        </w:tc>
        <w:tc>
          <w:tcPr>
            <w:tcW w:type="dxa" w:w="1720"/>
            <w:tcMar>
              <w:top w:w="80" w:type="dxa"/>
              <w:start w:w="120" w:type="dxa"/>
              <w:bottom w:w="80" w:type="dxa"/>
              <w:end w:w="120" w:type="dxa"/>
            </w:tcMar>
            <w:vAlign w:val="center"/>
            <w:shd w:fill="0B2545"/>
          </w:tcPr>
          <w:p>
            <w:pPr>
              <w:spacing w:after="0"/>
              <w:jc w:val="right"/>
            </w:pPr>
            <w:r>
              <w:rPr>
                <w:rFonts w:ascii="Calibri" w:hAnsi="Calibri"/>
                <w:b/>
                <w:color w:val="FFFFFF"/>
                <w:sz w:val="18"/>
              </w:rPr>
              <w:t>CM1</w:t>
            </w:r>
          </w:p>
        </w:tc>
        <w:tc>
          <w:tcPr>
            <w:tcW w:type="dxa" w:w="1720"/>
            <w:tcMar>
              <w:top w:w="80" w:type="dxa"/>
              <w:start w:w="120" w:type="dxa"/>
              <w:bottom w:w="80" w:type="dxa"/>
              <w:end w:w="120" w:type="dxa"/>
            </w:tcMar>
            <w:vAlign w:val="center"/>
            <w:shd w:fill="0B2545"/>
          </w:tcPr>
          <w:p>
            <w:pPr>
              <w:spacing w:after="0"/>
              <w:jc w:val="right"/>
            </w:pPr>
            <w:r>
              <w:rPr>
                <w:rFonts w:ascii="Calibri" w:hAnsi="Calibri"/>
                <w:b/>
                <w:color w:val="FFFFFF"/>
                <w:sz w:val="18"/>
              </w:rPr>
              <w:t>CM1 %</w:t>
            </w:r>
          </w:p>
        </w:tc>
      </w:tr>
      <w:tr>
        <w:tc>
          <w:tcPr>
            <w:tcW w:type="dxa" w:w="2500"/>
            <w:tcMar>
              <w:top w:w="80" w:type="dxa"/>
              <w:start w:w="120" w:type="dxa"/>
              <w:bottom w:w="80" w:type="dxa"/>
              <w:end w:w="120" w:type="dxa"/>
            </w:tcMar>
            <w:vAlign w:val="center"/>
          </w:tcPr>
          <w:p>
            <w:pPr>
              <w:spacing w:after="0"/>
            </w:pPr>
            <w:r>
              <w:rPr>
                <w:rFonts w:ascii="Calibri" w:hAnsi="Calibri"/>
                <w:color w:val="111827"/>
                <w:sz w:val="18"/>
              </w:rPr>
              <w:t>GT-SERUM-VITC</w:t>
            </w:r>
          </w:p>
        </w:tc>
        <w:tc>
          <w:tcPr>
            <w:tcW w:type="dxa" w:w="1700"/>
            <w:tcMar>
              <w:top w:w="80" w:type="dxa"/>
              <w:start w:w="120" w:type="dxa"/>
              <w:bottom w:w="80" w:type="dxa"/>
              <w:end w:w="120" w:type="dxa"/>
            </w:tcMar>
            <w:vAlign w:val="center"/>
          </w:tcPr>
          <w:p>
            <w:pPr>
              <w:spacing w:after="0"/>
            </w:pPr>
            <w:r>
              <w:rPr>
                <w:rFonts w:ascii="Calibri" w:hAnsi="Calibri"/>
                <w:color w:val="111827"/>
                <w:sz w:val="18"/>
              </w:rPr>
              <w:t>GlowTheory</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$13,724</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$7,521</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54.8%</w:t>
            </w:r>
          </w:p>
        </w:tc>
      </w:tr>
      <w:tr>
        <w:tc>
          <w:tcPr>
            <w:tcW w:type="dxa" w:w="2500"/>
            <w:shd w:fill="F2F4F7"/>
            <w:tcMar>
              <w:top w:w="80" w:type="dxa"/>
              <w:start w:w="120" w:type="dxa"/>
              <w:bottom w:w="80" w:type="dxa"/>
              <w:end w:w="120" w:type="dxa"/>
            </w:tcMar>
            <w:vAlign w:val="center"/>
          </w:tcPr>
          <w:p>
            <w:pPr>
              <w:spacing w:after="0"/>
            </w:pPr>
            <w:r>
              <w:rPr>
                <w:rFonts w:ascii="Calibri" w:hAnsi="Calibri"/>
                <w:color w:val="111827"/>
                <w:sz w:val="18"/>
              </w:rPr>
              <w:t>PF-WHEY-CHOC</w:t>
            </w:r>
          </w:p>
        </w:tc>
        <w:tc>
          <w:tcPr>
            <w:tcW w:type="dxa" w:w="1700"/>
            <w:shd w:fill="F2F4F7"/>
            <w:tcMar>
              <w:top w:w="80" w:type="dxa"/>
              <w:start w:w="120" w:type="dxa"/>
              <w:bottom w:w="80" w:type="dxa"/>
              <w:end w:w="120" w:type="dxa"/>
            </w:tcMar>
            <w:vAlign w:val="center"/>
          </w:tcPr>
          <w:p>
            <w:pPr>
              <w:spacing w:after="0"/>
            </w:pPr>
            <w:r>
              <w:rPr>
                <w:rFonts w:ascii="Calibri" w:hAnsi="Calibri"/>
                <w:color w:val="111827"/>
                <w:sz w:val="18"/>
              </w:rPr>
              <w:t>Peak Fuel</w:t>
            </w:r>
          </w:p>
        </w:tc>
        <w:tc>
          <w:tcPr>
            <w:tcW w:type="dxa" w:w="1720"/>
            <w:shd w:fill="F2F4F7"/>
            <w:tcMar>
              <w:top w:w="80" w:type="dxa"/>
              <w:start w:w="120" w:type="dxa"/>
              <w:bottom w:w="80" w:type="dxa"/>
              <w:end w:w="120" w:type="dxa"/>
            </w:tcMar>
            <w:vAlign w:val="center"/>
          </w:tcPr>
          <w:p>
            <w:pPr>
              <w:spacing w:after="0"/>
              <w:jc w:val="right"/>
            </w:pPr>
            <w:r>
              <w:rPr>
                <w:rFonts w:ascii="Calibri" w:hAnsi="Calibri"/>
                <w:color w:val="111827"/>
                <w:sz w:val="18"/>
              </w:rPr>
              <w:t>$17,371</w:t>
            </w:r>
          </w:p>
        </w:tc>
        <w:tc>
          <w:tcPr>
            <w:tcW w:type="dxa" w:w="1720"/>
            <w:shd w:fill="F2F4F7"/>
            <w:tcMar>
              <w:top w:w="80" w:type="dxa"/>
              <w:start w:w="120" w:type="dxa"/>
              <w:bottom w:w="80" w:type="dxa"/>
              <w:end w:w="120" w:type="dxa"/>
            </w:tcMar>
            <w:vAlign w:val="center"/>
          </w:tcPr>
          <w:p>
            <w:pPr>
              <w:spacing w:after="0"/>
              <w:jc w:val="right"/>
            </w:pPr>
            <w:r>
              <w:rPr>
                <w:rFonts w:ascii="Calibri" w:hAnsi="Calibri"/>
                <w:color w:val="111827"/>
                <w:sz w:val="18"/>
              </w:rPr>
              <w:t>$6,604</w:t>
            </w:r>
          </w:p>
        </w:tc>
        <w:tc>
          <w:tcPr>
            <w:tcW w:type="dxa" w:w="1720"/>
            <w:shd w:fill="F2F4F7"/>
            <w:tcMar>
              <w:top w:w="80" w:type="dxa"/>
              <w:start w:w="120" w:type="dxa"/>
              <w:bottom w:w="80" w:type="dxa"/>
              <w:end w:w="120" w:type="dxa"/>
            </w:tcMar>
            <w:vAlign w:val="center"/>
          </w:tcPr>
          <w:p>
            <w:pPr>
              <w:spacing w:after="0"/>
              <w:jc w:val="right"/>
            </w:pPr>
            <w:r>
              <w:rPr>
                <w:rFonts w:ascii="Calibri" w:hAnsi="Calibri"/>
                <w:color w:val="111827"/>
                <w:sz w:val="18"/>
              </w:rPr>
              <w:t>38.0%</w:t>
            </w:r>
          </w:p>
        </w:tc>
      </w:tr>
      <w:tr>
        <w:tc>
          <w:tcPr>
            <w:tcW w:type="dxa" w:w="2500"/>
            <w:tcMar>
              <w:top w:w="80" w:type="dxa"/>
              <w:start w:w="120" w:type="dxa"/>
              <w:bottom w:w="80" w:type="dxa"/>
              <w:end w:w="120" w:type="dxa"/>
            </w:tcMar>
            <w:vAlign w:val="center"/>
          </w:tcPr>
          <w:p>
            <w:pPr>
              <w:spacing w:after="0"/>
            </w:pPr>
            <w:r>
              <w:rPr>
                <w:rFonts w:ascii="Calibri" w:hAnsi="Calibri"/>
                <w:color w:val="111827"/>
                <w:sz w:val="18"/>
              </w:rPr>
              <w:t>GT-SERUM-HA</w:t>
            </w:r>
          </w:p>
        </w:tc>
        <w:tc>
          <w:tcPr>
            <w:tcW w:type="dxa" w:w="1700"/>
            <w:tcMar>
              <w:top w:w="80" w:type="dxa"/>
              <w:start w:w="120" w:type="dxa"/>
              <w:bottom w:w="80" w:type="dxa"/>
              <w:end w:w="120" w:type="dxa"/>
            </w:tcMar>
            <w:vAlign w:val="center"/>
          </w:tcPr>
          <w:p>
            <w:pPr>
              <w:spacing w:after="0"/>
            </w:pPr>
            <w:r>
              <w:rPr>
                <w:rFonts w:ascii="Calibri" w:hAnsi="Calibri"/>
                <w:color w:val="111827"/>
                <w:sz w:val="18"/>
              </w:rPr>
              <w:t>GlowTheory</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$9,184</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$4,853</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52.8%</w:t>
            </w:r>
          </w:p>
        </w:tc>
      </w:tr>
      <w:tr>
        <w:tc>
          <w:tcPr>
            <w:tcW w:type="dxa" w:w="2500"/>
            <w:shd w:fill="F2F4F7"/>
            <w:tcMar>
              <w:top w:w="80" w:type="dxa"/>
              <w:start w:w="120" w:type="dxa"/>
              <w:bottom w:w="80" w:type="dxa"/>
              <w:end w:w="120" w:type="dxa"/>
            </w:tcMar>
            <w:vAlign w:val="center"/>
          </w:tcPr>
          <w:p>
            <w:pPr>
              <w:spacing w:after="0"/>
            </w:pPr>
            <w:r>
              <w:rPr>
                <w:rFonts w:ascii="Calibri" w:hAnsi="Calibri"/>
                <w:color w:val="111827"/>
                <w:sz w:val="18"/>
              </w:rPr>
              <w:t>PF-CREATINE-300</w:t>
            </w:r>
          </w:p>
        </w:tc>
        <w:tc>
          <w:tcPr>
            <w:tcW w:type="dxa" w:w="1700"/>
            <w:shd w:fill="F2F4F7"/>
            <w:tcMar>
              <w:top w:w="80" w:type="dxa"/>
              <w:start w:w="120" w:type="dxa"/>
              <w:bottom w:w="80" w:type="dxa"/>
              <w:end w:w="120" w:type="dxa"/>
            </w:tcMar>
            <w:vAlign w:val="center"/>
          </w:tcPr>
          <w:p>
            <w:pPr>
              <w:spacing w:after="0"/>
            </w:pPr>
            <w:r>
              <w:rPr>
                <w:rFonts w:ascii="Calibri" w:hAnsi="Calibri"/>
                <w:color w:val="111827"/>
                <w:sz w:val="18"/>
              </w:rPr>
              <w:t>Peak Fuel</w:t>
            </w:r>
          </w:p>
        </w:tc>
        <w:tc>
          <w:tcPr>
            <w:tcW w:type="dxa" w:w="1720"/>
            <w:shd w:fill="F2F4F7"/>
            <w:tcMar>
              <w:top w:w="80" w:type="dxa"/>
              <w:start w:w="120" w:type="dxa"/>
              <w:bottom w:w="80" w:type="dxa"/>
              <w:end w:w="120" w:type="dxa"/>
            </w:tcMar>
            <w:vAlign w:val="center"/>
          </w:tcPr>
          <w:p>
            <w:pPr>
              <w:spacing w:after="0"/>
              <w:jc w:val="right"/>
            </w:pPr>
            <w:r>
              <w:rPr>
                <w:rFonts w:ascii="Calibri" w:hAnsi="Calibri"/>
                <w:color w:val="111827"/>
                <w:sz w:val="18"/>
              </w:rPr>
              <w:t>$10,058</w:t>
            </w:r>
          </w:p>
        </w:tc>
        <w:tc>
          <w:tcPr>
            <w:tcW w:type="dxa" w:w="1720"/>
            <w:shd w:fill="F2F4F7"/>
            <w:tcMar>
              <w:top w:w="80" w:type="dxa"/>
              <w:start w:w="120" w:type="dxa"/>
              <w:bottom w:w="80" w:type="dxa"/>
              <w:end w:w="120" w:type="dxa"/>
            </w:tcMar>
            <w:vAlign w:val="center"/>
          </w:tcPr>
          <w:p>
            <w:pPr>
              <w:spacing w:after="0"/>
              <w:jc w:val="right"/>
            </w:pPr>
            <w:r>
              <w:rPr>
                <w:rFonts w:ascii="Calibri" w:hAnsi="Calibri"/>
                <w:color w:val="111827"/>
                <w:sz w:val="18"/>
              </w:rPr>
              <w:t>$4,517</w:t>
            </w:r>
          </w:p>
        </w:tc>
        <w:tc>
          <w:tcPr>
            <w:tcW w:type="dxa" w:w="1720"/>
            <w:shd w:fill="F2F4F7"/>
            <w:tcMar>
              <w:top w:w="80" w:type="dxa"/>
              <w:start w:w="120" w:type="dxa"/>
              <w:bottom w:w="80" w:type="dxa"/>
              <w:end w:w="120" w:type="dxa"/>
            </w:tcMar>
            <w:vAlign w:val="center"/>
          </w:tcPr>
          <w:p>
            <w:pPr>
              <w:spacing w:after="0"/>
              <w:jc w:val="right"/>
            </w:pPr>
            <w:r>
              <w:rPr>
                <w:rFonts w:ascii="Calibri" w:hAnsi="Calibri"/>
                <w:color w:val="111827"/>
                <w:sz w:val="18"/>
              </w:rPr>
              <w:t>44.9%</w:t>
            </w:r>
          </w:p>
        </w:tc>
      </w:tr>
      <w:tr>
        <w:tc>
          <w:tcPr>
            <w:tcW w:type="dxa" w:w="2500"/>
            <w:tcMar>
              <w:top w:w="80" w:type="dxa"/>
              <w:start w:w="120" w:type="dxa"/>
              <w:bottom w:w="80" w:type="dxa"/>
              <w:end w:w="120" w:type="dxa"/>
            </w:tcMar>
            <w:vAlign w:val="center"/>
          </w:tcPr>
          <w:p>
            <w:pPr>
              <w:spacing w:after="0"/>
            </w:pPr>
            <w:r>
              <w:rPr>
                <w:rFonts w:ascii="Calibri" w:hAnsi="Calibri"/>
                <w:color w:val="111827"/>
                <w:sz w:val="18"/>
              </w:rPr>
              <w:t>PF-WHEY-VAN</w:t>
            </w:r>
          </w:p>
        </w:tc>
        <w:tc>
          <w:tcPr>
            <w:tcW w:type="dxa" w:w="1700"/>
            <w:tcMar>
              <w:top w:w="80" w:type="dxa"/>
              <w:start w:w="120" w:type="dxa"/>
              <w:bottom w:w="80" w:type="dxa"/>
              <w:end w:w="120" w:type="dxa"/>
            </w:tcMar>
            <w:vAlign w:val="center"/>
          </w:tcPr>
          <w:p>
            <w:pPr>
              <w:spacing w:after="0"/>
            </w:pPr>
            <w:r>
              <w:rPr>
                <w:rFonts w:ascii="Calibri" w:hAnsi="Calibri"/>
                <w:color w:val="111827"/>
                <w:sz w:val="18"/>
              </w:rPr>
              <w:t>Peak Fuel</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$10,816</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$4,172</w:t>
            </w:r>
          </w:p>
        </w:tc>
        <w:tc>
          <w:tcPr>
            <w:tcW w:type="dxa" w:w="1720"/>
            <w:tcMar>
              <w:top w:w="80" w:type="dxa"/>
              <w:start w:w="120" w:type="dxa"/>
              <w:bottom w:w="80" w:type="dxa"/>
              <w:end w:w="120" w:type="dxa"/>
            </w:tcMar>
            <w:vAlign w:val="center"/>
          </w:tcPr>
          <w:p>
            <w:pPr>
              <w:spacing w:after="0"/>
              <w:jc w:val="right"/>
            </w:pPr>
            <w:r>
              <w:rPr>
                <w:rFonts w:ascii="Calibri" w:hAnsi="Calibri"/>
                <w:color w:val="111827"/>
                <w:sz w:val="18"/>
              </w:rPr>
              <w:t>38.6%</w:t>
            </w:r>
          </w:p>
        </w:tc>
      </w:tr>
    </w:tbl>
    <w:p>
      <w:pPr>
        <w:spacing w:after="40"/>
      </w:pPr>
    </w:p>
    <w:p>
      <w:pPr>
        <w:spacing w:after="120" w:line="264" w:lineRule="auto"/>
      </w:pPr>
      <w:r>
        <w:rPr>
          <w:rFonts w:ascii="Calibri" w:hAnsi="Calibri"/>
          <w:b/>
          <w:color w:val="111827"/>
        </w:rPr>
        <w:t xml:space="preserve">1. Protect profitable demand. </w:t>
      </w:r>
      <w:r>
        <w:rPr>
          <w:rFonts w:ascii="Calibri" w:hAnsi="Calibri"/>
          <w:color w:val="111827"/>
        </w:rPr>
        <w:t>GT-SERUM-VITC is the largest SKU contributor at $7.5K CM1 and 54.8%. PF-WHEY-CHOC contributes $6.6K. Protect in-stock rates and ad efficiency on these proven contributors.</w:t>
      </w:r>
    </w:p>
    <w:p>
      <w:pPr>
        <w:pStyle w:val="Heading2"/>
        <w:keepNext/>
      </w:pPr>
      <w:r>
        <w:t>Where economics or data need intervention</w:t>
      </w:r>
    </w:p>
    <w:tbl>
      <w:tblPr>
        <w:tblStyle w:val="TableGrid"/>
        <w:tblW w:type="dxa" w:w="9360"/>
        <w:tblLayout w:type="fixed"/>
        <w:tblLook w:firstColumn="1" w:firstRow="1" w:lastColumn="0" w:lastRow="0" w:noHBand="0" w:noVBand="1" w:val="04A0"/>
        <w:jc w:val="left"/>
        <w:tblInd w:w="120" w:type="dxa"/>
      </w:tblPr>
      <w:tblGrid>
        <w:gridCol w:w="2300"/>
        <w:gridCol w:w="3840"/>
        <w:gridCol w:w="1610"/>
        <w:gridCol w:w="1610"/>
      </w:tblGrid>
      <w:tr>
        <w:trPr>
          <w:tblHeader w:val="true"/>
        </w:trPr>
        <w:tc>
          <w:tcPr>
            <w:tcW w:type="dxa" w:w="2300"/>
            <w:tcMar>
              <w:top w:w="80" w:type="dxa"/>
              <w:start w:w="120" w:type="dxa"/>
              <w:bottom w:w="80" w:type="dxa"/>
              <w:end w:w="120" w:type="dxa"/>
            </w:tcMar>
            <w:vAlign w:val="center"/>
            <w:shd w:fill="0B2545"/>
          </w:tcPr>
          <w:p>
            <w:pPr>
              <w:spacing w:after="0"/>
            </w:pPr>
            <w:r>
              <w:rPr>
                <w:rFonts w:ascii="Calibri" w:hAnsi="Calibri"/>
                <w:b/>
                <w:color w:val="FFFFFF"/>
                <w:sz w:val="18"/>
              </w:rPr>
              <w:t>SKU</w:t>
            </w:r>
          </w:p>
        </w:tc>
        <w:tc>
          <w:tcPr>
            <w:tcW w:type="dxa" w:w="3840"/>
            <w:tcMar>
              <w:top w:w="80" w:type="dxa"/>
              <w:start w:w="120" w:type="dxa"/>
              <w:bottom w:w="80" w:type="dxa"/>
              <w:end w:w="120" w:type="dxa"/>
            </w:tcMar>
            <w:vAlign w:val="center"/>
            <w:shd w:fill="0B2545"/>
          </w:tcPr>
          <w:p>
            <w:pPr>
              <w:spacing w:after="0"/>
            </w:pPr>
            <w:r>
              <w:rPr>
                <w:rFonts w:ascii="Calibri" w:hAnsi="Calibri"/>
                <w:b/>
                <w:color w:val="FFFFFF"/>
                <w:sz w:val="18"/>
              </w:rPr>
              <w:t>Issue</w:t>
            </w:r>
          </w:p>
        </w:tc>
        <w:tc>
          <w:tcPr>
            <w:tcW w:type="dxa" w:w="1610"/>
            <w:tcMar>
              <w:top w:w="80" w:type="dxa"/>
              <w:start w:w="120" w:type="dxa"/>
              <w:bottom w:w="80" w:type="dxa"/>
              <w:end w:w="120" w:type="dxa"/>
            </w:tcMar>
            <w:vAlign w:val="center"/>
            <w:shd w:fill="0B2545"/>
          </w:tcPr>
          <w:p>
            <w:pPr>
              <w:spacing w:after="0"/>
              <w:jc w:val="right"/>
            </w:pPr>
            <w:r>
              <w:rPr>
                <w:rFonts w:ascii="Calibri" w:hAnsi="Calibri"/>
                <w:b/>
                <w:color w:val="FFFFFF"/>
                <w:sz w:val="18"/>
              </w:rPr>
              <w:t>CM1</w:t>
            </w:r>
          </w:p>
        </w:tc>
        <w:tc>
          <w:tcPr>
            <w:tcW w:type="dxa" w:w="1610"/>
            <w:tcMar>
              <w:top w:w="80" w:type="dxa"/>
              <w:start w:w="120" w:type="dxa"/>
              <w:bottom w:w="80" w:type="dxa"/>
              <w:end w:w="120" w:type="dxa"/>
            </w:tcMar>
            <w:vAlign w:val="center"/>
            <w:shd w:fill="0B2545"/>
          </w:tcPr>
          <w:p>
            <w:pPr>
              <w:spacing w:after="0"/>
              <w:jc w:val="right"/>
            </w:pPr>
            <w:r>
              <w:rPr>
                <w:rFonts w:ascii="Calibri" w:hAnsi="Calibri"/>
                <w:b/>
                <w:color w:val="FFFFFF"/>
                <w:sz w:val="18"/>
              </w:rPr>
              <w:t>CM1 %</w:t>
            </w:r>
          </w:p>
        </w:tc>
      </w:tr>
      <w:tr>
        <w:tc>
          <w:tcPr>
            <w:tcW w:type="dxa" w:w="2300"/>
            <w:tcMar>
              <w:top w:w="80" w:type="dxa"/>
              <w:start w:w="120" w:type="dxa"/>
              <w:bottom w:w="80" w:type="dxa"/>
              <w:end w:w="120" w:type="dxa"/>
            </w:tcMar>
            <w:vAlign w:val="center"/>
          </w:tcPr>
          <w:p>
            <w:pPr>
              <w:spacing w:after="0"/>
            </w:pPr>
            <w:r>
              <w:rPr>
                <w:rFonts w:ascii="Calibri" w:hAnsi="Calibri"/>
                <w:color w:val="111827"/>
                <w:sz w:val="18"/>
              </w:rPr>
              <w:t>PH-BED-MED-GRY</w:t>
            </w:r>
          </w:p>
        </w:tc>
        <w:tc>
          <w:tcPr>
            <w:tcW w:type="dxa" w:w="3840"/>
            <w:tcMar>
              <w:top w:w="80" w:type="dxa"/>
              <w:start w:w="120" w:type="dxa"/>
              <w:bottom w:w="80" w:type="dxa"/>
              <w:end w:w="120" w:type="dxa"/>
            </w:tcMar>
            <w:vAlign w:val="center"/>
          </w:tcPr>
          <w:p>
            <w:pPr>
              <w:spacing w:after="0"/>
            </w:pPr>
            <w:r>
              <w:rPr>
                <w:rFonts w:ascii="Calibri" w:hAnsi="Calibri"/>
                <w:color w:val="111827"/>
                <w:sz w:val="18"/>
              </w:rPr>
              <w:t>Known cost; weak unit economics</w:t>
            </w:r>
          </w:p>
        </w:tc>
        <w:tc>
          <w:tcPr>
            <w:tcW w:type="dxa" w:w="1610"/>
            <w:tcMar>
              <w:top w:w="80" w:type="dxa"/>
              <w:start w:w="120" w:type="dxa"/>
              <w:bottom w:w="80" w:type="dxa"/>
              <w:end w:w="120" w:type="dxa"/>
            </w:tcMar>
            <w:vAlign w:val="center"/>
          </w:tcPr>
          <w:p>
            <w:pPr>
              <w:spacing w:after="0"/>
              <w:jc w:val="right"/>
            </w:pPr>
            <w:r>
              <w:rPr>
                <w:rFonts w:ascii="Calibri" w:hAnsi="Calibri"/>
                <w:color w:val="111827"/>
                <w:sz w:val="18"/>
              </w:rPr>
              <w:t>$291</w:t>
            </w:r>
          </w:p>
        </w:tc>
        <w:tc>
          <w:tcPr>
            <w:tcW w:type="dxa" w:w="1610"/>
            <w:tcMar>
              <w:top w:w="80" w:type="dxa"/>
              <w:start w:w="120" w:type="dxa"/>
              <w:bottom w:w="80" w:type="dxa"/>
              <w:end w:w="120" w:type="dxa"/>
            </w:tcMar>
            <w:vAlign w:val="center"/>
          </w:tcPr>
          <w:p>
            <w:pPr>
              <w:spacing w:after="0"/>
              <w:jc w:val="right"/>
            </w:pPr>
            <w:r>
              <w:rPr>
                <w:rFonts w:ascii="Calibri" w:hAnsi="Calibri"/>
                <w:color w:val="111827"/>
                <w:sz w:val="18"/>
              </w:rPr>
              <w:t>6.1%</w:t>
            </w:r>
          </w:p>
        </w:tc>
      </w:tr>
      <w:tr>
        <w:tc>
          <w:tcPr>
            <w:tcW w:type="dxa" w:w="2300"/>
            <w:shd w:fill="F2F4F7"/>
            <w:tcMar>
              <w:top w:w="80" w:type="dxa"/>
              <w:start w:w="120" w:type="dxa"/>
              <w:bottom w:w="80" w:type="dxa"/>
              <w:end w:w="120" w:type="dxa"/>
            </w:tcMar>
            <w:vAlign w:val="center"/>
          </w:tcPr>
          <w:p>
            <w:pPr>
              <w:spacing w:after="0"/>
            </w:pPr>
            <w:r>
              <w:rPr>
                <w:rFonts w:ascii="Calibri" w:hAnsi="Calibri"/>
                <w:color w:val="111827"/>
                <w:sz w:val="18"/>
              </w:rPr>
              <w:t>PH-TOY-ROPE-L</w:t>
            </w:r>
          </w:p>
        </w:tc>
        <w:tc>
          <w:tcPr>
            <w:tcW w:type="dxa" w:w="3840"/>
            <w:shd w:fill="F2F4F7"/>
            <w:tcMar>
              <w:top w:w="80" w:type="dxa"/>
              <w:start w:w="120" w:type="dxa"/>
              <w:bottom w:w="80" w:type="dxa"/>
              <w:end w:w="120" w:type="dxa"/>
            </w:tcMar>
            <w:vAlign w:val="center"/>
          </w:tcPr>
          <w:p>
            <w:pPr>
              <w:spacing w:after="0"/>
            </w:pPr>
            <w:r>
              <w:rPr>
                <w:rFonts w:ascii="Calibri" w:hAnsi="Calibri"/>
                <w:color w:val="111827"/>
                <w:sz w:val="18"/>
              </w:rPr>
              <w:t>Cost imputed; validate before decision</w:t>
            </w:r>
          </w:p>
        </w:tc>
        <w:tc>
          <w:tcPr>
            <w:tcW w:type="dxa" w:w="1610"/>
            <w:shd w:fill="F2F4F7"/>
            <w:tcMar>
              <w:top w:w="80" w:type="dxa"/>
              <w:start w:w="120" w:type="dxa"/>
              <w:bottom w:w="80" w:type="dxa"/>
              <w:end w:w="120" w:type="dxa"/>
            </w:tcMar>
            <w:vAlign w:val="center"/>
          </w:tcPr>
          <w:p>
            <w:pPr>
              <w:spacing w:after="0"/>
              <w:jc w:val="right"/>
            </w:pPr>
            <w:r>
              <w:rPr>
                <w:rFonts w:ascii="Calibri" w:hAnsi="Calibri"/>
                <w:color w:val="111827"/>
                <w:sz w:val="18"/>
              </w:rPr>
              <w:t>$177</w:t>
            </w:r>
          </w:p>
        </w:tc>
        <w:tc>
          <w:tcPr>
            <w:tcW w:type="dxa" w:w="1610"/>
            <w:shd w:fill="F2F4F7"/>
            <w:tcMar>
              <w:top w:w="80" w:type="dxa"/>
              <w:start w:w="120" w:type="dxa"/>
              <w:bottom w:w="80" w:type="dxa"/>
              <w:end w:w="120" w:type="dxa"/>
            </w:tcMar>
            <w:vAlign w:val="center"/>
          </w:tcPr>
          <w:p>
            <w:pPr>
              <w:spacing w:after="0"/>
              <w:jc w:val="right"/>
            </w:pPr>
            <w:r>
              <w:rPr>
                <w:rFonts w:ascii="Calibri" w:hAnsi="Calibri"/>
                <w:color w:val="111827"/>
                <w:sz w:val="18"/>
              </w:rPr>
              <w:t>6.3%</w:t>
            </w:r>
          </w:p>
        </w:tc>
      </w:tr>
      <w:tr>
        <w:tc>
          <w:tcPr>
            <w:tcW w:type="dxa" w:w="2300"/>
            <w:tcMar>
              <w:top w:w="80" w:type="dxa"/>
              <w:start w:w="120" w:type="dxa"/>
              <w:bottom w:w="80" w:type="dxa"/>
              <w:end w:w="120" w:type="dxa"/>
            </w:tcMar>
            <w:vAlign w:val="center"/>
          </w:tcPr>
          <w:p>
            <w:pPr>
              <w:spacing w:after="0"/>
            </w:pPr>
            <w:r>
              <w:rPr>
                <w:rFonts w:ascii="Calibri" w:hAnsi="Calibri"/>
                <w:color w:val="111827"/>
                <w:sz w:val="18"/>
              </w:rPr>
              <w:t>GT-LIP-BALM</w:t>
            </w:r>
          </w:p>
        </w:tc>
        <w:tc>
          <w:tcPr>
            <w:tcW w:type="dxa" w:w="3840"/>
            <w:tcMar>
              <w:top w:w="80" w:type="dxa"/>
              <w:start w:w="120" w:type="dxa"/>
              <w:bottom w:w="80" w:type="dxa"/>
              <w:end w:w="120" w:type="dxa"/>
            </w:tcMar>
            <w:vAlign w:val="center"/>
          </w:tcPr>
          <w:p>
            <w:pPr>
              <w:spacing w:after="0"/>
            </w:pPr>
            <w:r>
              <w:rPr>
                <w:rFonts w:ascii="Calibri" w:hAnsi="Calibri"/>
                <w:color w:val="111827"/>
                <w:sz w:val="18"/>
              </w:rPr>
              <w:t>Cost imputed; validate before decision</w:t>
            </w:r>
          </w:p>
        </w:tc>
        <w:tc>
          <w:tcPr>
            <w:tcW w:type="dxa" w:w="1610"/>
            <w:tcMar>
              <w:top w:w="80" w:type="dxa"/>
              <w:start w:w="120" w:type="dxa"/>
              <w:bottom w:w="80" w:type="dxa"/>
              <w:end w:w="120" w:type="dxa"/>
            </w:tcMar>
            <w:vAlign w:val="center"/>
          </w:tcPr>
          <w:p>
            <w:pPr>
              <w:spacing w:after="0"/>
              <w:jc w:val="right"/>
            </w:pPr>
            <w:r>
              <w:rPr>
                <w:rFonts w:ascii="Calibri" w:hAnsi="Calibri"/>
                <w:color w:val="111827"/>
                <w:sz w:val="18"/>
              </w:rPr>
              <w:t>$6</w:t>
            </w:r>
          </w:p>
        </w:tc>
        <w:tc>
          <w:tcPr>
            <w:tcW w:type="dxa" w:w="1610"/>
            <w:tcMar>
              <w:top w:w="80" w:type="dxa"/>
              <w:start w:w="120" w:type="dxa"/>
              <w:bottom w:w="80" w:type="dxa"/>
              <w:end w:w="120" w:type="dxa"/>
            </w:tcMar>
            <w:vAlign w:val="center"/>
          </w:tcPr>
          <w:p>
            <w:pPr>
              <w:spacing w:after="0"/>
              <w:jc w:val="right"/>
            </w:pPr>
            <w:r>
              <w:rPr>
                <w:rFonts w:ascii="Calibri" w:hAnsi="Calibri"/>
                <w:color w:val="111827"/>
                <w:sz w:val="18"/>
              </w:rPr>
              <w:t>2.6%</w:t>
            </w:r>
          </w:p>
        </w:tc>
      </w:tr>
    </w:tbl>
    <w:p>
      <w:pPr>
        <w:spacing w:after="40"/>
      </w:pPr>
    </w:p>
    <w:p>
      <w:pPr>
        <w:spacing w:after="120" w:line="264" w:lineRule="auto"/>
      </w:pPr>
      <w:r>
        <w:rPr>
          <w:rFonts w:ascii="Calibri" w:hAnsi="Calibri"/>
          <w:b/>
          <w:color w:val="111827"/>
        </w:rPr>
        <w:t xml:space="preserve">2. Fix the advertising decision loop. </w:t>
      </w:r>
      <w:r>
        <w:rPr>
          <w:rFonts w:ascii="Calibri" w:hAnsi="Calibri"/>
          <w:color w:val="111827"/>
        </w:rPr>
        <w:t>$50.6K of advertising cost equals 98.7% of CM1. Ingest campaign and advertised-SKU detail, then govern spend to CM after ads rather than revenue or ROAS alone.</w:t>
      </w:r>
    </w:p>
    <w:p>
      <w:pPr>
        <w:pStyle w:val="Heading2"/>
        <w:keepNext/>
      </w:pPr>
      <w:r>
        <w:t>Inventory actions from the 6/30 snapshot</w:t>
      </w:r>
    </w:p>
    <w:tbl>
      <w:tblPr>
        <w:tblStyle w:val="TableGrid"/>
        <w:tblW w:type="dxa" w:w="9360"/>
        <w:tblLayout w:type="fixed"/>
        <w:tblLook w:firstColumn="1" w:firstRow="1" w:lastColumn="0" w:lastRow="0" w:noHBand="0" w:noVBand="1" w:val="04A0"/>
        <w:jc w:val="left"/>
        <w:tblInd w:w="120" w:type="dxa"/>
      </w:tblPr>
      <w:tblGrid>
        <w:gridCol w:w="2300"/>
        <w:gridCol w:w="1500"/>
        <w:gridCol w:w="1500"/>
        <w:gridCol w:w="1500"/>
        <w:gridCol w:w="2560"/>
      </w:tblGrid>
      <w:tr>
        <w:trPr>
          <w:tblHeader w:val="true"/>
        </w:trPr>
        <w:tc>
          <w:tcPr>
            <w:tcW w:type="dxa" w:w="2300"/>
            <w:tcMar>
              <w:top w:w="80" w:type="dxa"/>
              <w:start w:w="120" w:type="dxa"/>
              <w:bottom w:w="80" w:type="dxa"/>
              <w:end w:w="120" w:type="dxa"/>
            </w:tcMar>
            <w:vAlign w:val="center"/>
            <w:shd w:fill="0B2545"/>
          </w:tcPr>
          <w:p>
            <w:pPr>
              <w:spacing w:after="0"/>
            </w:pPr>
            <w:r>
              <w:rPr>
                <w:rFonts w:ascii="Calibri" w:hAnsi="Calibri"/>
                <w:b/>
                <w:color w:val="FFFFFF"/>
                <w:sz w:val="18"/>
              </w:rPr>
              <w:t>SKU</w:t>
            </w:r>
          </w:p>
        </w:tc>
        <w:tc>
          <w:tcPr>
            <w:tcW w:type="dxa" w:w="1500"/>
            <w:tcMar>
              <w:top w:w="80" w:type="dxa"/>
              <w:start w:w="120" w:type="dxa"/>
              <w:bottom w:w="80" w:type="dxa"/>
              <w:end w:w="120" w:type="dxa"/>
            </w:tcMar>
            <w:vAlign w:val="center"/>
            <w:shd w:fill="0B2545"/>
          </w:tcPr>
          <w:p>
            <w:pPr>
              <w:spacing w:after="0"/>
              <w:jc w:val="right"/>
            </w:pPr>
            <w:r>
              <w:rPr>
                <w:rFonts w:ascii="Calibri" w:hAnsi="Calibri"/>
                <w:b/>
                <w:color w:val="FFFFFF"/>
                <w:sz w:val="18"/>
              </w:rPr>
              <w:t>Fulfillable</w:t>
            </w:r>
          </w:p>
        </w:tc>
        <w:tc>
          <w:tcPr>
            <w:tcW w:type="dxa" w:w="1500"/>
            <w:tcMar>
              <w:top w:w="80" w:type="dxa"/>
              <w:start w:w="120" w:type="dxa"/>
              <w:bottom w:w="80" w:type="dxa"/>
              <w:end w:w="120" w:type="dxa"/>
            </w:tcMar>
            <w:vAlign w:val="center"/>
            <w:shd w:fill="0B2545"/>
          </w:tcPr>
          <w:p>
            <w:pPr>
              <w:spacing w:after="0"/>
              <w:jc w:val="right"/>
            </w:pPr>
            <w:r>
              <w:rPr>
                <w:rFonts w:ascii="Calibri" w:hAnsi="Calibri"/>
                <w:b/>
                <w:color w:val="FFFFFF"/>
                <w:sz w:val="18"/>
              </w:rPr>
              <w:t>Inbound</w:t>
            </w:r>
          </w:p>
        </w:tc>
        <w:tc>
          <w:tcPr>
            <w:tcW w:type="dxa" w:w="1500"/>
            <w:tcMar>
              <w:top w:w="80" w:type="dxa"/>
              <w:start w:w="120" w:type="dxa"/>
              <w:bottom w:w="80" w:type="dxa"/>
              <w:end w:w="120" w:type="dxa"/>
            </w:tcMar>
            <w:vAlign w:val="center"/>
            <w:shd w:fill="0B2545"/>
          </w:tcPr>
          <w:p>
            <w:pPr>
              <w:spacing w:after="0"/>
              <w:jc w:val="right"/>
            </w:pPr>
            <w:r>
              <w:rPr>
                <w:rFonts w:ascii="Calibri" w:hAnsi="Calibri"/>
                <w:b/>
                <w:color w:val="FFFFFF"/>
                <w:sz w:val="18"/>
              </w:rPr>
              <w:t>Days cover</w:t>
            </w:r>
          </w:p>
        </w:tc>
        <w:tc>
          <w:tcPr>
            <w:tcW w:type="dxa" w:w="2560"/>
            <w:tcMar>
              <w:top w:w="80" w:type="dxa"/>
              <w:start w:w="120" w:type="dxa"/>
              <w:bottom w:w="80" w:type="dxa"/>
              <w:end w:w="120" w:type="dxa"/>
            </w:tcMar>
            <w:vAlign w:val="center"/>
            <w:shd w:fill="0B2545"/>
          </w:tcPr>
          <w:p>
            <w:pPr>
              <w:spacing w:after="0"/>
            </w:pPr>
            <w:r>
              <w:rPr>
                <w:rFonts w:ascii="Calibri" w:hAnsi="Calibri"/>
                <w:b/>
                <w:color w:val="FFFFFF"/>
                <w:sz w:val="18"/>
              </w:rPr>
              <w:t>Action</w:t>
            </w:r>
          </w:p>
        </w:tc>
      </w:tr>
      <w:tr>
        <w:tc>
          <w:tcPr>
            <w:tcW w:type="dxa" w:w="2300"/>
            <w:tcMar>
              <w:top w:w="80" w:type="dxa"/>
              <w:start w:w="120" w:type="dxa"/>
              <w:bottom w:w="80" w:type="dxa"/>
              <w:end w:w="120" w:type="dxa"/>
            </w:tcMar>
            <w:vAlign w:val="center"/>
          </w:tcPr>
          <w:p>
            <w:pPr>
              <w:spacing w:after="0"/>
            </w:pPr>
            <w:r>
              <w:rPr>
                <w:rFonts w:ascii="Calibri" w:hAnsi="Calibri"/>
                <w:color w:val="111827"/>
                <w:sz w:val="18"/>
              </w:rPr>
              <w:t>PF-WHEY-CHOC</w:t>
            </w:r>
          </w:p>
        </w:tc>
        <w:tc>
          <w:tcPr>
            <w:tcW w:type="dxa" w:w="1500"/>
            <w:tcMar>
              <w:top w:w="80" w:type="dxa"/>
              <w:start w:w="120" w:type="dxa"/>
              <w:bottom w:w="80" w:type="dxa"/>
              <w:end w:w="120" w:type="dxa"/>
            </w:tcMar>
            <w:vAlign w:val="center"/>
          </w:tcPr>
          <w:p>
            <w:pPr>
              <w:spacing w:after="0"/>
              <w:jc w:val="right"/>
            </w:pPr>
            <w:r>
              <w:rPr>
                <w:rFonts w:ascii="Calibri" w:hAnsi="Calibri"/>
                <w:color w:val="111827"/>
                <w:sz w:val="18"/>
              </w:rPr>
              <w:t>205</w:t>
            </w:r>
          </w:p>
        </w:tc>
        <w:tc>
          <w:tcPr>
            <w:tcW w:type="dxa" w:w="1500"/>
            <w:tcMar>
              <w:top w:w="80" w:type="dxa"/>
              <w:start w:w="120" w:type="dxa"/>
              <w:bottom w:w="80" w:type="dxa"/>
              <w:end w:w="120" w:type="dxa"/>
            </w:tcMar>
            <w:vAlign w:val="center"/>
          </w:tcPr>
          <w:p>
            <w:pPr>
              <w:spacing w:after="0"/>
              <w:jc w:val="right"/>
            </w:pPr>
            <w:r>
              <w:rPr>
                <w:rFonts w:ascii="Calibri" w:hAnsi="Calibri"/>
                <w:color w:val="111827"/>
                <w:sz w:val="18"/>
              </w:rPr>
              <w:t>0</w:t>
            </w:r>
          </w:p>
        </w:tc>
        <w:tc>
          <w:tcPr>
            <w:tcW w:type="dxa" w:w="1500"/>
            <w:tcMar>
              <w:top w:w="80" w:type="dxa"/>
              <w:start w:w="120" w:type="dxa"/>
              <w:bottom w:w="80" w:type="dxa"/>
              <w:end w:w="120" w:type="dxa"/>
            </w:tcMar>
            <w:vAlign w:val="center"/>
          </w:tcPr>
          <w:p>
            <w:pPr>
              <w:spacing w:after="0"/>
              <w:jc w:val="right"/>
            </w:pPr>
            <w:r>
              <w:rPr>
                <w:rFonts w:ascii="Calibri" w:hAnsi="Calibri"/>
                <w:color w:val="111827"/>
                <w:sz w:val="18"/>
              </w:rPr>
              <w:t>47</w:t>
            </w:r>
          </w:p>
        </w:tc>
        <w:tc>
          <w:tcPr>
            <w:tcW w:type="dxa" w:w="2560"/>
            <w:tcMar>
              <w:top w:w="80" w:type="dxa"/>
              <w:start w:w="120" w:type="dxa"/>
              <w:bottom w:w="80" w:type="dxa"/>
              <w:end w:w="120" w:type="dxa"/>
            </w:tcMar>
            <w:vAlign w:val="center"/>
          </w:tcPr>
          <w:p>
            <w:pPr>
              <w:spacing w:after="0"/>
            </w:pPr>
            <w:r>
              <w:rPr>
                <w:rFonts w:ascii="Calibri" w:hAnsi="Calibri"/>
                <w:color w:val="111827"/>
                <w:sz w:val="18"/>
              </w:rPr>
              <w:t>EXPEDITE / REORDER</w:t>
            </w:r>
          </w:p>
        </w:tc>
      </w:tr>
      <w:tr>
        <w:tc>
          <w:tcPr>
            <w:tcW w:type="dxa" w:w="2300"/>
            <w:shd w:fill="F2F4F7"/>
            <w:tcMar>
              <w:top w:w="80" w:type="dxa"/>
              <w:start w:w="120" w:type="dxa"/>
              <w:bottom w:w="80" w:type="dxa"/>
              <w:end w:w="120" w:type="dxa"/>
            </w:tcMar>
            <w:vAlign w:val="center"/>
          </w:tcPr>
          <w:p>
            <w:pPr>
              <w:spacing w:after="0"/>
            </w:pPr>
            <w:r>
              <w:rPr>
                <w:rFonts w:ascii="Calibri" w:hAnsi="Calibri"/>
                <w:color w:val="111827"/>
                <w:sz w:val="18"/>
              </w:rPr>
              <w:t>GT-SERUM-VITC</w:t>
            </w:r>
          </w:p>
        </w:tc>
        <w:tc>
          <w:tcPr>
            <w:tcW w:type="dxa" w:w="1500"/>
            <w:shd w:fill="F2F4F7"/>
            <w:tcMar>
              <w:top w:w="80" w:type="dxa"/>
              <w:start w:w="120" w:type="dxa"/>
              <w:bottom w:w="80" w:type="dxa"/>
              <w:end w:w="120" w:type="dxa"/>
            </w:tcMar>
            <w:vAlign w:val="center"/>
          </w:tcPr>
          <w:p>
            <w:pPr>
              <w:spacing w:after="0"/>
              <w:jc w:val="right"/>
            </w:pPr>
            <w:r>
              <w:rPr>
                <w:rFonts w:ascii="Calibri" w:hAnsi="Calibri"/>
                <w:color w:val="111827"/>
                <w:sz w:val="18"/>
              </w:rPr>
              <w:t>299</w:t>
            </w:r>
          </w:p>
        </w:tc>
        <w:tc>
          <w:tcPr>
            <w:tcW w:type="dxa" w:w="1500"/>
            <w:shd w:fill="F2F4F7"/>
            <w:tcMar>
              <w:top w:w="80" w:type="dxa"/>
              <w:start w:w="120" w:type="dxa"/>
              <w:bottom w:w="80" w:type="dxa"/>
              <w:end w:w="120" w:type="dxa"/>
            </w:tcMar>
            <w:vAlign w:val="center"/>
          </w:tcPr>
          <w:p>
            <w:pPr>
              <w:spacing w:after="0"/>
              <w:jc w:val="right"/>
            </w:pPr>
            <w:r>
              <w:rPr>
                <w:rFonts w:ascii="Calibri" w:hAnsi="Calibri"/>
                <w:color w:val="111827"/>
                <w:sz w:val="18"/>
              </w:rPr>
              <w:t>0</w:t>
            </w:r>
          </w:p>
        </w:tc>
        <w:tc>
          <w:tcPr>
            <w:tcW w:type="dxa" w:w="1500"/>
            <w:shd w:fill="F2F4F7"/>
            <w:tcMar>
              <w:top w:w="80" w:type="dxa"/>
              <w:start w:w="120" w:type="dxa"/>
              <w:bottom w:w="80" w:type="dxa"/>
              <w:end w:w="120" w:type="dxa"/>
            </w:tcMar>
            <w:vAlign w:val="center"/>
          </w:tcPr>
          <w:p>
            <w:pPr>
              <w:spacing w:after="0"/>
              <w:jc w:val="right"/>
            </w:pPr>
            <w:r>
              <w:rPr>
                <w:rFonts w:ascii="Calibri" w:hAnsi="Calibri"/>
                <w:color w:val="111827"/>
                <w:sz w:val="18"/>
              </w:rPr>
              <w:t>56</w:t>
            </w:r>
          </w:p>
        </w:tc>
        <w:tc>
          <w:tcPr>
            <w:tcW w:type="dxa" w:w="2560"/>
            <w:shd w:fill="F2F4F7"/>
            <w:tcMar>
              <w:top w:w="80" w:type="dxa"/>
              <w:start w:w="120" w:type="dxa"/>
              <w:bottom w:w="80" w:type="dxa"/>
              <w:end w:w="120" w:type="dxa"/>
            </w:tcMar>
            <w:vAlign w:val="center"/>
          </w:tcPr>
          <w:p>
            <w:pPr>
              <w:spacing w:after="0"/>
            </w:pPr>
            <w:r>
              <w:rPr>
                <w:rFonts w:ascii="Calibri" w:hAnsi="Calibri"/>
                <w:color w:val="111827"/>
                <w:sz w:val="18"/>
              </w:rPr>
              <w:t>EXPEDITE / REORDER</w:t>
            </w:r>
          </w:p>
        </w:tc>
      </w:tr>
      <w:tr>
        <w:tc>
          <w:tcPr>
            <w:tcW w:type="dxa" w:w="2300"/>
            <w:tcMar>
              <w:top w:w="80" w:type="dxa"/>
              <w:start w:w="120" w:type="dxa"/>
              <w:bottom w:w="80" w:type="dxa"/>
              <w:end w:w="120" w:type="dxa"/>
            </w:tcMar>
            <w:vAlign w:val="center"/>
          </w:tcPr>
          <w:p>
            <w:pPr>
              <w:spacing w:after="0"/>
            </w:pPr>
            <w:r>
              <w:rPr>
                <w:rFonts w:ascii="Calibri" w:hAnsi="Calibri"/>
                <w:color w:val="111827"/>
                <w:sz w:val="18"/>
              </w:rPr>
              <w:t>GT-LIP-BALM</w:t>
            </w:r>
          </w:p>
        </w:tc>
        <w:tc>
          <w:tcPr>
            <w:tcW w:type="dxa" w:w="1500"/>
            <w:tcMar>
              <w:top w:w="80" w:type="dxa"/>
              <w:start w:w="120" w:type="dxa"/>
              <w:bottom w:w="80" w:type="dxa"/>
              <w:end w:w="120" w:type="dxa"/>
            </w:tcMar>
            <w:vAlign w:val="center"/>
          </w:tcPr>
          <w:p>
            <w:pPr>
              <w:spacing w:after="0"/>
              <w:jc w:val="right"/>
            </w:pPr>
            <w:r>
              <w:rPr>
                <w:rFonts w:ascii="Calibri" w:hAnsi="Calibri"/>
                <w:color w:val="111827"/>
                <w:sz w:val="18"/>
              </w:rPr>
              <w:t>1,182</w:t>
            </w:r>
          </w:p>
        </w:tc>
        <w:tc>
          <w:tcPr>
            <w:tcW w:type="dxa" w:w="1500"/>
            <w:tcMar>
              <w:top w:w="80" w:type="dxa"/>
              <w:start w:w="120" w:type="dxa"/>
              <w:bottom w:w="80" w:type="dxa"/>
              <w:end w:w="120" w:type="dxa"/>
            </w:tcMar>
            <w:vAlign w:val="center"/>
          </w:tcPr>
          <w:p>
            <w:pPr>
              <w:spacing w:after="0"/>
              <w:jc w:val="right"/>
            </w:pPr>
            <w:r>
              <w:rPr>
                <w:rFonts w:ascii="Calibri" w:hAnsi="Calibri"/>
                <w:color w:val="111827"/>
                <w:sz w:val="18"/>
              </w:rPr>
              <w:t>300</w:t>
            </w:r>
          </w:p>
        </w:tc>
        <w:tc>
          <w:tcPr>
            <w:tcW w:type="dxa" w:w="1500"/>
            <w:tcMar>
              <w:top w:w="80" w:type="dxa"/>
              <w:start w:w="120" w:type="dxa"/>
              <w:bottom w:w="80" w:type="dxa"/>
              <w:end w:w="120" w:type="dxa"/>
            </w:tcMar>
            <w:vAlign w:val="center"/>
          </w:tcPr>
          <w:p>
            <w:pPr>
              <w:spacing w:after="0"/>
              <w:jc w:val="right"/>
            </w:pPr>
            <w:r>
              <w:rPr>
                <w:rFonts w:ascii="Calibri" w:hAnsi="Calibri"/>
                <w:color w:val="111827"/>
                <w:sz w:val="18"/>
              </w:rPr>
              <w:t>4,677</w:t>
            </w:r>
          </w:p>
        </w:tc>
        <w:tc>
          <w:tcPr>
            <w:tcW w:type="dxa" w:w="2560"/>
            <w:tcMar>
              <w:top w:w="80" w:type="dxa"/>
              <w:start w:w="120" w:type="dxa"/>
              <w:bottom w:w="80" w:type="dxa"/>
              <w:end w:w="120" w:type="dxa"/>
            </w:tcMar>
            <w:vAlign w:val="center"/>
          </w:tcPr>
          <w:p>
            <w:pPr>
              <w:spacing w:after="0"/>
            </w:pPr>
            <w:r>
              <w:rPr>
                <w:rFonts w:ascii="Calibri" w:hAnsi="Calibri"/>
                <w:color w:val="111827"/>
                <w:sz w:val="18"/>
              </w:rPr>
              <w:t>SLOW-MOVER REVIEW</w:t>
            </w:r>
          </w:p>
        </w:tc>
      </w:tr>
      <w:tr>
        <w:tc>
          <w:tcPr>
            <w:tcW w:type="dxa" w:w="2300"/>
            <w:shd w:fill="F2F4F7"/>
            <w:tcMar>
              <w:top w:w="80" w:type="dxa"/>
              <w:start w:w="120" w:type="dxa"/>
              <w:bottom w:w="80" w:type="dxa"/>
              <w:end w:w="120" w:type="dxa"/>
            </w:tcMar>
            <w:vAlign w:val="center"/>
          </w:tcPr>
          <w:p>
            <w:pPr>
              <w:spacing w:after="0"/>
            </w:pPr>
            <w:r>
              <w:rPr>
                <w:rFonts w:ascii="Calibri" w:hAnsi="Calibri"/>
                <w:color w:val="111827"/>
                <w:sz w:val="18"/>
              </w:rPr>
              <w:t>GT-ROLLER-JADE</w:t>
            </w:r>
          </w:p>
        </w:tc>
        <w:tc>
          <w:tcPr>
            <w:tcW w:type="dxa" w:w="1500"/>
            <w:shd w:fill="F2F4F7"/>
            <w:tcMar>
              <w:top w:w="80" w:type="dxa"/>
              <w:start w:w="120" w:type="dxa"/>
              <w:bottom w:w="80" w:type="dxa"/>
              <w:end w:w="120" w:type="dxa"/>
            </w:tcMar>
            <w:vAlign w:val="center"/>
          </w:tcPr>
          <w:p>
            <w:pPr>
              <w:spacing w:after="0"/>
              <w:jc w:val="right"/>
            </w:pPr>
            <w:r>
              <w:rPr>
                <w:rFonts w:ascii="Calibri" w:hAnsi="Calibri"/>
                <w:color w:val="111827"/>
                <w:sz w:val="18"/>
              </w:rPr>
              <w:t>1,068</w:t>
            </w:r>
          </w:p>
        </w:tc>
        <w:tc>
          <w:tcPr>
            <w:tcW w:type="dxa" w:w="1500"/>
            <w:shd w:fill="F2F4F7"/>
            <w:tcMar>
              <w:top w:w="80" w:type="dxa"/>
              <w:start w:w="120" w:type="dxa"/>
              <w:bottom w:w="80" w:type="dxa"/>
              <w:end w:w="120" w:type="dxa"/>
            </w:tcMar>
            <w:vAlign w:val="center"/>
          </w:tcPr>
          <w:p>
            <w:pPr>
              <w:spacing w:after="0"/>
              <w:jc w:val="right"/>
            </w:pPr>
            <w:r>
              <w:rPr>
                <w:rFonts w:ascii="Calibri" w:hAnsi="Calibri"/>
                <w:color w:val="111827"/>
                <w:sz w:val="18"/>
              </w:rPr>
              <w:t>300</w:t>
            </w:r>
          </w:p>
        </w:tc>
        <w:tc>
          <w:tcPr>
            <w:tcW w:type="dxa" w:w="1500"/>
            <w:shd w:fill="F2F4F7"/>
            <w:tcMar>
              <w:top w:w="80" w:type="dxa"/>
              <w:start w:w="120" w:type="dxa"/>
              <w:bottom w:w="80" w:type="dxa"/>
              <w:end w:w="120" w:type="dxa"/>
            </w:tcMar>
            <w:vAlign w:val="center"/>
          </w:tcPr>
          <w:p>
            <w:pPr>
              <w:spacing w:after="0"/>
              <w:jc w:val="right"/>
            </w:pPr>
            <w:r>
              <w:rPr>
                <w:rFonts w:ascii="Calibri" w:hAnsi="Calibri"/>
                <w:color w:val="111827"/>
                <w:sz w:val="18"/>
              </w:rPr>
              <w:t>992</w:t>
            </w:r>
          </w:p>
        </w:tc>
        <w:tc>
          <w:tcPr>
            <w:tcW w:type="dxa" w:w="2560"/>
            <w:shd w:fill="F2F4F7"/>
            <w:tcMar>
              <w:top w:w="80" w:type="dxa"/>
              <w:start w:w="120" w:type="dxa"/>
              <w:bottom w:w="80" w:type="dxa"/>
              <w:end w:w="120" w:type="dxa"/>
            </w:tcMar>
            <w:vAlign w:val="center"/>
          </w:tcPr>
          <w:p>
            <w:pPr>
              <w:spacing w:after="0"/>
            </w:pPr>
            <w:r>
              <w:rPr>
                <w:rFonts w:ascii="Calibri" w:hAnsi="Calibri"/>
                <w:color w:val="111827"/>
                <w:sz w:val="18"/>
              </w:rPr>
              <w:t>SLOW-MOVER REVIEW</w:t>
            </w:r>
          </w:p>
        </w:tc>
      </w:tr>
    </w:tbl>
    <w:p>
      <w:pPr>
        <w:spacing w:after="40"/>
      </w:pPr>
    </w:p>
    <w:p>
      <w:pPr>
        <w:spacing w:after="120" w:line="264" w:lineRule="auto"/>
      </w:pPr>
      <w:r>
        <w:rPr>
          <w:rFonts w:ascii="Calibri" w:hAnsi="Calibri"/>
          <w:b/>
          <w:color w:val="111827"/>
        </w:rPr>
        <w:t xml:space="preserve">3. Rebalance inventory and cash. </w:t>
      </w:r>
      <w:r>
        <w:rPr>
          <w:rFonts w:ascii="Calibri" w:hAnsi="Calibri"/>
          <w:color w:val="111827"/>
        </w:rPr>
        <w:t>PF-WHEY-CHOC and GT-SERUM-VITC have 47 and 56 days of fulfillable cover with no inbound shown. At the other extreme, 13 SKUs exceed one year of cover at Q2 demand; stop blanket replenishment and review promotions, bundles, and purchase commitments.</w:t>
      </w:r>
    </w:p>
    <w:p>
      <w:r>
        <w:br w:type="page"/>
      </w:r>
    </w:p>
    <w:p>
      <w:pPr>
        <w:pStyle w:val="Heading1"/>
        <w:keepNext/>
      </w:pPr>
      <w:r>
        <w:t>3. First 90 days: automate trust, then decisions</w:t>
      </w:r>
    </w:p>
    <w:p>
      <w:pPr>
        <w:spacing w:after="120" w:line="264" w:lineRule="auto"/>
      </w:pPr>
      <w:r>
        <w:rPr>
          <w:rFonts w:ascii="Calibri" w:hAnsi="Calibri"/>
          <w:color w:val="111827"/>
        </w:rPr>
        <w:t>The sequence follows dependency order: controlled source delivery first, close and management reporting second, and forward-looking inventory/ad decisions third.</w:t>
      </w:r>
    </w:p>
    <w:tbl>
      <w:tblPr>
        <w:tblStyle w:val="TableGrid"/>
        <w:tblW w:type="dxa" w:w="9360"/>
        <w:tblLayout w:type="fixed"/>
        <w:tblLook w:firstColumn="1" w:firstRow="1" w:lastColumn="0" w:lastRow="0" w:noHBand="0" w:noVBand="1" w:val="04A0"/>
        <w:jc w:val="left"/>
        <w:tblInd w:w="120" w:type="dxa"/>
      </w:tblPr>
      <w:tblGrid>
        <w:gridCol w:w="1450"/>
        <w:gridCol w:w="4500"/>
        <w:gridCol w:w="3410"/>
      </w:tblGrid>
      <w:tr>
        <w:trPr>
          <w:tblHeader w:val="true"/>
        </w:trPr>
        <w:tc>
          <w:tcPr>
            <w:tcW w:type="dxa" w:w="1450"/>
            <w:tcMar>
              <w:top w:w="80" w:type="dxa"/>
              <w:start w:w="120" w:type="dxa"/>
              <w:bottom w:w="80" w:type="dxa"/>
              <w:end w:w="120" w:type="dxa"/>
            </w:tcMar>
            <w:vAlign w:val="center"/>
            <w:shd w:fill="0B2545"/>
          </w:tcPr>
          <w:p>
            <w:pPr>
              <w:spacing w:after="0"/>
            </w:pPr>
            <w:r>
              <w:rPr>
                <w:rFonts w:ascii="Calibri" w:hAnsi="Calibri"/>
                <w:b/>
                <w:color w:val="FFFFFF"/>
                <w:sz w:val="18"/>
              </w:rPr>
              <w:t>Timing</w:t>
            </w:r>
          </w:p>
        </w:tc>
        <w:tc>
          <w:tcPr>
            <w:tcW w:type="dxa" w:w="4500"/>
            <w:tcMar>
              <w:top w:w="80" w:type="dxa"/>
              <w:start w:w="120" w:type="dxa"/>
              <w:bottom w:w="80" w:type="dxa"/>
              <w:end w:w="120" w:type="dxa"/>
            </w:tcMar>
            <w:vAlign w:val="center"/>
            <w:shd w:fill="0B2545"/>
          </w:tcPr>
          <w:p>
            <w:pPr>
              <w:spacing w:after="0"/>
            </w:pPr>
            <w:r>
              <w:rPr>
                <w:rFonts w:ascii="Calibri" w:hAnsi="Calibri"/>
                <w:b/>
                <w:color w:val="FFFFFF"/>
                <w:sz w:val="18"/>
              </w:rPr>
              <w:t>What to automate</w:t>
            </w:r>
          </w:p>
        </w:tc>
        <w:tc>
          <w:tcPr>
            <w:tcW w:type="dxa" w:w="3410"/>
            <w:tcMar>
              <w:top w:w="80" w:type="dxa"/>
              <w:start w:w="120" w:type="dxa"/>
              <w:bottom w:w="80" w:type="dxa"/>
              <w:end w:w="120" w:type="dxa"/>
            </w:tcMar>
            <w:vAlign w:val="center"/>
            <w:shd w:fill="0B2545"/>
          </w:tcPr>
          <w:p>
            <w:pPr>
              <w:spacing w:after="0"/>
            </w:pPr>
            <w:r>
              <w:rPr>
                <w:rFonts w:ascii="Calibri" w:hAnsi="Calibri"/>
                <w:b/>
                <w:color w:val="FFFFFF"/>
                <w:sz w:val="18"/>
              </w:rPr>
              <w:t>Why now / tangible output</w:t>
            </w:r>
          </w:p>
        </w:tc>
      </w:tr>
      <w:tr>
        <w:tc>
          <w:tcPr>
            <w:tcW w:type="dxa" w:w="1450"/>
            <w:tcMar>
              <w:top w:w="80" w:type="dxa"/>
              <w:start w:w="120" w:type="dxa"/>
              <w:bottom w:w="80" w:type="dxa"/>
              <w:end w:w="120" w:type="dxa"/>
            </w:tcMar>
            <w:vAlign w:val="center"/>
          </w:tcPr>
          <w:p>
            <w:pPr>
              <w:spacing w:after="0"/>
            </w:pPr>
            <w:r>
              <w:rPr>
                <w:rFonts w:ascii="Calibri" w:hAnsi="Calibri"/>
                <w:color w:val="111827"/>
                <w:sz w:val="18"/>
              </w:rPr>
              <w:t>Days 1-30</w:t>
            </w:r>
          </w:p>
        </w:tc>
        <w:tc>
          <w:tcPr>
            <w:tcW w:type="dxa" w:w="4500"/>
            <w:tcMar>
              <w:top w:w="80" w:type="dxa"/>
              <w:start w:w="120" w:type="dxa"/>
              <w:bottom w:w="80" w:type="dxa"/>
              <w:end w:w="120" w:type="dxa"/>
            </w:tcMar>
            <w:vAlign w:val="center"/>
          </w:tcPr>
          <w:p>
            <w:pPr>
              <w:spacing w:after="0"/>
            </w:pPr>
            <w:r>
              <w:rPr>
                <w:rFonts w:ascii="Calibri" w:hAnsi="Calibri"/>
                <w:color w:val="111827"/>
                <w:sz w:val="18"/>
              </w:rPr>
              <w:t>Scheduled QuickBooks, REACH, Amazon, and Sheet ingestion; immutable raw files; product/UOM/alias governance; freshness, schema, duplicate, and reconciliation tests.</w:t>
            </w:r>
          </w:p>
        </w:tc>
        <w:tc>
          <w:tcPr>
            <w:tcW w:type="dxa" w:w="3410"/>
            <w:tcMar>
              <w:top w:w="80" w:type="dxa"/>
              <w:start w:w="120" w:type="dxa"/>
              <w:bottom w:w="80" w:type="dxa"/>
              <w:end w:w="120" w:type="dxa"/>
            </w:tcMar>
            <w:vAlign w:val="center"/>
          </w:tcPr>
          <w:p>
            <w:pPr>
              <w:spacing w:after="0"/>
            </w:pPr>
            <w:r>
              <w:rPr>
                <w:rFonts w:ascii="Calibri" w:hAnsi="Calibri"/>
                <w:color w:val="111827"/>
                <w:sz w:val="18"/>
              </w:rPr>
              <w:t>Prevents scaled errors. Output: daily source-control dashboard and owned exception queue.</w:t>
            </w:r>
          </w:p>
        </w:tc>
      </w:tr>
      <w:tr>
        <w:tc>
          <w:tcPr>
            <w:tcW w:type="dxa" w:w="1450"/>
            <w:shd w:fill="F2F4F7"/>
            <w:tcMar>
              <w:top w:w="80" w:type="dxa"/>
              <w:start w:w="120" w:type="dxa"/>
              <w:bottom w:w="80" w:type="dxa"/>
              <w:end w:w="120" w:type="dxa"/>
            </w:tcMar>
            <w:vAlign w:val="center"/>
          </w:tcPr>
          <w:p>
            <w:pPr>
              <w:spacing w:after="0"/>
            </w:pPr>
            <w:r>
              <w:rPr>
                <w:rFonts w:ascii="Calibri" w:hAnsi="Calibri"/>
                <w:color w:val="111827"/>
                <w:sz w:val="18"/>
              </w:rPr>
              <w:t>Days 31-60</w:t>
            </w:r>
          </w:p>
        </w:tc>
        <w:tc>
          <w:tcPr>
            <w:tcW w:type="dxa" w:w="4500"/>
            <w:shd w:fill="F2F4F7"/>
            <w:tcMar>
              <w:top w:w="80" w:type="dxa"/>
              <w:start w:w="120" w:type="dxa"/>
              <w:bottom w:w="80" w:type="dxa"/>
              <w:end w:w="120" w:type="dxa"/>
            </w:tcMar>
            <w:vAlign w:val="center"/>
          </w:tcPr>
          <w:p>
            <w:pPr>
              <w:spacing w:after="0"/>
            </w:pPr>
            <w:r>
              <w:rPr>
                <w:rFonts w:ascii="Calibri" w:hAnsi="Calibri"/>
                <w:color w:val="111827"/>
                <w:sz w:val="18"/>
              </w:rPr>
              <w:t>Marketplace transaction, landed-cost, inventory, advertising, and GL facts; daily/monthly SKU CM; Amazon cash and fee reconciliation to QuickBooks; Connected Sheets outputs.</w:t>
            </w:r>
          </w:p>
        </w:tc>
        <w:tc>
          <w:tcPr>
            <w:tcW w:type="dxa" w:w="3410"/>
            <w:shd w:fill="F2F4F7"/>
            <w:tcMar>
              <w:top w:w="80" w:type="dxa"/>
              <w:start w:w="120" w:type="dxa"/>
              <w:bottom w:w="80" w:type="dxa"/>
              <w:end w:w="120" w:type="dxa"/>
            </w:tcMar>
            <w:vAlign w:val="center"/>
          </w:tcPr>
          <w:p>
            <w:pPr>
              <w:spacing w:after="0"/>
            </w:pPr>
            <w:r>
              <w:rPr>
                <w:rFonts w:ascii="Calibri" w:hAnsi="Calibri"/>
                <w:color w:val="111827"/>
                <w:sz w:val="18"/>
              </w:rPr>
              <w:t>Removes highest-value recurring work. Output: close-ready channel P&amp;L and settlement-to-GL reconciliation.</w:t>
            </w:r>
          </w:p>
        </w:tc>
      </w:tr>
      <w:tr>
        <w:tc>
          <w:tcPr>
            <w:tcW w:type="dxa" w:w="1450"/>
            <w:tcMar>
              <w:top w:w="80" w:type="dxa"/>
              <w:start w:w="120" w:type="dxa"/>
              <w:bottom w:w="80" w:type="dxa"/>
              <w:end w:w="120" w:type="dxa"/>
            </w:tcMar>
            <w:vAlign w:val="center"/>
          </w:tcPr>
          <w:p>
            <w:pPr>
              <w:spacing w:after="0"/>
            </w:pPr>
            <w:r>
              <w:rPr>
                <w:rFonts w:ascii="Calibri" w:hAnsi="Calibri"/>
                <w:color w:val="111827"/>
                <w:sz w:val="18"/>
              </w:rPr>
              <w:t>Days 61-90</w:t>
            </w:r>
          </w:p>
        </w:tc>
        <w:tc>
          <w:tcPr>
            <w:tcW w:type="dxa" w:w="4500"/>
            <w:tcMar>
              <w:top w:w="80" w:type="dxa"/>
              <w:start w:w="120" w:type="dxa"/>
              <w:bottom w:w="80" w:type="dxa"/>
              <w:end w:w="120" w:type="dxa"/>
            </w:tcMar>
            <w:vAlign w:val="center"/>
          </w:tcPr>
          <w:p>
            <w:pPr>
              <w:spacing w:after="0"/>
            </w:pPr>
            <w:r>
              <w:rPr>
                <w:rFonts w:ascii="Calibri" w:hAnsi="Calibri"/>
                <w:color w:val="111827"/>
                <w:sz w:val="18"/>
              </w:rPr>
              <w:t>REACH PO lifecycle and receipts; inbound ETA; days cover, stockout, excess/aging, and cash-at-risk alerts; campaign/SKU ad attribution; forecast refresh and close SLAs.</w:t>
            </w:r>
          </w:p>
        </w:tc>
        <w:tc>
          <w:tcPr>
            <w:tcW w:type="dxa" w:w="3410"/>
            <w:tcMar>
              <w:top w:w="80" w:type="dxa"/>
              <w:start w:w="120" w:type="dxa"/>
              <w:bottom w:w="80" w:type="dxa"/>
              <w:end w:w="120" w:type="dxa"/>
            </w:tcMar>
            <w:vAlign w:val="center"/>
          </w:tcPr>
          <w:p>
            <w:pPr>
              <w:spacing w:after="0"/>
            </w:pPr>
            <w:r>
              <w:rPr>
                <w:rFonts w:ascii="Calibri" w:hAnsi="Calibri"/>
                <w:color w:val="111827"/>
                <w:sz w:val="18"/>
              </w:rPr>
              <w:t>Turns trusted history into action. Output: inventory/action dashboard and 13-week cash/inventory outlook.</w:t>
            </w:r>
          </w:p>
        </w:tc>
      </w:tr>
    </w:tbl>
    <w:p>
      <w:pPr>
        <w:spacing w:after="40"/>
      </w:pPr>
    </w:p>
    <w:p>
      <w:pPr>
        <w:pStyle w:val="Heading2"/>
        <w:keepNext/>
      </w:pPr>
      <w:r>
        <w:t>Success measures by day 90</w:t>
      </w:r>
    </w:p>
    <w:p>
      <w:pPr>
        <w:spacing w:after="80" w:line="264" w:lineRule="auto"/>
      </w:pPr>
      <w:r>
        <w:rPr>
          <w:rFonts w:ascii="Calibri" w:hAnsi="Calibri"/>
          <w:b/>
          <w:color w:val="111827"/>
        </w:rPr>
        <w:t xml:space="preserve">Reliability. </w:t>
      </w:r>
      <w:r>
        <w:rPr>
          <w:rFonts w:ascii="Calibri" w:hAnsi="Calibri"/>
          <w:color w:val="111827"/>
        </w:rPr>
        <w:t>95%+ automated source delivery and test pass rate; every material exception has an owner and aging.</w:t>
      </w:r>
    </w:p>
    <w:p>
      <w:pPr>
        <w:spacing w:after="80" w:line="264" w:lineRule="auto"/>
      </w:pPr>
      <w:r>
        <w:rPr>
          <w:rFonts w:ascii="Calibri" w:hAnsi="Calibri"/>
          <w:b/>
          <w:color w:val="111827"/>
        </w:rPr>
        <w:t xml:space="preserve">Coverage. </w:t>
      </w:r>
      <w:r>
        <w:rPr>
          <w:rFonts w:ascii="Calibri" w:hAnsi="Calibri"/>
          <w:color w:val="111827"/>
        </w:rPr>
        <w:t>100% sold-SKU identity coverage and 98%+ landed-cost coverage.</w:t>
      </w:r>
    </w:p>
    <w:p>
      <w:pPr>
        <w:spacing w:after="80" w:line="264" w:lineRule="auto"/>
      </w:pPr>
      <w:r>
        <w:rPr>
          <w:rFonts w:ascii="Calibri" w:hAnsi="Calibri"/>
          <w:b/>
          <w:color w:val="111827"/>
        </w:rPr>
        <w:t xml:space="preserve">Close. </w:t>
      </w:r>
      <w:r>
        <w:rPr>
          <w:rFonts w:ascii="Calibri" w:hAnsi="Calibri"/>
          <w:color w:val="111827"/>
        </w:rPr>
        <w:t>Marketplace-to-QuickBooks reconciliation within a documented tolerance and at least 50% less report-preparation time.</w:t>
      </w:r>
    </w:p>
    <w:p>
      <w:pPr>
        <w:spacing w:after="80" w:line="264" w:lineRule="auto"/>
      </w:pPr>
      <w:r>
        <w:rPr>
          <w:rFonts w:ascii="Calibri" w:hAnsi="Calibri"/>
          <w:b/>
          <w:color w:val="111827"/>
        </w:rPr>
        <w:t xml:space="preserve">Decision quality. </w:t>
      </w:r>
      <w:r>
        <w:rPr>
          <w:rFonts w:ascii="Calibri" w:hAnsi="Calibri"/>
          <w:color w:val="111827"/>
        </w:rPr>
        <w:t>SKU ad attribution and inventory alerts are traceable to source facts and approved mappings.</w:t>
      </w:r>
    </w:p>
    <w:p>
      <w:pPr>
        <w:pStyle w:val="Heading2"/>
        <w:keepNext/>
      </w:pPr>
      <w:r>
        <w:t>Platform and demonstration recommendation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B"/>
          </w:tcPr>
          <w:p>
            <w:pPr>
              <w:spacing w:after="0"/>
            </w:pPr>
            <w:r>
              <w:rPr>
                <w:rFonts w:ascii="Calibri" w:hAnsi="Calibri"/>
                <w:b/>
                <w:color w:val="0B2545"/>
              </w:rPr>
              <w:t xml:space="preserve">Recommended production path: </w:t>
            </w:r>
            <w:r>
              <w:rPr>
                <w:rFonts w:ascii="Calibri" w:hAnsi="Calibri"/>
                <w:color w:val="0B2545"/>
              </w:rPr>
              <w:t>BigQuery + dbt/Dataform + Connected Sheets or Looker Studio. It is the most natural low-operations fit for a finance team already using Google Sheets.</w:t>
            </w:r>
          </w:p>
        </w:tc>
      </w:tr>
    </w:tbl>
    <w:p>
      <w:pPr>
        <w:spacing w:after="40"/>
      </w:pPr>
    </w:p>
    <w:p>
      <w:pPr>
        <w:spacing w:after="120" w:line="264" w:lineRule="auto"/>
      </w:pPr>
      <w:r>
        <w:rPr>
          <w:rFonts w:ascii="Calibri" w:hAnsi="Calibri"/>
          <w:color w:val="111827"/>
        </w:rPr>
        <w:t>Use GitHub to show code, lineage, tests, and reviewability. Use a short Databricks notebook only as an optional live demonstration if the interview panel values lakehouse architecture. Lead with reconciled economics and controls rather than the platform.</w:t>
      </w:r>
    </w:p>
    <w:p>
      <w:r>
        <w:br w:type="page"/>
      </w:r>
    </w:p>
    <w:p>
      <w:pPr>
        <w:pStyle w:val="Heading1"/>
        <w:keepNext/>
      </w:pPr>
      <w:r>
        <w:t>Appendix: observed data-quality issues</w:t>
      </w:r>
    </w:p>
    <w:tbl>
      <w:tblPr>
        <w:tblStyle w:val="TableGrid"/>
        <w:tblW w:type="dxa" w:w="9360"/>
        <w:tblLayout w:type="fixed"/>
        <w:tblLook w:firstColumn="1" w:firstRow="1" w:lastColumn="0" w:lastRow="0" w:noHBand="0" w:noVBand="1" w:val="04A0"/>
        <w:jc w:val="left"/>
        <w:tblInd w:w="120" w:type="dxa"/>
      </w:tblPr>
      <w:tblGrid>
        <w:gridCol w:w="1250"/>
        <w:gridCol w:w="3500"/>
        <w:gridCol w:w="4610"/>
      </w:tblGrid>
      <w:tr>
        <w:trPr>
          <w:tblHeader w:val="true"/>
        </w:trPr>
        <w:tc>
          <w:tcPr>
            <w:tcW w:type="dxa" w:w="1250"/>
            <w:tcMar>
              <w:top w:w="80" w:type="dxa"/>
              <w:start w:w="120" w:type="dxa"/>
              <w:bottom w:w="80" w:type="dxa"/>
              <w:end w:w="120" w:type="dxa"/>
            </w:tcMar>
            <w:vAlign w:val="center"/>
            <w:shd w:fill="0B2545"/>
          </w:tcPr>
          <w:p>
            <w:pPr>
              <w:spacing w:after="0"/>
            </w:pPr>
            <w:r>
              <w:rPr>
                <w:rFonts w:ascii="Calibri" w:hAnsi="Calibri"/>
                <w:b/>
                <w:color w:val="FFFFFF"/>
                <w:sz w:val="18"/>
              </w:rPr>
              <w:t>Severity</w:t>
            </w:r>
          </w:p>
        </w:tc>
        <w:tc>
          <w:tcPr>
            <w:tcW w:type="dxa" w:w="3500"/>
            <w:tcMar>
              <w:top w:w="80" w:type="dxa"/>
              <w:start w:w="120" w:type="dxa"/>
              <w:bottom w:w="80" w:type="dxa"/>
              <w:end w:w="120" w:type="dxa"/>
            </w:tcMar>
            <w:vAlign w:val="center"/>
            <w:shd w:fill="0B2545"/>
          </w:tcPr>
          <w:p>
            <w:pPr>
              <w:spacing w:after="0"/>
            </w:pPr>
            <w:r>
              <w:rPr>
                <w:rFonts w:ascii="Calibri" w:hAnsi="Calibri"/>
                <w:b/>
                <w:color w:val="FFFFFF"/>
                <w:sz w:val="18"/>
              </w:rPr>
              <w:t>Issue</w:t>
            </w:r>
          </w:p>
        </w:tc>
        <w:tc>
          <w:tcPr>
            <w:tcW w:type="dxa" w:w="4610"/>
            <w:tcMar>
              <w:top w:w="80" w:type="dxa"/>
              <w:start w:w="120" w:type="dxa"/>
              <w:bottom w:w="80" w:type="dxa"/>
              <w:end w:w="120" w:type="dxa"/>
            </w:tcMar>
            <w:vAlign w:val="center"/>
            <w:shd w:fill="0B2545"/>
          </w:tcPr>
          <w:p>
            <w:pPr>
              <w:spacing w:after="0"/>
            </w:pPr>
            <w:r>
              <w:rPr>
                <w:rFonts w:ascii="Calibri" w:hAnsi="Calibri"/>
                <w:b/>
                <w:color w:val="FFFFFF"/>
                <w:sz w:val="18"/>
              </w:rPr>
              <w:t>Resolution</w:t>
            </w:r>
          </w:p>
        </w:tc>
      </w:tr>
      <w:tr>
        <w:tc>
          <w:tcPr>
            <w:tcW w:type="dxa" w:w="1250"/>
            <w:tcMar>
              <w:top w:w="80" w:type="dxa"/>
              <w:start w:w="120" w:type="dxa"/>
              <w:bottom w:w="80" w:type="dxa"/>
              <w:end w:w="120" w:type="dxa"/>
            </w:tcMar>
            <w:vAlign w:val="center"/>
          </w:tcPr>
          <w:p>
            <w:pPr>
              <w:spacing w:after="0"/>
            </w:pPr>
            <w:r>
              <w:rPr>
                <w:rFonts w:ascii="Calibri" w:hAnsi="Calibri"/>
                <w:color w:val="111827"/>
                <w:sz w:val="18"/>
              </w:rPr>
              <w:t>High</w:t>
            </w:r>
          </w:p>
        </w:tc>
        <w:tc>
          <w:tcPr>
            <w:tcW w:type="dxa" w:w="3500"/>
            <w:tcMar>
              <w:top w:w="80" w:type="dxa"/>
              <w:start w:w="120" w:type="dxa"/>
              <w:bottom w:w="80" w:type="dxa"/>
              <w:end w:w="120" w:type="dxa"/>
            </w:tcMar>
            <w:vAlign w:val="center"/>
          </w:tcPr>
          <w:p>
            <w:pPr>
              <w:spacing w:after="0"/>
            </w:pPr>
            <w:r>
              <w:rPr>
                <w:rFonts w:ascii="Calibri" w:hAnsi="Calibri"/>
                <w:color w:val="111827"/>
                <w:sz w:val="18"/>
              </w:rPr>
              <w:t>Two sellable SKUs have no PO landed-cost history</w:t>
            </w:r>
          </w:p>
        </w:tc>
        <w:tc>
          <w:tcPr>
            <w:tcW w:type="dxa" w:w="4610"/>
            <w:tcMar>
              <w:top w:w="80" w:type="dxa"/>
              <w:start w:w="120" w:type="dxa"/>
              <w:bottom w:w="80" w:type="dxa"/>
              <w:end w:w="120" w:type="dxa"/>
            </w:tcMar>
            <w:vAlign w:val="center"/>
          </w:tcPr>
          <w:p>
            <w:pPr>
              <w:spacing w:after="0"/>
            </w:pPr>
            <w:r>
              <w:rPr>
                <w:rFonts w:ascii="Calibri" w:hAnsi="Calibri"/>
                <w:color w:val="111827"/>
                <w:sz w:val="18"/>
              </w:rPr>
              <w:t>Imputed each SKU at its brand median landed unit cost and flagged every affected row.</w:t>
            </w:r>
          </w:p>
        </w:tc>
      </w:tr>
      <w:tr>
        <w:tc>
          <w:tcPr>
            <w:tcW w:type="dxa" w:w="1250"/>
            <w:shd w:fill="F2F4F7"/>
            <w:tcMar>
              <w:top w:w="80" w:type="dxa"/>
              <w:start w:w="120" w:type="dxa"/>
              <w:bottom w:w="80" w:type="dxa"/>
              <w:end w:w="120" w:type="dxa"/>
            </w:tcMar>
            <w:vAlign w:val="center"/>
          </w:tcPr>
          <w:p>
            <w:pPr>
              <w:spacing w:after="0"/>
            </w:pPr>
            <w:r>
              <w:rPr>
                <w:rFonts w:ascii="Calibri" w:hAnsi="Calibri"/>
                <w:color w:val="111827"/>
                <w:sz w:val="18"/>
              </w:rPr>
              <w:t>High</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PH-DENTAL-30CT PO quantity is cases, not sellable units</w:t>
            </w:r>
          </w:p>
        </w:tc>
        <w:tc>
          <w:tcPr>
            <w:tcW w:type="dxa" w:w="4610"/>
            <w:shd w:fill="F2F4F7"/>
            <w:tcMar>
              <w:top w:w="80" w:type="dxa"/>
              <w:start w:w="120" w:type="dxa"/>
              <w:bottom w:w="80" w:type="dxa"/>
              <w:end w:w="120" w:type="dxa"/>
            </w:tcMar>
            <w:vAlign w:val="center"/>
          </w:tcPr>
          <w:p>
            <w:pPr>
              <w:spacing w:after="0"/>
            </w:pPr>
            <w:r>
              <w:rPr>
                <w:rFonts w:ascii="Calibri" w:hAnsi="Calibri"/>
                <w:color w:val="111827"/>
                <w:sz w:val="18"/>
              </w:rPr>
              <w:t>Applied an explicit 12-unit case-pack override before calculating weighted landed cost.</w:t>
            </w:r>
          </w:p>
        </w:tc>
      </w:tr>
      <w:tr>
        <w:tc>
          <w:tcPr>
            <w:tcW w:type="dxa" w:w="1250"/>
            <w:tcMar>
              <w:top w:w="80" w:type="dxa"/>
              <w:start w:w="120" w:type="dxa"/>
              <w:bottom w:w="80" w:type="dxa"/>
              <w:end w:w="120" w:type="dxa"/>
            </w:tcMar>
            <w:vAlign w:val="center"/>
          </w:tcPr>
          <w:p>
            <w:pPr>
              <w:spacing w:after="0"/>
            </w:pPr>
            <w:r>
              <w:rPr>
                <w:rFonts w:ascii="Calibri" w:hAnsi="Calibri"/>
                <w:color w:val="111827"/>
                <w:sz w:val="18"/>
              </w:rPr>
              <w:t>Medium</w:t>
            </w:r>
          </w:p>
        </w:tc>
        <w:tc>
          <w:tcPr>
            <w:tcW w:type="dxa" w:w="3500"/>
            <w:tcMar>
              <w:top w:w="80" w:type="dxa"/>
              <w:start w:w="120" w:type="dxa"/>
              <w:bottom w:w="80" w:type="dxa"/>
              <w:end w:w="120" w:type="dxa"/>
            </w:tcMar>
            <w:vAlign w:val="center"/>
          </w:tcPr>
          <w:p>
            <w:pPr>
              <w:spacing w:after="0"/>
            </w:pPr>
            <w:r>
              <w:rPr>
                <w:rFonts w:ascii="Calibri" w:hAnsi="Calibri"/>
                <w:color w:val="111827"/>
                <w:sz w:val="18"/>
              </w:rPr>
              <w:t>One product appears under two SKU strings</w:t>
            </w:r>
          </w:p>
        </w:tc>
        <w:tc>
          <w:tcPr>
            <w:tcW w:type="dxa" w:w="4610"/>
            <w:tcMar>
              <w:top w:w="80" w:type="dxa"/>
              <w:start w:w="120" w:type="dxa"/>
              <w:bottom w:w="80" w:type="dxa"/>
              <w:end w:w="120" w:type="dxa"/>
            </w:tcMar>
            <w:vAlign w:val="center"/>
          </w:tcPr>
          <w:p>
            <w:pPr>
              <w:spacing w:after="0"/>
            </w:pPr>
            <w:r>
              <w:rPr>
                <w:rFonts w:ascii="Calibri" w:hAnsi="Calibri"/>
                <w:color w:val="111827"/>
                <w:sz w:val="18"/>
              </w:rPr>
              <w:t>Canonicalized using an auditable alias bridge; matched ASIN B0PFELECIT.</w:t>
            </w:r>
          </w:p>
        </w:tc>
      </w:tr>
      <w:tr>
        <w:tc>
          <w:tcPr>
            <w:tcW w:type="dxa" w:w="1250"/>
            <w:shd w:fill="F2F4F7"/>
            <w:tcMar>
              <w:top w:w="80" w:type="dxa"/>
              <w:start w:w="120" w:type="dxa"/>
              <w:bottom w:w="80" w:type="dxa"/>
              <w:end w:w="120" w:type="dxa"/>
            </w:tcMar>
            <w:vAlign w:val="center"/>
          </w:tcPr>
          <w:p>
            <w:pPr>
              <w:spacing w:after="0"/>
            </w:pPr>
            <w:r>
              <w:rPr>
                <w:rFonts w:ascii="Calibri" w:hAnsi="Calibri"/>
                <w:color w:val="111827"/>
                <w:sz w:val="18"/>
              </w:rPr>
              <w:t>Medium</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ASIN is not unique in the supplied mapping</w:t>
            </w:r>
          </w:p>
        </w:tc>
        <w:tc>
          <w:tcPr>
            <w:tcW w:type="dxa" w:w="4610"/>
            <w:shd w:fill="F2F4F7"/>
            <w:tcMar>
              <w:top w:w="80" w:type="dxa"/>
              <w:start w:w="120" w:type="dxa"/>
              <w:bottom w:w="80" w:type="dxa"/>
              <w:end w:w="120" w:type="dxa"/>
            </w:tcMar>
            <w:vAlign w:val="center"/>
          </w:tcPr>
          <w:p>
            <w:pPr>
              <w:spacing w:after="0"/>
            </w:pPr>
            <w:r>
              <w:rPr>
                <w:rFonts w:ascii="Calibri" w:hAnsi="Calibri"/>
                <w:color w:val="111827"/>
                <w:sz w:val="18"/>
              </w:rPr>
              <w:t>Used SKU as the transaction join key and quarantined ASIN-only joins for review.</w:t>
            </w:r>
          </w:p>
        </w:tc>
      </w:tr>
      <w:tr>
        <w:tc>
          <w:tcPr>
            <w:tcW w:type="dxa" w:w="1250"/>
            <w:tcMar>
              <w:top w:w="80" w:type="dxa"/>
              <w:start w:w="120" w:type="dxa"/>
              <w:bottom w:w="80" w:type="dxa"/>
              <w:end w:w="120" w:type="dxa"/>
            </w:tcMar>
            <w:vAlign w:val="center"/>
          </w:tcPr>
          <w:p>
            <w:pPr>
              <w:spacing w:after="0"/>
            </w:pPr>
            <w:r>
              <w:rPr>
                <w:rFonts w:ascii="Calibri" w:hAnsi="Calibri"/>
                <w:color w:val="111827"/>
                <w:sz w:val="18"/>
              </w:rPr>
              <w:t>Medium</w:t>
            </w:r>
          </w:p>
        </w:tc>
        <w:tc>
          <w:tcPr>
            <w:tcW w:type="dxa" w:w="3500"/>
            <w:tcMar>
              <w:top w:w="80" w:type="dxa"/>
              <w:start w:w="120" w:type="dxa"/>
              <w:bottom w:w="80" w:type="dxa"/>
              <w:end w:w="120" w:type="dxa"/>
            </w:tcMar>
            <w:vAlign w:val="center"/>
          </w:tcPr>
          <w:p>
            <w:pPr>
              <w:spacing w:after="0"/>
            </w:pPr>
            <w:r>
              <w:rPr>
                <w:rFonts w:ascii="Calibri" w:hAnsi="Calibri"/>
                <w:color w:val="111827"/>
                <w:sz w:val="18"/>
              </w:rPr>
              <w:t>Platform fees and adjustments have no usable SKU allocation key</w:t>
            </w:r>
          </w:p>
        </w:tc>
        <w:tc>
          <w:tcPr>
            <w:tcW w:type="dxa" w:w="4610"/>
            <w:tcMar>
              <w:top w:w="80" w:type="dxa"/>
              <w:start w:w="120" w:type="dxa"/>
              <w:bottom w:w="80" w:type="dxa"/>
              <w:end w:w="120" w:type="dxa"/>
            </w:tcMar>
            <w:vAlign w:val="center"/>
          </w:tcPr>
          <w:p>
            <w:pPr>
              <w:spacing w:after="0"/>
            </w:pPr>
            <w:r>
              <w:rPr>
                <w:rFonts w:ascii="Calibri" w:hAnsi="Calibri"/>
                <w:color w:val="111827"/>
                <w:sz w:val="18"/>
              </w:rPr>
              <w:t>Kept these amounts below SKU-attributable CM1; did not force an allocation.</w:t>
            </w:r>
          </w:p>
        </w:tc>
      </w:tr>
      <w:tr>
        <w:tc>
          <w:tcPr>
            <w:tcW w:type="dxa" w:w="1250"/>
            <w:shd w:fill="F2F4F7"/>
            <w:tcMar>
              <w:top w:w="80" w:type="dxa"/>
              <w:start w:w="120" w:type="dxa"/>
              <w:bottom w:w="80" w:type="dxa"/>
              <w:end w:w="120" w:type="dxa"/>
            </w:tcMar>
            <w:vAlign w:val="center"/>
          </w:tcPr>
          <w:p>
            <w:pPr>
              <w:spacing w:after="0"/>
            </w:pPr>
            <w:r>
              <w:rPr>
                <w:rFonts w:ascii="Calibri" w:hAnsi="Calibri"/>
                <w:color w:val="111827"/>
                <w:sz w:val="18"/>
              </w:rPr>
              <w:t>Medium</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PO data has no receipt/status lifecycle</w:t>
            </w:r>
          </w:p>
        </w:tc>
        <w:tc>
          <w:tcPr>
            <w:tcW w:type="dxa" w:w="4610"/>
            <w:shd w:fill="F2F4F7"/>
            <w:tcMar>
              <w:top w:w="80" w:type="dxa"/>
              <w:start w:w="120" w:type="dxa"/>
              <w:bottom w:w="80" w:type="dxa"/>
              <w:end w:w="120" w:type="dxa"/>
            </w:tcMar>
            <w:vAlign w:val="center"/>
          </w:tcPr>
          <w:p>
            <w:pPr>
              <w:spacing w:after="0"/>
            </w:pPr>
            <w:r>
              <w:rPr>
                <w:rFonts w:ascii="Calibri" w:hAnsi="Calibri"/>
                <w:color w:val="111827"/>
                <w:sz w:val="18"/>
              </w:rPr>
              <w:t>Used PO lines only for weighted landed unit cost; did not label PO quantities as inbound.</w:t>
            </w:r>
          </w:p>
        </w:tc>
      </w:tr>
      <w:tr>
        <w:tc>
          <w:tcPr>
            <w:tcW w:type="dxa" w:w="1250"/>
            <w:tcMar>
              <w:top w:w="80" w:type="dxa"/>
              <w:start w:w="120" w:type="dxa"/>
              <w:bottom w:w="80" w:type="dxa"/>
              <w:end w:w="120" w:type="dxa"/>
            </w:tcMar>
            <w:vAlign w:val="center"/>
          </w:tcPr>
          <w:p>
            <w:pPr>
              <w:spacing w:after="0"/>
            </w:pPr>
            <w:r>
              <w:rPr>
                <w:rFonts w:ascii="Calibri" w:hAnsi="Calibri"/>
                <w:color w:val="111827"/>
                <w:sz w:val="18"/>
              </w:rPr>
              <w:t>Low</w:t>
            </w:r>
          </w:p>
        </w:tc>
        <w:tc>
          <w:tcPr>
            <w:tcW w:type="dxa" w:w="3500"/>
            <w:tcMar>
              <w:top w:w="80" w:type="dxa"/>
              <w:start w:w="120" w:type="dxa"/>
              <w:bottom w:w="80" w:type="dxa"/>
              <w:end w:w="120" w:type="dxa"/>
            </w:tcMar>
            <w:vAlign w:val="center"/>
          </w:tcPr>
          <w:p>
            <w:pPr>
              <w:spacing w:after="0"/>
            </w:pPr>
            <w:r>
              <w:rPr>
                <w:rFonts w:ascii="Calibri" w:hAnsi="Calibri"/>
                <w:color w:val="111827"/>
                <w:sz w:val="18"/>
              </w:rPr>
              <w:t>Mixed PO date formats</w:t>
            </w:r>
          </w:p>
        </w:tc>
        <w:tc>
          <w:tcPr>
            <w:tcW w:type="dxa" w:w="4610"/>
            <w:tcMar>
              <w:top w:w="80" w:type="dxa"/>
              <w:start w:w="120" w:type="dxa"/>
              <w:bottom w:w="80" w:type="dxa"/>
              <w:end w:w="120" w:type="dxa"/>
            </w:tcMar>
            <w:vAlign w:val="center"/>
          </w:tcPr>
          <w:p>
            <w:pPr>
              <w:spacing w:after="0"/>
            </w:pPr>
            <w:r>
              <w:rPr>
                <w:rFonts w:ascii="Calibri" w:hAnsi="Calibri"/>
                <w:color w:val="111827"/>
                <w:sz w:val="18"/>
              </w:rPr>
              <w:t>Parsed with mixed-format logic and stored as typed dates.</w:t>
            </w:r>
          </w:p>
        </w:tc>
      </w:tr>
      <w:tr>
        <w:tc>
          <w:tcPr>
            <w:tcW w:type="dxa" w:w="1250"/>
            <w:shd w:fill="F2F4F7"/>
            <w:tcMar>
              <w:top w:w="80" w:type="dxa"/>
              <w:start w:w="120" w:type="dxa"/>
              <w:bottom w:w="80" w:type="dxa"/>
              <w:end w:w="120" w:type="dxa"/>
            </w:tcMar>
            <w:vAlign w:val="center"/>
          </w:tcPr>
          <w:p>
            <w:pPr>
              <w:spacing w:after="0"/>
            </w:pPr>
            <w:r>
              <w:rPr>
                <w:rFonts w:ascii="Calibri" w:hAnsi="Calibri"/>
                <w:color w:val="111827"/>
                <w:sz w:val="18"/>
              </w:rPr>
              <w:t>Low</w:t>
            </w:r>
          </w:p>
        </w:tc>
        <w:tc>
          <w:tcPr>
            <w:tcW w:type="dxa" w:w="3500"/>
            <w:shd w:fill="F2F4F7"/>
            <w:tcMar>
              <w:top w:w="80" w:type="dxa"/>
              <w:start w:w="120" w:type="dxa"/>
              <w:bottom w:w="80" w:type="dxa"/>
              <w:end w:w="120" w:type="dxa"/>
            </w:tcMar>
            <w:vAlign w:val="center"/>
          </w:tcPr>
          <w:p>
            <w:pPr>
              <w:spacing w:after="0"/>
            </w:pPr>
            <w:r>
              <w:rPr>
                <w:rFonts w:ascii="Calibri" w:hAnsi="Calibri"/>
                <w:color w:val="111827"/>
                <w:sz w:val="18"/>
              </w:rPr>
              <w:t>Quarter/date and arithmetic reconciliation</w:t>
            </w:r>
          </w:p>
        </w:tc>
        <w:tc>
          <w:tcPr>
            <w:tcW w:type="dxa" w:w="4610"/>
            <w:shd w:fill="F2F4F7"/>
            <w:tcMar>
              <w:top w:w="80" w:type="dxa"/>
              <w:start w:w="120" w:type="dxa"/>
              <w:bottom w:w="80" w:type="dxa"/>
              <w:end w:w="120" w:type="dxa"/>
            </w:tcMar>
            <w:vAlign w:val="center"/>
          </w:tcPr>
          <w:p>
            <w:pPr>
              <w:spacing w:after="0"/>
            </w:pPr>
            <w:r>
              <w:rPr>
                <w:rFonts w:ascii="Calibri" w:hAnsi="Calibri"/>
                <w:color w:val="111827"/>
                <w:sz w:val="18"/>
              </w:rPr>
              <w:t>Confirmed Q2 date scope and arithmetic tie-outs within floating-point tolerance.</w:t>
            </w:r>
          </w:p>
        </w:tc>
      </w:tr>
    </w:tbl>
    <w:p>
      <w:pPr>
        <w:spacing w:after="40"/>
      </w:pPr>
    </w:p>
    <w:p>
      <w:pPr>
        <w:pStyle w:val="Heading2"/>
        <w:keepNext/>
      </w:pPr>
      <w:r>
        <w:t>AI-use disclosure</w:t>
      </w:r>
    </w:p>
    <w:p>
      <w:pPr>
        <w:spacing w:after="120" w:line="264" w:lineRule="auto"/>
      </w:pPr>
      <w:r>
        <w:rPr>
          <w:rFonts w:ascii="Calibri" w:hAnsi="Calibri"/>
          <w:color w:val="111827"/>
        </w:rPr>
        <w:t>AI was used to accelerate data profiling, draft reproducible transformation code, propose the dimensional model, and format the workbook, document, and deck. All calculations were independently reconciled to the supplied CSV files using explicit arithmetic checks. Every material assumption or imputation is surfaced in the data-quality register. No external factual data was introduced into the profitability calculation.</w:t>
      </w:r>
    </w:p>
    <w:p>
      <w:pPr>
        <w:pStyle w:val="Heading2"/>
        <w:keepNext/>
      </w:pPr>
      <w:r>
        <w:t>Source files</w:t>
      </w:r>
    </w:p>
    <w:p>
      <w:pPr>
        <w:spacing w:after="40" w:line="264" w:lineRule="auto"/>
      </w:pPr>
      <w:r>
        <w:rPr>
          <w:rFonts w:ascii="Calibri" w:hAnsi="Calibri"/>
          <w:color w:val="111827"/>
        </w:rPr>
        <w:t>Copy of sku_asin_brand_mapping.csv</w:t>
      </w:r>
    </w:p>
    <w:p>
      <w:pPr>
        <w:spacing w:after="40" w:line="264" w:lineRule="auto"/>
      </w:pPr>
      <w:r>
        <w:rPr>
          <w:rFonts w:ascii="Calibri" w:hAnsi="Calibri"/>
          <w:color w:val="111827"/>
        </w:rPr>
        <w:t>Copy of purchase_orders_landed_cost.csv</w:t>
      </w:r>
    </w:p>
    <w:p>
      <w:pPr>
        <w:spacing w:after="40" w:line="264" w:lineRule="auto"/>
      </w:pPr>
      <w:r>
        <w:rPr>
          <w:rFonts w:ascii="Calibri" w:hAnsi="Calibri"/>
          <w:color w:val="111827"/>
        </w:rPr>
        <w:t>Copy of inventory_snapshot_2026-06-30.csv</w:t>
      </w:r>
    </w:p>
    <w:p>
      <w:pPr>
        <w:spacing w:after="40" w:line="264" w:lineRule="auto"/>
      </w:pPr>
      <w:r>
        <w:rPr>
          <w:rFonts w:ascii="Calibri" w:hAnsi="Calibri"/>
          <w:color w:val="111827"/>
        </w:rPr>
        <w:t>Copy of amazon_settlements_apr-jun_2026.csv</w:t>
      </w:r>
    </w:p>
    <w:sectPr w:rsidR="00FC693F" w:rsidRPr="0006063C" w:rsidSect="00034616">
      <w:headerReference w:type="default" r:id="rId9"/>
      <w:headerReference w:type="even"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60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56070"/>
        <w:sz w:val="17"/>
      </w:rPr>
      <w:t>FINANCE ANALYTICS ASSESSMENT  |  AMAZON Q2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56070"/>
        <w:sz w:val="17"/>
      </w:rPr>
      <w:t>FINANCE ANALYTICS ASSESSMENT  |  AMAZON Q2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Q2 2026 Finance Analytics Assessment</dc:title>
  <dc:subject>Data model, profitability analysis, and 90-day automation plan</dc:subject>
  <dc:creator>Assessment Candidate</dc:creator>
  <cp:keywords>Amazon, contribution margin, BigQuery, finance automation</cp:keywords>
  <dc:description>generated by python-docx</dc:description>
  <cp:lastModifiedBy/>
  <cp:revision>1</cp:revision>
  <dcterms:created xsi:type="dcterms:W3CDTF">2013-12-23T23:15:00Z</dcterms:created>
  <dcterms:modified xsi:type="dcterms:W3CDTF">2013-12-23T23:15:00Z</dcterms:modified>
  <cp:category/>
</cp:coreProperties>
</file>