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Portafolio: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4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demostrada en análisis de métricas de fraude, logística y e-commerce, y más de 15 años de sólida trayectoria previa en el sector bancario y financiero internacional. Especializado en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Power BI (DAX, modelado estrella)</w:t>
      </w:r>
      <w:r>
        <w:rPr>
          <w:rFonts w:ascii="Calibri" w:hAnsi="Calibri"/>
          <w:color w:val="1A202C"/>
          <w:sz w:val="19"/>
        </w:rPr>
        <w:t xml:space="preserve">, consultas avanzadas en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Supabase y Looker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sistemas de monitoreo en tiempo real. Perfil analítico orientado a la toma de decisiones basada en evidencia, conciliaciones complejas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estrella, PBIP), SQL (MySQL, PostgreSQL: queries complejas, subconsultas, window functions), Python (pandas, NumPy, Matplotlib, Colab, VSCode), Excel avanzado (Power Pivot, macros).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churn.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— Prevención de Fraudes y Siniestros E-Commerce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(BFC, Banco Exterior, BVC)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respuesta, SLA de resolución y CSAT con modelado estrella y medidas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transaccional sobre datasets relacionales reales empleando subqueries, JOINs complejos, CTEs y funciones de ventana en SQL para segmentación de clientes.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Buenos Aires, Argentina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CERTIFICACIONES TÉCNICAS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| Daxus Latam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Capacitación Especializada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Educación IT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IA Leaders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