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11827"/>
          <w:sz w:val="19"/>
        </w:rPr>
        <w:t xml:space="preserve">Excel y Power BI</w:t>
      </w:r>
      <w:r>
        <w:rPr>
          <w:rFonts w:ascii="Calibri" w:hAnsi="Calibri"/>
          <w:color w:val="111827"/>
          <w:sz w:val="19"/>
        </w:rPr>
        <w:t xml:space="preserve">,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Business Intelligence: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matriciales).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Analítica Digital: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Estrategia de Negocio y Fraude: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 y Última Milla, Finanzas Corporativas, Comercio Exterior, Liquidación Cambiaria y Trazabilidad de Fondos.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Metodologías y Herramientas:</w:t>
      </w:r>
      <w:r>
        <w:rPr>
          <w:rFonts w:ascii="Calibri" w:hAnsi="Calibri"/>
          <w:color w:val="111827"/>
          <w:sz w:val="19"/>
        </w:rPr>
        <w:t xml:space="preserve"> Git, GitHub, CI/CD para BI, Scrum/Ágil, IA Generativa aplicada a analítica de datos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CERTIFICACIONES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 | </w:t>
      </w:r>
      <w:r>
        <w:rPr>
          <w:rFonts w:ascii="Calibri" w:hAnsi="Calibri"/>
          <w:b/>
          <w:color w:val="111827"/>
          <w:sz w:val="18"/>
        </w:rPr>
        <w:t xml:space="preserve">Inglés:</w:t>
      </w:r>
      <w:r>
        <w:rPr>
          <w:rFonts w:ascii="Calibri" w:hAnsi="Calibri"/>
          <w:color w:val="111827"/>
          <w:sz w:val="18"/>
        </w:rPr>
        <w:t xml:space="preserve"> Técnico / Lectura y comprensión profesional de documentación y datos.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REFERENCIAS</w:t>
      </w:r>
    </w:p>
    <w:p>
      <w:pPr>
        <w:spacing w:before="0" w:after="30"/>
      </w:pPr>
      <w:r>
        <w:rPr>
          <w:rFonts w:ascii="Calibri" w:hAnsi="Calibri"/>
          <w:color w:val="111827"/>
          <w:sz w:val="18"/>
        </w:rPr>
        <w:t xml:space="preserve">Referencias laborales y académicas comprobables disponibles a solicitud.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