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CV Digital: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4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demostrada en análisis de métricas de fraude, logística y e-commerce, y más de 15 años de sólida trayectoria previa en el sector bancario y financiero internacional. Especializado en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Power BI (DAX)</w:t>
      </w:r>
      <w:r>
        <w:rPr>
          <w:rFonts w:ascii="Calibri" w:hAnsi="Calibri"/>
          <w:color w:val="1A202C"/>
          <w:sz w:val="19"/>
        </w:rPr>
        <w:t xml:space="preserve">, consultas avanzadas en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Supabase y Looker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sistemas de monitoreo en tiempo real. Perfil analítico orientado a la toma de decisiones basada en evidencia, conciliaciones complejas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complejas).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— Prevención de Fraudes y Siniestros E-Commerce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Monitoreo y tableros de control en tiempo real: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supervisión de siniestros y reclamos de alta volumetría.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y Finanzas Internacionales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/ Analista Financiero y Operaciones — BFC Banco Fondo Común, Banco Exterior, Banco Venezolano de Crédito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Gestión y análisis de operaciones financieras:</w:t>
      </w:r>
      <w:r>
        <w:rPr>
          <w:rFonts w:ascii="Calibri" w:hAnsi="Calibri"/>
          <w:color w:val="1A202C"/>
          <w:sz w:val="18"/>
        </w:rPr>
        <w:t xml:space="preserve"> Más de 15 años administrando operaciones de comercio exterior, cartas de crédito, cobranzas documentarias y divisas con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 y conciliaciones contables: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complejas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Riesgo y optimización operativa:</w:t>
      </w:r>
      <w:r>
        <w:rPr>
          <w:rFonts w:ascii="Calibri" w:hAnsi="Calibri"/>
          <w:color w:val="1A202C"/>
          <w:sz w:val="18"/>
        </w:rPr>
        <w:t xml:space="preserve"> Control de riesgos operacionales y cambiarios, elaboración de reportes cuantitativos para comités ejecutivos y auditoría interna.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(BI Consulting)</w:t>
      </w:r>
      <w:r>
        <w:rPr>
          <w:rFonts w:ascii="Calibri" w:hAnsi="Calibri"/>
          <w:color w:val="1A202C"/>
          <w:sz w:val="18"/>
        </w:rPr>
        <w:t xml:space="preserve"> — En curso (Segundo cuatrimestre de cuatro,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CERTIFICADOS EXTRACURRICULARES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Talento Tech — Ministerio de Educación GCBA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IA Leaders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