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10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Excel y Power BI</w:t>
      </w:r>
      <w:r>
        <w:rPr>
          <w:rFonts w:ascii="Calibri" w:hAnsi="Calibri"/>
          <w:color w:val="1A202C"/>
          <w:sz w:val="19"/>
        </w:rPr>
        <w:t xml:space="preserve">, consultas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BigQuery y Data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| Fraud Prevention | E-commerce Logistics &amp; Last-Mile Fulfillment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y tableros de control: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— Operaciones Internacionales &amp; Finanzas Corporativas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(BFC Banco Fondo Común) | Analista de Operaciones Internacionales (Banco Exterior) | Analista de Compras &amp; Representante de Ventas (Venezolano de Crédito S.A.)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A202C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analítico, conciliaciones y auditoría: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A202C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Datax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