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4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demostrada en análisis de métricas de fraude, logística y e-commerce, y más de 15 años de sólida trayectoria previa en el sector bancario y financiero internacional. Con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Excel, Power BI y Data Studio</w:t>
      </w:r>
      <w:r>
        <w:rPr>
          <w:rFonts w:ascii="Calibri" w:hAnsi="Calibri"/>
          <w:color w:val="1A202C"/>
          <w:sz w:val="19"/>
        </w:rPr>
        <w:t xml:space="preserve">, consultas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Supabase y Looker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el monitoreo contínuo de métricas. Perfil analítico orientado a la toma de decisiones basada en evidencia,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— Prevención de Fraudes y Siniestros E-Commerce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Datax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