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Actividad 2. Análisis clínico genómico</w:t>
      </w:r>
    </w:p>
    <w:p>
      <w:pPr>
        <w:jc w:val="center"/>
      </w:pPr>
      <w:r>
        <w:rPr>
          <w:b/>
        </w:rPr>
        <w:t>Bases de Datos y Recursos Bioinformáticos · MUBIO06</w:t>
      </w:r>
    </w:p>
    <w:p>
      <w:pPr>
        <w:jc w:val="center"/>
      </w:pPr>
      <w:r>
        <w:t>Caso de estudio: enfermedad de células falciformes y gen HBB</w:t>
      </w:r>
    </w:p>
    <w:p>
      <w:pPr>
        <w:jc w:val="center"/>
      </w:pPr>
      <w:r>
        <w:t>Alumno: Rubén Juárez Cádiz</w:t>
      </w:r>
    </w:p>
    <w:p>
      <w:r>
        <w:rPr>
          <w:b/>
        </w:rPr>
        <w:t xml:space="preserve">Estado del documento: </w:t>
      </w:r>
      <w:r>
        <w:t>borrador técnico preparado para completar con evidencias reales. Antes de la entrega deben sustituirse todos los marcadores de captura por pantallazos propios de ClinVar/ENA/Galaxy/VEP.</w:t>
      </w:r>
    </w:p>
    <w:p>
      <w:pPr>
        <w:pStyle w:val="Heading1"/>
      </w:pPr>
      <w:r>
        <w:t>Resumen del análisis</w:t>
      </w:r>
    </w:p>
    <w:p>
      <w:r>
        <w:t>Se propone analizar enfermedad de células falciformes (SCD) mediante el gen HBB. El diseño integra la búsqueda fenotípica y genómica, la recuperación de datos humanos paired-end, control de calidad, limpieza, alineamiento a GRCh38, llamado de variantes en VCF y anotación funcional mediante Ensembl VEP. La variante de referencia que permite auditar la coherencia del flujo es rs334 (NM_000518.5:c.20A&gt;T; p.Glu7Val), ampliamente asociada a HbS.</w:t>
      </w:r>
    </w:p>
    <w:p>
      <w:r>
        <w:t>La muestra seleccionada es SRR29275383 (SCD10-Mock-2), un conjunto de datos CAST-seq dirigido al locus HBB. Este uso es académico: el pipeline ilustra principios de análisis clínico genómico, pero no constituye una prueba diagnóstica ni una validación clínica de laboratorio.</w:t>
      </w:r>
    </w:p>
    <w:p>
      <w:pPr>
        <w:pStyle w:val="Heading1"/>
      </w:pPr>
      <w:r>
        <w:t>1. Inicio del estudio: enfermedad, fenotipo y gen</w:t>
      </w:r>
    </w:p>
    <w:p>
      <w:r>
        <w:t>La enfermedad de células falciformes es una hemoglobinopatía hereditaria en la que la alteración de la beta-globina favorece la formación de hemoglobina S (HbS). El gen HBB codifica la subunidad beta de la hemoglobina adulta. NCBI Gene identifica HBB como gen codificante, localizado en 11p15.4, con tres exones; en GRCh38.p14 ocupa chr11:5225464-5227071 sobre la hebra negativa.</w:t>
      </w:r>
    </w:p>
    <w:p>
      <w:r>
        <w:t>La variante de control es rs334. En el transcrito NM_000518.5 se expresa como c.20A&gt;T y produce p.Glu7Val. Como HBB está en la hebra negativa, la misma sustitución se representa en el genoma GRCh38 como chr11:5227002 T&gt;A. ClinVar Variation ID 15333 contiene múltiples clasificaciones patogénicas para enfermedad falciforme. Esta correspondencia entre coordenadas transcriptómicas y genómicas es esencial para no interpretar erróneamente el VCF.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300" w:hRule="atLeast"/>
        </w:trPr>
        <w:tc>
          <w:tcPr>
            <w:tcW w:type="dxa" w:w="10312"/>
            <w:shd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</w:rPr>
              <w:t>[CAPTURA REAL · 01 · ClinVar / HBB / rs334]</w:t>
              <w:br/>
            </w:r>
            <w:r>
              <w:rPr>
                <w:i/>
              </w:rPr>
              <w:t>Mostrar la búsqueda real donde se vean HBB, rs334 o c.20A&gt;T/p.Glu7Val y su asociación clínica.</w:t>
            </w:r>
          </w:p>
        </w:tc>
      </w:tr>
    </w:tbl>
    <w:p/>
    <w:p>
      <w:pPr>
        <w:pStyle w:val="Heading1"/>
      </w:pPr>
      <w:r>
        <w:t>2. Obtención de datos de secuenciación</w:t>
      </w:r>
    </w:p>
    <w:p>
      <w:r>
        <w:t>Se utiliza la ejecución pública SRR29275383, biblioteca SCD10-Mock-2. Es un conjunto humano paired-end descrito como CAST-seq sobre HBB en HSPC HbS mock. La elección evita utilizar una muestra de otra especie o un experimento puramente transcriptómico y mantiene una relación directa con el gen de interés.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R1: https://ftp.sra.ebi.ac.uk/vol1/fastq/SRR292/083/SRR29275383/SRR29275383_1.fastq.gz</w:t>
              <w:br/>
              <w:t>R2: https://ftp.sra.ebi.ac.uk/vol1/fastq/SRR292/083/SRR29275383/SRR29275383_2.fastq.gz</w:t>
            </w:r>
          </w:p>
        </w:tc>
      </w:tr>
    </w:tbl>
    <w:p>
      <w:r>
        <w:t>El artículo de Moiani et al. (2024) deposita los datos CAST-SEQ del estudio bajo BioProject PRJNA1117889. En Galaxy se importan los dos FASTQ por URL, manteniendo el emparejamiento R1/R2. No se deben subir los FASTQ al repositorio GitHub.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300" w:hRule="atLeast"/>
        </w:trPr>
        <w:tc>
          <w:tcPr>
            <w:tcW w:type="dxa" w:w="10312"/>
            <w:shd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</w:rPr>
              <w:t>[CAPTURA REAL · 02 · ENA/SRA SRR29275383]</w:t>
              <w:br/>
            </w:r>
            <w:r>
              <w:rPr>
                <w:i/>
              </w:rPr>
              <w:t>Mostrar el accession, Homo sapiens y la evidencia de datos paired-end/HBB o los dos FASTQ cargados desde ENA.</w:t>
            </w:r>
          </w:p>
        </w:tc>
      </w:tr>
    </w:tbl>
    <w:p/>
    <w:p>
      <w:pPr>
        <w:pStyle w:val="Heading1"/>
      </w:pPr>
      <w:r>
        <w:t>3. Control de calidad inicial</w:t>
      </w:r>
    </w:p>
    <w:p>
      <w:r>
        <w:t>Sobre los FASTQ crudos se ejecutan FastQC para R1 y R2 y, a continuación, MultiQC. La evaluación debe cubrir calidad por base, distribución de calidad por secuencia, contenido de adaptadores, secuencias sobrerrepresentadas, distribución de longitud y GC. El objetivo no es marcar módulos en rojo o verde de forma mecánica, sino decidir si existe un problema que pueda perjudicar el alineamiento o el llamado de variantes.</w:t>
      </w:r>
    </w:p>
    <w:p>
      <w:r>
        <w:t>En este conjunto es razonable esperar presencia de adaptadores y degradación de calidad en los extremos. Cualquier porcentaje Q20/Q30, número de lecturas o valor de GC que se incorpore al informe debe copiarse de la salida real; no se preasignan valores.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300" w:hRule="atLeast"/>
        </w:trPr>
        <w:tc>
          <w:tcPr>
            <w:tcW w:type="dxa" w:w="10312"/>
            <w:shd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</w:rPr>
              <w:t>[CAPTURA REAL · 03 · FastQC/MultiQC crudo]</w:t>
              <w:br/>
            </w:r>
            <w:r>
              <w:rPr>
                <w:i/>
              </w:rPr>
              <w:t>Mostrar R1 y R2 y al menos los módulos que justifican la decisión de limpieza; anotar los valores reales observados.</w:t>
            </w:r>
          </w:p>
        </w:tc>
      </w:tr>
    </w:tbl>
    <w:p/>
    <w:p>
      <w:pPr>
        <w:pStyle w:val="Heading1"/>
      </w:pPr>
      <w:r>
        <w:t>4. Limpieza y reevaluación de calidad</w:t>
      </w:r>
    </w:p>
    <w:p>
      <w:r>
        <w:t>La limpieza se realiza con fastp en modo paired-end, activando detección automática de adaptadores. Como punto de partida se recomienda filtrar bases de baja calidad alrededor de Phred 20 y descartar lecturas excesivamente cortas (&lt;50 nt), preservando la sincronía entre pares. Si el FastQC real aconseja otra configuración, debe prevalecer la evidencia del dataset y documentarse el cambio.</w:t>
      </w:r>
    </w:p>
    <w:p>
      <w:r>
        <w:t>Después de fastp se repiten FastQC y MultiQC. La mejora debe demostrarse comparando antes y después: menor contenido de adaptadores, perfil de calidad más estable y ausencia de una pérdida desproporcionada de lecturas. Este segundo QC es lo que convierte la limpieza en una decisión justificada, no en un paso automático.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300" w:hRule="atLeast"/>
        </w:trPr>
        <w:tc>
          <w:tcPr>
            <w:tcW w:type="dxa" w:w="10312"/>
            <w:shd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</w:rPr>
              <w:t>[CAPTURA REAL · 04 · fastp + FastQC/MultiQC post-limpieza]</w:t>
              <w:br/>
            </w:r>
            <w:r>
              <w:rPr>
                <w:i/>
              </w:rPr>
              <w:t>Mostrar el job de fastp y la comparación real de calidad antes/después.</w:t>
            </w:r>
          </w:p>
        </w:tc>
      </w:tr>
    </w:tbl>
    <w:p/>
    <w:p>
      <w:pPr>
        <w:pStyle w:val="Heading1"/>
      </w:pPr>
      <w:r>
        <w:t>5. Alineamiento a GRCh38</w:t>
      </w:r>
    </w:p>
    <w:p>
      <w:r>
        <w:t>Las lecturas limpias se alinean contra el genoma humano GRCh38/hg38 con BWA-MEM o BWA-MEM2. Se recomienda utilizar la referencia completa de Galaxy, no únicamente el cromosoma 11, porque reduce el riesgo de forzar lecturas similares a HBB hacia un único cromosoma. El BAM se ordena por coordenadas y se indexa.</w:t>
      </w:r>
    </w:p>
    <w:p>
      <w:r>
        <w:t>La interpretación incluye Samtools flagstat y, si es posible, una medida de cobertura sobre HBB. Deben registrarse el porcentaje de lecturas alineadas, pares correctamente alineados y profundidad/cobertura del locus. Una visualización en IGV/JBrowse en chr11:5225464-5227071 refuerza la evidencia y permite inspeccionar el sitio chr11:5227002.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300" w:hRule="atLeast"/>
        </w:trPr>
        <w:tc>
          <w:tcPr>
            <w:tcW w:type="dxa" w:w="10312"/>
            <w:shd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</w:rPr>
              <w:t>[CAPTURA REAL · 05 · BWA + flagstat / cobertura HBB]</w:t>
              <w:br/>
            </w:r>
            <w:r>
              <w:rPr>
                <w:i/>
              </w:rPr>
              <w:t>Mostrar el alineamiento final, las métricas reales y, si cabe, una vista del locus HBB.</w:t>
            </w:r>
          </w:p>
        </w:tc>
      </w:tr>
    </w:tbl>
    <w:p/>
    <w:p>
      <w:pPr>
        <w:pStyle w:val="Heading1"/>
      </w:pPr>
      <w:r>
        <w:t>6. Llamado de variantes y formato VCF</w:t>
      </w:r>
    </w:p>
    <w:p>
      <w:r>
        <w:t>El BAM alineado se procesa con FreeBayes en modo diploide (o, alternativamente, bcftools mpileup + call). Para un análisis centrado en el gen puede restringirse el llamado a chr11:5225464-5227071, manteniendo siempre GRCh38. Los filtros posteriores se justifican según la profundidad y calidad obtenidas; un ejemplo conservador es QUAL ≥ 20, pero no debe aplicarse de forma ciega.</w:t>
      </w:r>
    </w:p>
    <w:p>
      <w:r>
        <w:t>El VCF se interpreta por campos: CHROM y POS definen la localización; REF y ALT los alelos; QUAL la confianza; FILTER el estado de filtros; INFO incorpora métricas globales; y FORMAT describe, por muestra, GT/DP/AD/GQ u otros campos proporcionados por el caller. La variante esperada de control es chr11:5227002 T&gt;A, rs334, pero solo puede afirmarse que “se detecta” si aparece realmente en el VCF de Galaxy.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300" w:hRule="atLeast"/>
        </w:trPr>
        <w:tc>
          <w:tcPr>
            <w:tcW w:type="dxa" w:w="10312"/>
            <w:shd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</w:rPr>
              <w:t>[CAPTURA REAL · 06 · VCF de HBB]</w:t>
              <w:br/>
            </w:r>
            <w:r>
              <w:rPr>
                <w:i/>
              </w:rPr>
              <w:t>Mostrar cabecera/campos y las variantes reales. Si aparece rs334, debe verse la línea y sus métricas de soporte.</w:t>
            </w:r>
          </w:p>
        </w:tc>
      </w:tr>
    </w:tbl>
    <w:p/>
    <w:p>
      <w:pPr>
        <w:pStyle w:val="Heading1"/>
      </w:pPr>
      <w:r>
        <w:t>7. Análisis de variantes con Ensembl VEP</w:t>
      </w:r>
    </w:p>
    <w:p>
      <w:r>
        <w:t>El VCF se descarga desde Galaxy y se carga en Ensembl VEP seleccionando Homo sapiens y GRCh38. Se activan HGVS, variantes conocidas, asociaciones fenotípicas/ClinVar, frecuencias poblacionales y predictores funcionales cuando estén disponibles. La priorización combina consecuencia funcional, calidad del VCF, coincidencia con variantes conocidas y evidencia clínica.</w:t>
      </w:r>
    </w:p>
    <w:p>
      <w:r>
        <w:t>Si el VCF contiene rs334, el control de coherencia es que VEP lo relacione con HBB y una consecuencia missense, con nomenclatura compatible con p.Glu7Val. La evidencia clínica consolidada en ClinVar tiene más peso que predictores in silico aislados. Las variantes adicionales deben comentarse según consecuencia y evidencia, evitando atribuir patogenicidad sin soporte.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300" w:hRule="atLeast"/>
        </w:trPr>
        <w:tc>
          <w:tcPr>
            <w:tcW w:type="dxa" w:w="10312"/>
            <w:shd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</w:rPr>
              <w:t>[CAPTURA REAL · 07 · Ensembl VEP]</w:t>
              <w:br/>
            </w:r>
            <w:r>
              <w:rPr>
                <w:i/>
              </w:rPr>
              <w:t>Mostrar la salida real con gene, consequence, HGVS/existing variation y evidencia clínica relevante.</w:t>
            </w:r>
          </w:p>
        </w:tc>
      </w:tr>
    </w:tbl>
    <w:p/>
    <w:p>
      <w:pPr>
        <w:pStyle w:val="Heading1"/>
      </w:pPr>
      <w:r>
        <w:t>8. Discusión integrada y limitaciones</w:t>
      </w:r>
    </w:p>
    <w:p>
      <w:r>
        <w:t>El flujo conecta una hipótesis fenotipo-gen con datos de secuenciación y una interpretación de variantes. La elección de HBB aporta una referencia biológica clara, pero el dataset procede de un contexto experimental de edición génica/CAST-seq, por lo que no debe interpretarse como un caso clínico diagnóstico convencional. Su utilidad aquí es metodológica: permite practicar un pipeline completo con una variante de control conocida.</w:t>
      </w:r>
    </w:p>
    <w:p>
      <w:r>
        <w:t>La principal fuente de error potencial es mezclar ensamblajes: GRCh37 sitúa la variante en 11:5248232 T&gt;A, mientras GRCh38 la sitúa en chr11:5227002 T&gt;A. Todo el pipeline propuesto se mantiene en GRCh38. Otras limitaciones son los sesgos de un ensayo dirigido, la dependencia de parámetros de trimming/caller y la necesidad de contextualizar frecuencia poblacional y evidencia clínica.</w:t>
      </w:r>
    </w:p>
    <w:p>
      <w:pPr>
        <w:pStyle w:val="Heading1"/>
      </w:pPr>
      <w:r>
        <w:t>9. Trazabilidad de la rúbrica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</w:tcPr>
          <w:p>
            <w:r>
              <w:t>Criterio</w:t>
            </w:r>
          </w:p>
        </w:tc>
        <w:tc>
          <w:tcPr>
            <w:tcW w:type="dxa" w:w="2578"/>
            <w:shd w:fill="D9EAF7"/>
          </w:tcPr>
          <w:p>
            <w:r>
              <w:t>Peso</w:t>
            </w:r>
          </w:p>
        </w:tc>
        <w:tc>
          <w:tcPr>
            <w:tcW w:type="dxa" w:w="2578"/>
            <w:shd w:fill="D9EAF7"/>
          </w:tcPr>
          <w:p>
            <w:r>
              <w:t>Evidencia</w:t>
            </w:r>
          </w:p>
        </w:tc>
        <w:tc>
          <w:tcPr>
            <w:tcW w:type="dxa" w:w="2578"/>
            <w:shd w:fill="D9EAF7"/>
          </w:tcPr>
          <w:p>
            <w:r>
              <w:t>Estado</w:t>
            </w:r>
          </w:p>
        </w:tc>
      </w:tr>
      <w:tr>
        <w:tc>
          <w:tcPr>
            <w:tcW w:type="dxa" w:w="2578"/>
          </w:tcPr>
          <w:p>
            <w:r>
              <w:t>Búsqueda fenotípica</w:t>
            </w:r>
          </w:p>
        </w:tc>
        <w:tc>
          <w:tcPr>
            <w:tcW w:type="dxa" w:w="2578"/>
          </w:tcPr>
          <w:p>
            <w:r>
              <w:t>10 %</w:t>
            </w:r>
          </w:p>
        </w:tc>
        <w:tc>
          <w:tcPr>
            <w:tcW w:type="dxa" w:w="2578"/>
          </w:tcPr>
          <w:p>
            <w:r>
              <w:t>ClinVar/NCBI Gene + captura 01</w:t>
            </w:r>
          </w:p>
        </w:tc>
        <w:tc>
          <w:tcPr>
            <w:tcW w:type="dxa" w:w="2578"/>
          </w:tcPr>
          <w:p>
            <w:r>
              <w:t>Preparado</w:t>
            </w:r>
          </w:p>
        </w:tc>
      </w:tr>
      <w:tr>
        <w:tc>
          <w:tcPr>
            <w:tcW w:type="dxa" w:w="2578"/>
          </w:tcPr>
          <w:p>
            <w:r>
              <w:t>Datos de secuenciación</w:t>
            </w:r>
          </w:p>
        </w:tc>
        <w:tc>
          <w:tcPr>
            <w:tcW w:type="dxa" w:w="2578"/>
          </w:tcPr>
          <w:p>
            <w:r>
              <w:t>10 %</w:t>
            </w:r>
          </w:p>
        </w:tc>
        <w:tc>
          <w:tcPr>
            <w:tcW w:type="dxa" w:w="2578"/>
          </w:tcPr>
          <w:p>
            <w:r>
              <w:t>ENA/SRA + captura 02</w:t>
            </w:r>
          </w:p>
        </w:tc>
        <w:tc>
          <w:tcPr>
            <w:tcW w:type="dxa" w:w="2578"/>
          </w:tcPr>
          <w:p>
            <w:r>
              <w:t>Preparado</w:t>
            </w:r>
          </w:p>
        </w:tc>
      </w:tr>
      <w:tr>
        <w:tc>
          <w:tcPr>
            <w:tcW w:type="dxa" w:w="2578"/>
          </w:tcPr>
          <w:p>
            <w:r>
              <w:t>QC</w:t>
            </w:r>
          </w:p>
        </w:tc>
        <w:tc>
          <w:tcPr>
            <w:tcW w:type="dxa" w:w="2578"/>
          </w:tcPr>
          <w:p>
            <w:r>
              <w:t>20 %</w:t>
            </w:r>
          </w:p>
        </w:tc>
        <w:tc>
          <w:tcPr>
            <w:tcW w:type="dxa" w:w="2578"/>
          </w:tcPr>
          <w:p>
            <w:r>
              <w:t>FastQC/MultiQC + captura 03</w:t>
            </w:r>
          </w:p>
        </w:tc>
        <w:tc>
          <w:tcPr>
            <w:tcW w:type="dxa" w:w="2578"/>
          </w:tcPr>
          <w:p>
            <w:r>
              <w:t>Pendiente ejecución</w:t>
            </w:r>
          </w:p>
        </w:tc>
      </w:tr>
      <w:tr>
        <w:tc>
          <w:tcPr>
            <w:tcW w:type="dxa" w:w="2578"/>
          </w:tcPr>
          <w:p>
            <w:r>
              <w:t>Limpieza</w:t>
            </w:r>
          </w:p>
        </w:tc>
        <w:tc>
          <w:tcPr>
            <w:tcW w:type="dxa" w:w="2578"/>
          </w:tcPr>
          <w:p>
            <w:r>
              <w:t>10 %</w:t>
            </w:r>
          </w:p>
        </w:tc>
        <w:tc>
          <w:tcPr>
            <w:tcW w:type="dxa" w:w="2578"/>
          </w:tcPr>
          <w:p>
            <w:r>
              <w:t>fastp + captura 04</w:t>
            </w:r>
          </w:p>
        </w:tc>
        <w:tc>
          <w:tcPr>
            <w:tcW w:type="dxa" w:w="2578"/>
          </w:tcPr>
          <w:p>
            <w:r>
              <w:t>Pendiente ejecución</w:t>
            </w:r>
          </w:p>
        </w:tc>
      </w:tr>
      <w:tr>
        <w:tc>
          <w:tcPr>
            <w:tcW w:type="dxa" w:w="2578"/>
          </w:tcPr>
          <w:p>
            <w:r>
              <w:t>Alineamiento</w:t>
            </w:r>
          </w:p>
        </w:tc>
        <w:tc>
          <w:tcPr>
            <w:tcW w:type="dxa" w:w="2578"/>
          </w:tcPr>
          <w:p>
            <w:r>
              <w:t>15 %</w:t>
            </w:r>
          </w:p>
        </w:tc>
        <w:tc>
          <w:tcPr>
            <w:tcW w:type="dxa" w:w="2578"/>
          </w:tcPr>
          <w:p>
            <w:r>
              <w:t>BWA + flagstat/coverage + captura 05</w:t>
            </w:r>
          </w:p>
        </w:tc>
        <w:tc>
          <w:tcPr>
            <w:tcW w:type="dxa" w:w="2578"/>
          </w:tcPr>
          <w:p>
            <w:r>
              <w:t>Pendiente ejecución</w:t>
            </w:r>
          </w:p>
        </w:tc>
      </w:tr>
      <w:tr>
        <w:tc>
          <w:tcPr>
            <w:tcW w:type="dxa" w:w="2578"/>
          </w:tcPr>
          <w:p>
            <w:r>
              <w:t>VCF</w:t>
            </w:r>
          </w:p>
        </w:tc>
        <w:tc>
          <w:tcPr>
            <w:tcW w:type="dxa" w:w="2578"/>
          </w:tcPr>
          <w:p>
            <w:r>
              <w:t>15 %</w:t>
            </w:r>
          </w:p>
        </w:tc>
        <w:tc>
          <w:tcPr>
            <w:tcW w:type="dxa" w:w="2578"/>
          </w:tcPr>
          <w:p>
            <w:r>
              <w:t>FreeBayes/bcftools + captura 06</w:t>
            </w:r>
          </w:p>
        </w:tc>
        <w:tc>
          <w:tcPr>
            <w:tcW w:type="dxa" w:w="2578"/>
          </w:tcPr>
          <w:p>
            <w:r>
              <w:t>Pendiente ejecución</w:t>
            </w:r>
          </w:p>
        </w:tc>
      </w:tr>
      <w:tr>
        <w:tc>
          <w:tcPr>
            <w:tcW w:type="dxa" w:w="2578"/>
          </w:tcPr>
          <w:p>
            <w:r>
              <w:t>VEP</w:t>
            </w:r>
          </w:p>
        </w:tc>
        <w:tc>
          <w:tcPr>
            <w:tcW w:type="dxa" w:w="2578"/>
          </w:tcPr>
          <w:p>
            <w:r>
              <w:t>20 %</w:t>
            </w:r>
          </w:p>
        </w:tc>
        <w:tc>
          <w:tcPr>
            <w:tcW w:type="dxa" w:w="2578"/>
          </w:tcPr>
          <w:p>
            <w:r>
              <w:t>Anotación + captura 07</w:t>
            </w:r>
          </w:p>
        </w:tc>
        <w:tc>
          <w:tcPr>
            <w:tcW w:type="dxa" w:w="2578"/>
          </w:tcPr>
          <w:p>
            <w:r>
              <w:t>Pendiente ejecución</w:t>
            </w:r>
          </w:p>
        </w:tc>
      </w:tr>
    </w:tbl>
    <w:p>
      <w:pPr>
        <w:pStyle w:val="Heading1"/>
      </w:pPr>
      <w:r>
        <w:t>10. Checklist previo a la entrega</w:t>
      </w:r>
    </w:p>
    <w:p>
      <w:r>
        <w:t>☐ Sustituir los siete marcadores por capturas reales y legibles.</w:t>
      </w:r>
    </w:p>
    <w:p>
      <w:r>
        <w:t>☐ Anotar valores reales de FastQC, trimming, flagstat, cobertura y VCF.</w:t>
      </w:r>
    </w:p>
    <w:p>
      <w:r>
        <w:t>☐ Mantener GRCh38 en alineamiento, VCF y VEP.</w:t>
      </w:r>
    </w:p>
    <w:p>
      <w:r>
        <w:t>☐ Verificar que cualquier mención a rs334 como variante detectada está respaldada por el VCF real.</w:t>
      </w:r>
    </w:p>
    <w:p>
      <w:r>
        <w:t>☐ Comprobar que el PDF final no supera 20 páginas, usa Calibri 12 e interlineado simple.</w:t>
      </w:r>
    </w:p>
    <w:p>
      <w:r>
        <w:t>☐ Eliminar datos personales innecesarios de capturas de Galaxy antes de entregar.</w:t>
      </w:r>
    </w:p>
    <w:p>
      <w:pPr>
        <w:pStyle w:val="Heading1"/>
      </w:pPr>
      <w:r>
        <w:t>Referencias</w:t>
      </w:r>
    </w:p>
    <w:p>
      <w:r>
        <w:t>NCBI Gene. HBB hemoglobin subunit beta [Homo sapiens], Gene ID 3043. https://www.ncbi.nlm.nih.gov/gene/3043</w:t>
      </w:r>
    </w:p>
    <w:p>
      <w:r>
        <w:t>NCBI ClinVar. Variation ID 15333, HBB c.20A&gt;T (p.Glu7Val), rs334. https://www.ncbi.nlm.nih.gov/clinvar/variation/15333/</w:t>
      </w:r>
    </w:p>
    <w:p>
      <w:r>
        <w:t>Moiani A, Letort G, Lizot S, et al. Non-viral DNA delivery and TALEN editing correct the sickle cell mutation in hematopoietic stem cells. Nature Communications. 2024;15:4965. doi:10.1038/s41467-024-49353-3.</w:t>
      </w:r>
    </w:p>
    <w:p>
      <w:r>
        <w:t>Ensembl. Variant Effect Predictor (VEP). https://www.ensembl.org/Tools/VEP</w:t>
      </w:r>
    </w:p>
    <w:p>
      <w:r>
        <w:t>Galaxy Training Network. A short introduction to Galaxy / Introducción a Galaxy. https://training.galaxyproject.org/</w:t>
      </w:r>
    </w:p>
    <w:p>
      <w:r>
        <w:t>McLaren W, Gil L, Hunt SE, et al. The Ensembl Variant Effect Predictor. Genome Biology. 2016;17:122. doi:10.1186/s13059-016-0974-4.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