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66776" w14:textId="77777777" w:rsidR="001665F1" w:rsidRDefault="00000000">
      <w:pPr>
        <w:jc w:val="center"/>
      </w:pPr>
      <w:r>
        <w:rPr>
          <w:b/>
          <w:color w:val="0A3D4A"/>
          <w:sz w:val="52"/>
        </w:rPr>
        <w:br/>
        <w:t>Plan Director para Consejo</w:t>
      </w:r>
      <w:r>
        <w:rPr>
          <w:b/>
          <w:color w:val="0A3D4A"/>
          <w:sz w:val="52"/>
        </w:rPr>
        <w:br/>
      </w:r>
      <w:r>
        <w:rPr>
          <w:b/>
          <w:color w:val="0B5D5A"/>
          <w:sz w:val="32"/>
        </w:rPr>
        <w:t>Soliss AI/RPA Factory - P0 Infraestructura Crítica</w:t>
      </w:r>
      <w:r>
        <w:rPr>
          <w:b/>
          <w:color w:val="0B5D5A"/>
          <w:sz w:val="32"/>
        </w:rPr>
        <w:br/>
      </w:r>
      <w:r>
        <w:rPr>
          <w:color w:val="0B5D5A"/>
          <w:sz w:val="26"/>
        </w:rPr>
        <w:t>Proyecto on-premise, federado, gobernado y preparado para casos de uso derivados</w:t>
      </w:r>
      <w:r>
        <w:rPr>
          <w:color w:val="0B5D5A"/>
          <w:sz w:val="26"/>
        </w:rPr>
        <w:br/>
      </w:r>
    </w:p>
    <w:tbl>
      <w:tblPr>
        <w:tblStyle w:val="Tablaconcuadrcula"/>
        <w:tblW w:w="0" w:type="auto"/>
        <w:jc w:val="center"/>
        <w:tblLook w:val="04A0" w:firstRow="1" w:lastRow="0" w:firstColumn="1" w:lastColumn="0" w:noHBand="0" w:noVBand="1"/>
      </w:tblPr>
      <w:tblGrid>
        <w:gridCol w:w="5270"/>
        <w:gridCol w:w="5270"/>
      </w:tblGrid>
      <w:tr w:rsidR="001665F1" w14:paraId="35A8E673" w14:textId="77777777">
        <w:trPr>
          <w:jc w:val="center"/>
        </w:trPr>
        <w:tc>
          <w:tcPr>
            <w:tcW w:w="5270"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2FFBE65F" w14:textId="77777777" w:rsidR="001665F1" w:rsidRDefault="00000000">
            <w:r>
              <w:rPr>
                <w:b/>
                <w:color w:val="FFFFFF"/>
                <w:sz w:val="17"/>
              </w:rPr>
              <w:t>Cliente</w:t>
            </w:r>
          </w:p>
        </w:tc>
        <w:tc>
          <w:tcPr>
            <w:tcW w:w="5270"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6DC18F71" w14:textId="77777777" w:rsidR="001665F1" w:rsidRDefault="00000000">
            <w:r>
              <w:rPr>
                <w:b/>
                <w:color w:val="FFFFFF"/>
                <w:sz w:val="17"/>
              </w:rPr>
              <w:t>Soliss / Grupo Soliss</w:t>
            </w:r>
          </w:p>
        </w:tc>
      </w:tr>
      <w:tr w:rsidR="001665F1" w14:paraId="01C7641F" w14:textId="77777777">
        <w:trPr>
          <w:jc w:val="center"/>
        </w:trPr>
        <w:tc>
          <w:tcPr>
            <w:tcW w:w="527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2B9DA21F" w14:textId="77777777" w:rsidR="001665F1" w:rsidRDefault="00000000">
            <w:r>
              <w:rPr>
                <w:sz w:val="17"/>
              </w:rPr>
              <w:t>Proponente</w:t>
            </w:r>
          </w:p>
        </w:tc>
        <w:tc>
          <w:tcPr>
            <w:tcW w:w="5270" w:type="dxa"/>
            <w:tcBorders>
              <w:top w:val="single" w:sz="4" w:space="0" w:color="B0B0B0"/>
              <w:left w:val="single" w:sz="4" w:space="0" w:color="B0B0B0"/>
              <w:bottom w:val="single" w:sz="4" w:space="0" w:color="B0B0B0"/>
              <w:right w:val="single" w:sz="4" w:space="0" w:color="B0B0B0"/>
            </w:tcBorders>
            <w:vAlign w:val="center"/>
          </w:tcPr>
          <w:p w14:paraId="596138A8" w14:textId="77777777" w:rsidR="001665F1" w:rsidRDefault="00000000">
            <w:r>
              <w:rPr>
                <w:sz w:val="17"/>
              </w:rPr>
              <w:t>Keedio</w:t>
            </w:r>
          </w:p>
        </w:tc>
      </w:tr>
      <w:tr w:rsidR="001665F1" w14:paraId="2DDB5327" w14:textId="77777777">
        <w:trPr>
          <w:jc w:val="center"/>
        </w:trPr>
        <w:tc>
          <w:tcPr>
            <w:tcW w:w="527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95899A1" w14:textId="77777777" w:rsidR="001665F1" w:rsidRDefault="00000000">
            <w:r>
              <w:rPr>
                <w:sz w:val="17"/>
              </w:rPr>
              <w:t>Objeto</w:t>
            </w:r>
          </w:p>
        </w:tc>
        <w:tc>
          <w:tcPr>
            <w:tcW w:w="5270" w:type="dxa"/>
            <w:tcBorders>
              <w:top w:val="single" w:sz="4" w:space="0" w:color="B0B0B0"/>
              <w:left w:val="single" w:sz="4" w:space="0" w:color="B0B0B0"/>
              <w:bottom w:val="single" w:sz="4" w:space="0" w:color="B0B0B0"/>
              <w:right w:val="single" w:sz="4" w:space="0" w:color="B0B0B0"/>
            </w:tcBorders>
            <w:vAlign w:val="center"/>
          </w:tcPr>
          <w:p w14:paraId="370AA150" w14:textId="77777777" w:rsidR="001665F1" w:rsidRDefault="00000000">
            <w:r>
              <w:rPr>
                <w:sz w:val="17"/>
              </w:rPr>
              <w:t>P0 como proyecto único contratado; UC1-UC7 como casos de uso derivados</w:t>
            </w:r>
          </w:p>
        </w:tc>
      </w:tr>
      <w:tr w:rsidR="001665F1" w14:paraId="6F6C3515" w14:textId="77777777">
        <w:trPr>
          <w:jc w:val="center"/>
        </w:trPr>
        <w:tc>
          <w:tcPr>
            <w:tcW w:w="527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211D7E2" w14:textId="77777777" w:rsidR="001665F1" w:rsidRDefault="00000000">
            <w:r>
              <w:rPr>
                <w:sz w:val="17"/>
              </w:rPr>
              <w:t>Horizonte</w:t>
            </w:r>
          </w:p>
        </w:tc>
        <w:tc>
          <w:tcPr>
            <w:tcW w:w="5270" w:type="dxa"/>
            <w:tcBorders>
              <w:top w:val="single" w:sz="4" w:space="0" w:color="B0B0B0"/>
              <w:left w:val="single" w:sz="4" w:space="0" w:color="B0B0B0"/>
              <w:bottom w:val="single" w:sz="4" w:space="0" w:color="B0B0B0"/>
              <w:right w:val="single" w:sz="4" w:space="0" w:color="B0B0B0"/>
            </w:tcBorders>
            <w:vAlign w:val="center"/>
          </w:tcPr>
          <w:p w14:paraId="1193D557" w14:textId="77777777" w:rsidR="001665F1" w:rsidRDefault="00000000">
            <w:r>
              <w:rPr>
                <w:sz w:val="17"/>
              </w:rPr>
              <w:t>24 meses de base + 12 meses opcionales</w:t>
            </w:r>
          </w:p>
        </w:tc>
      </w:tr>
      <w:tr w:rsidR="001665F1" w14:paraId="36A04822" w14:textId="77777777">
        <w:trPr>
          <w:jc w:val="center"/>
        </w:trPr>
        <w:tc>
          <w:tcPr>
            <w:tcW w:w="527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253D559A" w14:textId="77777777" w:rsidR="001665F1" w:rsidRDefault="00000000">
            <w:r>
              <w:rPr>
                <w:sz w:val="17"/>
              </w:rPr>
              <w:t>Infraestructura</w:t>
            </w:r>
          </w:p>
        </w:tc>
        <w:tc>
          <w:tcPr>
            <w:tcW w:w="5270" w:type="dxa"/>
            <w:tcBorders>
              <w:top w:val="single" w:sz="4" w:space="0" w:color="B0B0B0"/>
              <w:left w:val="single" w:sz="4" w:space="0" w:color="B0B0B0"/>
              <w:bottom w:val="single" w:sz="4" w:space="0" w:color="B0B0B0"/>
              <w:right w:val="single" w:sz="4" w:space="0" w:color="B0B0B0"/>
            </w:tcBorders>
            <w:vAlign w:val="center"/>
          </w:tcPr>
          <w:p w14:paraId="3D09A8DF" w14:textId="77777777" w:rsidR="001665F1" w:rsidRDefault="00000000">
            <w:r>
              <w:rPr>
                <w:sz w:val="17"/>
              </w:rPr>
              <w:t>On-premise a cargo de Soliss; Keedio no compra ni revende máquinas</w:t>
            </w:r>
          </w:p>
        </w:tc>
      </w:tr>
      <w:tr w:rsidR="001665F1" w14:paraId="633F4F15" w14:textId="77777777">
        <w:trPr>
          <w:jc w:val="center"/>
        </w:trPr>
        <w:tc>
          <w:tcPr>
            <w:tcW w:w="527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3DFC0104" w14:textId="77777777" w:rsidR="001665F1" w:rsidRDefault="00000000">
            <w:r>
              <w:rPr>
                <w:sz w:val="17"/>
              </w:rPr>
              <w:t>Carácter</w:t>
            </w:r>
          </w:p>
        </w:tc>
        <w:tc>
          <w:tcPr>
            <w:tcW w:w="5270" w:type="dxa"/>
            <w:tcBorders>
              <w:top w:val="single" w:sz="4" w:space="0" w:color="B0B0B0"/>
              <w:left w:val="single" w:sz="4" w:space="0" w:color="B0B0B0"/>
              <w:bottom w:val="single" w:sz="4" w:space="0" w:color="B0B0B0"/>
              <w:right w:val="single" w:sz="4" w:space="0" w:color="B0B0B0"/>
            </w:tcBorders>
            <w:vAlign w:val="center"/>
          </w:tcPr>
          <w:p w14:paraId="07BFC6EE" w14:textId="77777777" w:rsidR="001665F1" w:rsidRDefault="00000000">
            <w:r>
              <w:rPr>
                <w:sz w:val="17"/>
              </w:rPr>
              <w:t>Documento cerrado para Consejo y revisión ejecutiva/técnica</w:t>
            </w:r>
          </w:p>
        </w:tc>
      </w:tr>
      <w:tr w:rsidR="001665F1" w14:paraId="6D34BBB7" w14:textId="77777777">
        <w:trPr>
          <w:jc w:val="center"/>
        </w:trPr>
        <w:tc>
          <w:tcPr>
            <w:tcW w:w="10540" w:type="dxa"/>
            <w:gridSpan w:val="2"/>
            <w:tcBorders>
              <w:top w:val="single" w:sz="4" w:space="0" w:color="B0B0B0"/>
              <w:left w:val="single" w:sz="4" w:space="0" w:color="B0B0B0"/>
              <w:bottom w:val="single" w:sz="4" w:space="0" w:color="B0B0B0"/>
              <w:right w:val="single" w:sz="4" w:space="0" w:color="B0B0B0"/>
            </w:tcBorders>
            <w:shd w:val="clear" w:color="auto" w:fill="EAF4FA"/>
            <w:vAlign w:val="center"/>
          </w:tcPr>
          <w:p w14:paraId="0A74C85F" w14:textId="77777777" w:rsidR="00863159" w:rsidRDefault="00863159">
            <w:pPr>
              <w:rPr>
                <w:b/>
                <w:sz w:val="17"/>
              </w:rPr>
            </w:pPr>
          </w:p>
          <w:p w14:paraId="19782EF4" w14:textId="77777777" w:rsidR="001665F1" w:rsidRDefault="00000000">
            <w:pPr>
              <w:rPr>
                <w:b/>
                <w:sz w:val="17"/>
              </w:rPr>
            </w:pPr>
            <w:r w:rsidRPr="00863159">
              <w:rPr>
                <w:b/>
                <w:sz w:val="17"/>
              </w:rPr>
              <w:t xml:space="preserve">P0 </w:t>
            </w:r>
            <w:proofErr w:type="spellStart"/>
            <w:r w:rsidRPr="00863159">
              <w:rPr>
                <w:b/>
                <w:sz w:val="17"/>
              </w:rPr>
              <w:t>debe</w:t>
            </w:r>
            <w:proofErr w:type="spellEnd"/>
            <w:r w:rsidRPr="00863159">
              <w:rPr>
                <w:b/>
                <w:sz w:val="17"/>
              </w:rPr>
              <w:t xml:space="preserve"> </w:t>
            </w:r>
            <w:proofErr w:type="spellStart"/>
            <w:r w:rsidRPr="00863159">
              <w:rPr>
                <w:b/>
                <w:sz w:val="17"/>
              </w:rPr>
              <w:t>aprobarse</w:t>
            </w:r>
            <w:proofErr w:type="spellEnd"/>
            <w:r w:rsidRPr="00863159">
              <w:rPr>
                <w:b/>
                <w:sz w:val="17"/>
              </w:rPr>
              <w:t xml:space="preserve"> </w:t>
            </w:r>
            <w:proofErr w:type="spellStart"/>
            <w:r w:rsidRPr="00863159">
              <w:rPr>
                <w:b/>
                <w:sz w:val="17"/>
              </w:rPr>
              <w:t>como</w:t>
            </w:r>
            <w:proofErr w:type="spellEnd"/>
            <w:r w:rsidRPr="00863159">
              <w:rPr>
                <w:b/>
                <w:sz w:val="17"/>
              </w:rPr>
              <w:t xml:space="preserve"> </w:t>
            </w:r>
            <w:proofErr w:type="spellStart"/>
            <w:r w:rsidRPr="00863159">
              <w:rPr>
                <w:b/>
                <w:sz w:val="17"/>
              </w:rPr>
              <w:t>proyecto</w:t>
            </w:r>
            <w:proofErr w:type="spellEnd"/>
            <w:r w:rsidRPr="00863159">
              <w:rPr>
                <w:b/>
                <w:sz w:val="17"/>
              </w:rPr>
              <w:t xml:space="preserve"> de infraestructura crítica para industrializar IA/RPA en Soliss con seguridad, gobierno, resiliencia y trazabilidad. Los proyectos P1-P7 pasan a formularse como casos de uso derivados que solo se activarán tras gates de alcance, valor, </w:t>
            </w:r>
            <w:proofErr w:type="spellStart"/>
            <w:r w:rsidRPr="00863159">
              <w:rPr>
                <w:b/>
                <w:sz w:val="17"/>
              </w:rPr>
              <w:t>datos</w:t>
            </w:r>
            <w:proofErr w:type="spellEnd"/>
            <w:r w:rsidRPr="00863159">
              <w:rPr>
                <w:b/>
                <w:sz w:val="17"/>
              </w:rPr>
              <w:t xml:space="preserve">, </w:t>
            </w:r>
            <w:proofErr w:type="spellStart"/>
            <w:r w:rsidRPr="00863159">
              <w:rPr>
                <w:b/>
                <w:sz w:val="17"/>
              </w:rPr>
              <w:t>seguridad</w:t>
            </w:r>
            <w:proofErr w:type="spellEnd"/>
            <w:r w:rsidRPr="00863159">
              <w:rPr>
                <w:b/>
                <w:sz w:val="17"/>
              </w:rPr>
              <w:t xml:space="preserve"> e </w:t>
            </w:r>
            <w:proofErr w:type="spellStart"/>
            <w:r w:rsidRPr="00863159">
              <w:rPr>
                <w:b/>
                <w:sz w:val="17"/>
              </w:rPr>
              <w:t>inversión</w:t>
            </w:r>
            <w:proofErr w:type="spellEnd"/>
            <w:r w:rsidRPr="00863159">
              <w:rPr>
                <w:b/>
                <w:sz w:val="17"/>
              </w:rPr>
              <w:t>.</w:t>
            </w:r>
          </w:p>
          <w:p w14:paraId="0EC9C26E" w14:textId="548EEF07" w:rsidR="00863159" w:rsidRDefault="00863159"/>
        </w:tc>
      </w:tr>
    </w:tbl>
    <w:p w14:paraId="1B125FCE" w14:textId="77777777" w:rsidR="001665F1" w:rsidRDefault="00000000">
      <w:r>
        <w:br w:type="page"/>
      </w:r>
    </w:p>
    <w:p w14:paraId="2AF23349" w14:textId="77777777" w:rsidR="001665F1" w:rsidRDefault="00000000">
      <w:pPr>
        <w:pStyle w:val="Ttulo1"/>
      </w:pPr>
      <w:r>
        <w:rPr>
          <w:color w:val="0A3D4A"/>
        </w:rPr>
        <w:lastRenderedPageBreak/>
        <w:t>1. Decisión ejecutiva tras la revisión profunda</w:t>
      </w:r>
    </w:p>
    <w:p w14:paraId="28A63C01" w14:textId="77777777" w:rsidR="001665F1" w:rsidRDefault="00000000">
      <w:r>
        <w:t>La propuesta queda reestructurada para eliminar ambigüedad económica y de alcance. Soliss no contrataría ocho proyectos simultáneos. El contrato se centra en P0, que construye la infraestructura crítica, el modelo operativo y los habilitadores comunes. El resto de iniciativas pasan a gestionarse como casos de uso derivados, priorizados y activables mediante gates posteriores.</w:t>
      </w:r>
    </w:p>
    <w:tbl>
      <w:tblPr>
        <w:tblStyle w:val="Tablaconcuadrcula"/>
        <w:tblW w:w="0" w:type="auto"/>
        <w:jc w:val="center"/>
        <w:tblLook w:val="04A0" w:firstRow="1" w:lastRow="0" w:firstColumn="1" w:lastColumn="0" w:noHBand="0" w:noVBand="1"/>
      </w:tblPr>
      <w:tblGrid>
        <w:gridCol w:w="2268"/>
        <w:gridCol w:w="6803"/>
      </w:tblGrid>
      <w:tr w:rsidR="001665F1" w14:paraId="43DB689C"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0C58CCF4" w14:textId="77777777" w:rsidR="001665F1" w:rsidRDefault="00000000">
            <w:r>
              <w:rPr>
                <w:b/>
                <w:color w:val="FFFFFF"/>
                <w:sz w:val="17"/>
              </w:rPr>
              <w:t>Decisión</w:t>
            </w:r>
          </w:p>
        </w:tc>
        <w:tc>
          <w:tcPr>
            <w:tcW w:w="6803"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45BB7745" w14:textId="77777777" w:rsidR="001665F1" w:rsidRDefault="00000000">
            <w:r>
              <w:rPr>
                <w:b/>
                <w:color w:val="FFFFFF"/>
                <w:sz w:val="17"/>
              </w:rPr>
              <w:t>Criterio cerrado</w:t>
            </w:r>
          </w:p>
        </w:tc>
      </w:tr>
      <w:tr w:rsidR="001665F1" w14:paraId="54DDCE35"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348FAA4" w14:textId="77777777" w:rsidR="001665F1" w:rsidRDefault="00000000">
            <w:r>
              <w:rPr>
                <w:sz w:val="17"/>
              </w:rPr>
              <w:t>Proyecto contratado</w:t>
            </w:r>
          </w:p>
        </w:tc>
        <w:tc>
          <w:tcPr>
            <w:tcW w:w="6803" w:type="dxa"/>
            <w:tcBorders>
              <w:top w:val="single" w:sz="4" w:space="0" w:color="B0B0B0"/>
              <w:left w:val="single" w:sz="4" w:space="0" w:color="B0B0B0"/>
              <w:bottom w:val="single" w:sz="4" w:space="0" w:color="B0B0B0"/>
              <w:right w:val="single" w:sz="4" w:space="0" w:color="B0B0B0"/>
            </w:tcBorders>
            <w:vAlign w:val="center"/>
          </w:tcPr>
          <w:p w14:paraId="31C45AD8" w14:textId="77777777" w:rsidR="001665F1" w:rsidRDefault="00000000">
            <w:r>
              <w:rPr>
                <w:sz w:val="17"/>
              </w:rPr>
              <w:t>P0 - Infraestructura Crítica Soliss AI/RPA Factory.</w:t>
            </w:r>
          </w:p>
        </w:tc>
      </w:tr>
      <w:tr w:rsidR="001665F1" w14:paraId="5BE40B1B"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C3CBADE" w14:textId="77777777" w:rsidR="001665F1" w:rsidRDefault="00000000">
            <w:r>
              <w:rPr>
                <w:sz w:val="17"/>
              </w:rPr>
              <w:t>P1-P7</w:t>
            </w:r>
          </w:p>
        </w:tc>
        <w:tc>
          <w:tcPr>
            <w:tcW w:w="6803" w:type="dxa"/>
            <w:tcBorders>
              <w:top w:val="single" w:sz="4" w:space="0" w:color="B0B0B0"/>
              <w:left w:val="single" w:sz="4" w:space="0" w:color="B0B0B0"/>
              <w:bottom w:val="single" w:sz="4" w:space="0" w:color="B0B0B0"/>
              <w:right w:val="single" w:sz="4" w:space="0" w:color="B0B0B0"/>
            </w:tcBorders>
            <w:vAlign w:val="center"/>
          </w:tcPr>
          <w:p w14:paraId="20D9BAE8" w14:textId="77777777" w:rsidR="001665F1" w:rsidRDefault="00000000">
            <w:r>
              <w:rPr>
                <w:sz w:val="17"/>
              </w:rPr>
              <w:t>No se presupuestan como proyectos cerrados dentro de P0; se convierten en UC1-UC7 derivados.</w:t>
            </w:r>
          </w:p>
        </w:tc>
      </w:tr>
      <w:tr w:rsidR="001665F1" w14:paraId="2784A00A"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68AE6D2" w14:textId="77777777" w:rsidR="001665F1" w:rsidRDefault="00000000">
            <w:r>
              <w:rPr>
                <w:sz w:val="17"/>
              </w:rPr>
              <w:t>Arquitectura</w:t>
            </w:r>
          </w:p>
        </w:tc>
        <w:tc>
          <w:tcPr>
            <w:tcW w:w="6803" w:type="dxa"/>
            <w:tcBorders>
              <w:top w:val="single" w:sz="4" w:space="0" w:color="B0B0B0"/>
              <w:left w:val="single" w:sz="4" w:space="0" w:color="B0B0B0"/>
              <w:bottom w:val="single" w:sz="4" w:space="0" w:color="B0B0B0"/>
              <w:right w:val="single" w:sz="4" w:space="0" w:color="B0B0B0"/>
            </w:tcBorders>
            <w:vAlign w:val="center"/>
          </w:tcPr>
          <w:p w14:paraId="29C5E23A" w14:textId="77777777" w:rsidR="001665F1" w:rsidRDefault="00000000">
            <w:r>
              <w:rPr>
                <w:sz w:val="17"/>
              </w:rPr>
              <w:t>On-premise, Rancher/RKE2, clústeres Kubernetes, data mesh federado, Gravitino PoC, Keycloak, Model Gateway y RAG gobernado.</w:t>
            </w:r>
          </w:p>
        </w:tc>
      </w:tr>
      <w:tr w:rsidR="001665F1" w14:paraId="3E451EF9"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25FC78B9" w14:textId="77777777" w:rsidR="001665F1" w:rsidRDefault="00000000">
            <w:r>
              <w:rPr>
                <w:sz w:val="17"/>
              </w:rPr>
              <w:t>Infraestructura</w:t>
            </w:r>
          </w:p>
        </w:tc>
        <w:tc>
          <w:tcPr>
            <w:tcW w:w="6803" w:type="dxa"/>
            <w:tcBorders>
              <w:top w:val="single" w:sz="4" w:space="0" w:color="B0B0B0"/>
              <w:left w:val="single" w:sz="4" w:space="0" w:color="B0B0B0"/>
              <w:bottom w:val="single" w:sz="4" w:space="0" w:color="B0B0B0"/>
              <w:right w:val="single" w:sz="4" w:space="0" w:color="B0B0B0"/>
            </w:tcBorders>
            <w:vAlign w:val="center"/>
          </w:tcPr>
          <w:p w14:paraId="61B029EC" w14:textId="77777777" w:rsidR="001665F1" w:rsidRDefault="00000000">
            <w:r>
              <w:rPr>
                <w:sz w:val="17"/>
              </w:rPr>
              <w:t>Cuantificada como inversión Soliss; fuera del presupuesto Keedio.</w:t>
            </w:r>
          </w:p>
        </w:tc>
      </w:tr>
      <w:tr w:rsidR="001665F1" w14:paraId="668CA908"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CC200EF" w14:textId="77777777" w:rsidR="001665F1" w:rsidRDefault="00000000">
            <w:r>
              <w:rPr>
                <w:sz w:val="17"/>
              </w:rPr>
              <w:t>Economics</w:t>
            </w:r>
          </w:p>
        </w:tc>
        <w:tc>
          <w:tcPr>
            <w:tcW w:w="6803" w:type="dxa"/>
            <w:tcBorders>
              <w:top w:val="single" w:sz="4" w:space="0" w:color="B0B0B0"/>
              <w:left w:val="single" w:sz="4" w:space="0" w:color="B0B0B0"/>
              <w:bottom w:val="single" w:sz="4" w:space="0" w:color="B0B0B0"/>
              <w:right w:val="single" w:sz="4" w:space="0" w:color="B0B0B0"/>
            </w:tcBorders>
            <w:vAlign w:val="center"/>
          </w:tcPr>
          <w:p w14:paraId="39AABFCB" w14:textId="77777777" w:rsidR="001665F1" w:rsidRDefault="00000000">
            <w:r>
              <w:rPr>
                <w:sz w:val="17"/>
              </w:rPr>
              <w:t>Separación CAPEX/OPEX, precio/hora por fase, journey y gates de decisión.</w:t>
            </w:r>
          </w:p>
        </w:tc>
      </w:tr>
      <w:tr w:rsidR="001665F1" w14:paraId="4A0D97BF"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3D3D9363" w14:textId="77777777" w:rsidR="001665F1" w:rsidRDefault="00000000">
            <w:r>
              <w:rPr>
                <w:sz w:val="17"/>
              </w:rPr>
              <w:t>Riesgo</w:t>
            </w:r>
          </w:p>
        </w:tc>
        <w:tc>
          <w:tcPr>
            <w:tcW w:w="6803" w:type="dxa"/>
            <w:tcBorders>
              <w:top w:val="single" w:sz="4" w:space="0" w:color="B0B0B0"/>
              <w:left w:val="single" w:sz="4" w:space="0" w:color="B0B0B0"/>
              <w:bottom w:val="single" w:sz="4" w:space="0" w:color="B0B0B0"/>
              <w:right w:val="single" w:sz="4" w:space="0" w:color="B0B0B0"/>
            </w:tcBorders>
            <w:vAlign w:val="center"/>
          </w:tcPr>
          <w:p w14:paraId="7E4C23FD" w14:textId="77777777" w:rsidR="001665F1" w:rsidRDefault="00000000">
            <w:r>
              <w:rPr>
                <w:sz w:val="17"/>
              </w:rPr>
              <w:t>No se promete riesgo cero; se entrega matriz de riesgos, controles, responsables, criterios de aceptación y Go/No-Go.</w:t>
            </w:r>
          </w:p>
        </w:tc>
      </w:tr>
    </w:tbl>
    <w:p w14:paraId="06835787" w14:textId="77777777" w:rsidR="001665F1" w:rsidRDefault="00000000">
      <w:pPr>
        <w:pStyle w:val="Ttulo1"/>
      </w:pPr>
      <w:r>
        <w:rPr>
          <w:color w:val="0A3D4A"/>
        </w:rPr>
        <w:t>2. AS-IS / TO-BE y criterio de cierre</w:t>
      </w:r>
    </w:p>
    <w:p w14:paraId="77C1810C" w14:textId="77777777" w:rsidR="001665F1" w:rsidRDefault="00000000">
      <w:r>
        <w:t>El diseño reconoce que Soliss ya dispone de capacidades IA/RPA operativas. El objetivo no es sustituir lo existente, sino industrializarlo bajo un patrón común. La situación TO-BE evita islas técnicas, reduce dependencia externa y convierte los clústeres Kubernetes en el plano central de operación de IA/RPA.</w:t>
      </w:r>
    </w:p>
    <w:p w14:paraId="5580B39A" w14:textId="4C66357B" w:rsidR="001665F1" w:rsidRDefault="00863159">
      <w:r>
        <w:rPr>
          <w:noProof/>
        </w:rPr>
        <w:drawing>
          <wp:inline distT="0" distB="0" distL="0" distR="0" wp14:anchorId="3A07C4F9" wp14:editId="3E5B3753">
            <wp:extent cx="6690360" cy="3764280"/>
            <wp:effectExtent l="0" t="0" r="0" b="7620"/>
            <wp:docPr id="1510949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90360" cy="3764280"/>
                    </a:xfrm>
                    <a:prstGeom prst="rect">
                      <a:avLst/>
                    </a:prstGeom>
                    <a:noFill/>
                    <a:ln>
                      <a:noFill/>
                    </a:ln>
                  </pic:spPr>
                </pic:pic>
              </a:graphicData>
            </a:graphic>
          </wp:inline>
        </w:drawing>
      </w:r>
    </w:p>
    <w:tbl>
      <w:tblPr>
        <w:tblStyle w:val="Tablaconcuadrcula"/>
        <w:tblW w:w="0" w:type="auto"/>
        <w:jc w:val="center"/>
        <w:tblLook w:val="04A0" w:firstRow="1" w:lastRow="0" w:firstColumn="1" w:lastColumn="0" w:noHBand="0" w:noVBand="1"/>
      </w:tblPr>
      <w:tblGrid>
        <w:gridCol w:w="10540"/>
      </w:tblGrid>
      <w:tr w:rsidR="001665F1" w14:paraId="00574C29" w14:textId="77777777">
        <w:trPr>
          <w:jc w:val="center"/>
        </w:trPr>
        <w:tc>
          <w:tcPr>
            <w:tcW w:w="10540" w:type="dxa"/>
            <w:tcBorders>
              <w:top w:val="single" w:sz="4" w:space="0" w:color="B0B0B0"/>
              <w:left w:val="single" w:sz="4" w:space="0" w:color="B0B0B0"/>
              <w:bottom w:val="single" w:sz="4" w:space="0" w:color="B0B0B0"/>
              <w:right w:val="single" w:sz="4" w:space="0" w:color="B0B0B0"/>
            </w:tcBorders>
            <w:shd w:val="clear" w:color="auto" w:fill="EAF7EC"/>
            <w:vAlign w:val="center"/>
          </w:tcPr>
          <w:p w14:paraId="4576F9BB" w14:textId="77777777" w:rsidR="001665F1" w:rsidRDefault="00000000">
            <w:r w:rsidRPr="00863159">
              <w:rPr>
                <w:b/>
                <w:sz w:val="17"/>
              </w:rPr>
              <w:t>Criterio de cierre tecnológico y de usuario</w:t>
            </w:r>
            <w:r w:rsidRPr="00863159">
              <w:rPr>
                <w:b/>
                <w:sz w:val="17"/>
              </w:rPr>
              <w:br/>
              <w:t>La propuesta queda cerrada cuando cada entregable de P0 tiene responsable, criterio de aceptación, fase, coste, tipo CAPEX/OPEX, riesgo asociado, control de mitigación, usuario validador y gate ejecutivo.</w:t>
            </w:r>
          </w:p>
        </w:tc>
      </w:tr>
    </w:tbl>
    <w:p w14:paraId="3011707A" w14:textId="77777777" w:rsidR="001665F1" w:rsidRDefault="00000000">
      <w:pPr>
        <w:pStyle w:val="Ttulo1"/>
      </w:pPr>
      <w:r>
        <w:rPr>
          <w:color w:val="0A3D4A"/>
        </w:rPr>
        <w:lastRenderedPageBreak/>
        <w:t>3. TO-BE tecnológico: infraestructura crítica on-premise</w:t>
      </w:r>
    </w:p>
    <w:p w14:paraId="2814B8E9" w14:textId="77777777" w:rsidR="001665F1" w:rsidRDefault="00000000">
      <w:r>
        <w:t>La arquitectura se plantea como infraestructura crítica: Rancher gestiona la flota de clústeres RKE2; el clúster de grupo concentra identidad, catálogo, metadatos y servicios transversales; cada empresa/dominio opera en su clúster propio; y los servicios de IA/RPA se conectan verticalmente mediante Model Gateway, RAG gobernado, Gravitino PoC y observabilidad.</w:t>
      </w:r>
    </w:p>
    <w:p w14:paraId="3E069A89" w14:textId="16B2E041" w:rsidR="001665F1" w:rsidRDefault="00863159">
      <w:r>
        <w:rPr>
          <w:noProof/>
        </w:rPr>
        <w:drawing>
          <wp:inline distT="0" distB="0" distL="0" distR="0" wp14:anchorId="70F6777C" wp14:editId="7F7A6CF5">
            <wp:extent cx="6690360" cy="3764280"/>
            <wp:effectExtent l="0" t="0" r="0" b="7620"/>
            <wp:docPr id="20652513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0360" cy="3764280"/>
                    </a:xfrm>
                    <a:prstGeom prst="rect">
                      <a:avLst/>
                    </a:prstGeom>
                    <a:noFill/>
                    <a:ln>
                      <a:noFill/>
                    </a:ln>
                  </pic:spPr>
                </pic:pic>
              </a:graphicData>
            </a:graphic>
          </wp:inline>
        </w:drawing>
      </w:r>
    </w:p>
    <w:p w14:paraId="1E635615" w14:textId="77777777" w:rsidR="001665F1" w:rsidRDefault="00000000">
      <w:pPr>
        <w:pStyle w:val="Ttulo1"/>
      </w:pPr>
      <w:r>
        <w:rPr>
          <w:color w:val="0A3D4A"/>
        </w:rPr>
        <w:t>4. Alcance P0 y casos de uso derivados</w:t>
      </w:r>
    </w:p>
    <w:tbl>
      <w:tblPr>
        <w:tblStyle w:val="Tablaconcuadrcula"/>
        <w:tblW w:w="0" w:type="auto"/>
        <w:jc w:val="center"/>
        <w:tblLook w:val="04A0" w:firstRow="1" w:lastRow="0" w:firstColumn="1" w:lastColumn="0" w:noHBand="0" w:noVBand="1"/>
      </w:tblPr>
      <w:tblGrid>
        <w:gridCol w:w="850"/>
        <w:gridCol w:w="2551"/>
        <w:gridCol w:w="2268"/>
        <w:gridCol w:w="4871"/>
      </w:tblGrid>
      <w:tr w:rsidR="001665F1" w14:paraId="35ED8C57" w14:textId="77777777">
        <w:trPr>
          <w:jc w:val="center"/>
        </w:trPr>
        <w:tc>
          <w:tcPr>
            <w:tcW w:w="850"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63EA3513" w14:textId="77777777" w:rsidR="001665F1" w:rsidRDefault="00000000">
            <w:r>
              <w:rPr>
                <w:b/>
                <w:color w:val="FFFFFF"/>
                <w:sz w:val="17"/>
              </w:rPr>
              <w:t>Código</w:t>
            </w:r>
          </w:p>
        </w:tc>
        <w:tc>
          <w:tcPr>
            <w:tcW w:w="255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2B0304C0" w14:textId="77777777" w:rsidR="001665F1" w:rsidRDefault="00000000">
            <w:r>
              <w:rPr>
                <w:b/>
                <w:color w:val="FFFFFF"/>
                <w:sz w:val="17"/>
              </w:rPr>
              <w:t>Iniciativa</w:t>
            </w:r>
          </w:p>
        </w:tc>
        <w:tc>
          <w:tcPr>
            <w:tcW w:w="2268"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2DDA1457" w14:textId="77777777" w:rsidR="001665F1" w:rsidRDefault="00000000">
            <w:r>
              <w:rPr>
                <w:b/>
                <w:color w:val="FFFFFF"/>
                <w:sz w:val="17"/>
              </w:rPr>
              <w:t>Tratamiento en esta propuesta</w:t>
            </w:r>
          </w:p>
        </w:tc>
        <w:tc>
          <w:tcPr>
            <w:tcW w:w="3969"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224B183C" w14:textId="77777777" w:rsidR="001665F1" w:rsidRDefault="00000000">
            <w:r>
              <w:rPr>
                <w:b/>
                <w:color w:val="FFFFFF"/>
                <w:sz w:val="17"/>
              </w:rPr>
              <w:t>Alcance cerrado</w:t>
            </w:r>
          </w:p>
        </w:tc>
      </w:tr>
      <w:tr w:rsidR="001665F1" w14:paraId="40456CDC" w14:textId="77777777">
        <w:trPr>
          <w:jc w:val="center"/>
        </w:trPr>
        <w:tc>
          <w:tcPr>
            <w:tcW w:w="85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52DB793" w14:textId="77777777" w:rsidR="001665F1" w:rsidRDefault="00000000">
            <w:r>
              <w:rPr>
                <w:sz w:val="17"/>
              </w:rPr>
              <w:t>UC1</w:t>
            </w:r>
          </w:p>
        </w:tc>
        <w:tc>
          <w:tcPr>
            <w:tcW w:w="2551" w:type="dxa"/>
            <w:tcBorders>
              <w:top w:val="single" w:sz="4" w:space="0" w:color="B0B0B0"/>
              <w:left w:val="single" w:sz="4" w:space="0" w:color="B0B0B0"/>
              <w:bottom w:val="single" w:sz="4" w:space="0" w:color="B0B0B0"/>
              <w:right w:val="single" w:sz="4" w:space="0" w:color="B0B0B0"/>
            </w:tcBorders>
            <w:vAlign w:val="center"/>
          </w:tcPr>
          <w:p w14:paraId="75E877AA" w14:textId="77777777" w:rsidR="001665F1" w:rsidRDefault="00000000">
            <w:r>
              <w:rPr>
                <w:sz w:val="17"/>
              </w:rPr>
              <w:t>Agentes conversacionales corporativos</w:t>
            </w:r>
          </w:p>
        </w:tc>
        <w:tc>
          <w:tcPr>
            <w:tcW w:w="2268" w:type="dxa"/>
            <w:tcBorders>
              <w:top w:val="single" w:sz="4" w:space="0" w:color="B0B0B0"/>
              <w:left w:val="single" w:sz="4" w:space="0" w:color="B0B0B0"/>
              <w:bottom w:val="single" w:sz="4" w:space="0" w:color="B0B0B0"/>
              <w:right w:val="single" w:sz="4" w:space="0" w:color="B0B0B0"/>
            </w:tcBorders>
            <w:vAlign w:val="center"/>
          </w:tcPr>
          <w:p w14:paraId="724398EF" w14:textId="77777777" w:rsidR="001665F1" w:rsidRDefault="00000000">
            <w:r>
              <w:rPr>
                <w:sz w:val="17"/>
              </w:rPr>
              <w:t>Casos de uso derivados</w:t>
            </w:r>
          </w:p>
        </w:tc>
        <w:tc>
          <w:tcPr>
            <w:tcW w:w="3969" w:type="dxa"/>
            <w:tcBorders>
              <w:top w:val="single" w:sz="4" w:space="0" w:color="B0B0B0"/>
              <w:left w:val="single" w:sz="4" w:space="0" w:color="B0B0B0"/>
              <w:bottom w:val="single" w:sz="4" w:space="0" w:color="B0B0B0"/>
              <w:right w:val="single" w:sz="4" w:space="0" w:color="B0B0B0"/>
            </w:tcBorders>
            <w:vAlign w:val="center"/>
          </w:tcPr>
          <w:p w14:paraId="264F037C" w14:textId="77777777" w:rsidR="001665F1" w:rsidRDefault="00000000">
            <w:r>
              <w:rPr>
                <w:sz w:val="17"/>
              </w:rPr>
              <w:t>No se desarrolla vertical completa en P0; se deja backlog, arquitectura y criterios de arranque.</w:t>
            </w:r>
          </w:p>
        </w:tc>
      </w:tr>
      <w:tr w:rsidR="001665F1" w14:paraId="19EA5169" w14:textId="77777777">
        <w:trPr>
          <w:jc w:val="center"/>
        </w:trPr>
        <w:tc>
          <w:tcPr>
            <w:tcW w:w="85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426E1255" w14:textId="77777777" w:rsidR="001665F1" w:rsidRDefault="00000000">
            <w:r>
              <w:rPr>
                <w:sz w:val="17"/>
              </w:rPr>
              <w:t>UC2</w:t>
            </w:r>
          </w:p>
        </w:tc>
        <w:tc>
          <w:tcPr>
            <w:tcW w:w="2551" w:type="dxa"/>
            <w:tcBorders>
              <w:top w:val="single" w:sz="4" w:space="0" w:color="B0B0B0"/>
              <w:left w:val="single" w:sz="4" w:space="0" w:color="B0B0B0"/>
              <w:bottom w:val="single" w:sz="4" w:space="0" w:color="B0B0B0"/>
              <w:right w:val="single" w:sz="4" w:space="0" w:color="B0B0B0"/>
            </w:tcBorders>
            <w:vAlign w:val="center"/>
          </w:tcPr>
          <w:p w14:paraId="13C21BA0" w14:textId="77777777" w:rsidR="001665F1" w:rsidRDefault="00000000">
            <w:r>
              <w:rPr>
                <w:sz w:val="17"/>
              </w:rPr>
              <w:t>Document Intelligence e imagen</w:t>
            </w:r>
          </w:p>
        </w:tc>
        <w:tc>
          <w:tcPr>
            <w:tcW w:w="2268" w:type="dxa"/>
            <w:tcBorders>
              <w:top w:val="single" w:sz="4" w:space="0" w:color="B0B0B0"/>
              <w:left w:val="single" w:sz="4" w:space="0" w:color="B0B0B0"/>
              <w:bottom w:val="single" w:sz="4" w:space="0" w:color="B0B0B0"/>
              <w:right w:val="single" w:sz="4" w:space="0" w:color="B0B0B0"/>
            </w:tcBorders>
            <w:vAlign w:val="center"/>
          </w:tcPr>
          <w:p w14:paraId="18AA8D50" w14:textId="77777777" w:rsidR="001665F1" w:rsidRDefault="00000000">
            <w:r>
              <w:rPr>
                <w:sz w:val="17"/>
              </w:rPr>
              <w:t>Casos de uso derivados</w:t>
            </w:r>
          </w:p>
        </w:tc>
        <w:tc>
          <w:tcPr>
            <w:tcW w:w="3969" w:type="dxa"/>
            <w:tcBorders>
              <w:top w:val="single" w:sz="4" w:space="0" w:color="B0B0B0"/>
              <w:left w:val="single" w:sz="4" w:space="0" w:color="B0B0B0"/>
              <w:bottom w:val="single" w:sz="4" w:space="0" w:color="B0B0B0"/>
              <w:right w:val="single" w:sz="4" w:space="0" w:color="B0B0B0"/>
            </w:tcBorders>
            <w:vAlign w:val="center"/>
          </w:tcPr>
          <w:p w14:paraId="61FBF4C7" w14:textId="77777777" w:rsidR="001665F1" w:rsidRDefault="00000000">
            <w:r>
              <w:rPr>
                <w:sz w:val="17"/>
              </w:rPr>
              <w:t>P0 valida patrón RAG/documental; explotación funcional queda como vertical posterior.</w:t>
            </w:r>
          </w:p>
        </w:tc>
      </w:tr>
      <w:tr w:rsidR="001665F1" w14:paraId="560A6DC3" w14:textId="77777777">
        <w:trPr>
          <w:jc w:val="center"/>
        </w:trPr>
        <w:tc>
          <w:tcPr>
            <w:tcW w:w="85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4D41D7D3" w14:textId="77777777" w:rsidR="001665F1" w:rsidRDefault="00000000">
            <w:r>
              <w:rPr>
                <w:sz w:val="17"/>
              </w:rPr>
              <w:t>UC3</w:t>
            </w:r>
          </w:p>
        </w:tc>
        <w:tc>
          <w:tcPr>
            <w:tcW w:w="2551" w:type="dxa"/>
            <w:tcBorders>
              <w:top w:val="single" w:sz="4" w:space="0" w:color="B0B0B0"/>
              <w:left w:val="single" w:sz="4" w:space="0" w:color="B0B0B0"/>
              <w:bottom w:val="single" w:sz="4" w:space="0" w:color="B0B0B0"/>
              <w:right w:val="single" w:sz="4" w:space="0" w:color="B0B0B0"/>
            </w:tcBorders>
            <w:vAlign w:val="center"/>
          </w:tcPr>
          <w:p w14:paraId="720199B5" w14:textId="77777777" w:rsidR="001665F1" w:rsidRDefault="00000000">
            <w:r>
              <w:rPr>
                <w:sz w:val="17"/>
              </w:rPr>
              <w:t>Producción, siniestros y fraude</w:t>
            </w:r>
          </w:p>
        </w:tc>
        <w:tc>
          <w:tcPr>
            <w:tcW w:w="2268" w:type="dxa"/>
            <w:tcBorders>
              <w:top w:val="single" w:sz="4" w:space="0" w:color="B0B0B0"/>
              <w:left w:val="single" w:sz="4" w:space="0" w:color="B0B0B0"/>
              <w:bottom w:val="single" w:sz="4" w:space="0" w:color="B0B0B0"/>
              <w:right w:val="single" w:sz="4" w:space="0" w:color="B0B0B0"/>
            </w:tcBorders>
            <w:vAlign w:val="center"/>
          </w:tcPr>
          <w:p w14:paraId="4272AFB6" w14:textId="77777777" w:rsidR="001665F1" w:rsidRDefault="00000000">
            <w:r>
              <w:rPr>
                <w:sz w:val="17"/>
              </w:rPr>
              <w:t>Casos de uso derivados</w:t>
            </w:r>
          </w:p>
        </w:tc>
        <w:tc>
          <w:tcPr>
            <w:tcW w:w="3969" w:type="dxa"/>
            <w:tcBorders>
              <w:top w:val="single" w:sz="4" w:space="0" w:color="B0B0B0"/>
              <w:left w:val="single" w:sz="4" w:space="0" w:color="B0B0B0"/>
              <w:bottom w:val="single" w:sz="4" w:space="0" w:color="B0B0B0"/>
              <w:right w:val="single" w:sz="4" w:space="0" w:color="B0B0B0"/>
            </w:tcBorders>
            <w:vAlign w:val="center"/>
          </w:tcPr>
          <w:p w14:paraId="44CBB5CE" w14:textId="77777777" w:rsidR="001665F1" w:rsidRDefault="00000000">
            <w:r>
              <w:rPr>
                <w:sz w:val="17"/>
              </w:rPr>
              <w:t>Se define marco de seguridad, datos y explicabilidad; scoring productivo queda fuera de P0.</w:t>
            </w:r>
          </w:p>
        </w:tc>
      </w:tr>
      <w:tr w:rsidR="001665F1" w14:paraId="5F7C180A" w14:textId="77777777">
        <w:trPr>
          <w:jc w:val="center"/>
        </w:trPr>
        <w:tc>
          <w:tcPr>
            <w:tcW w:w="85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921A815" w14:textId="77777777" w:rsidR="001665F1" w:rsidRDefault="00000000">
            <w:r>
              <w:rPr>
                <w:sz w:val="17"/>
              </w:rPr>
              <w:t>UC4</w:t>
            </w:r>
          </w:p>
        </w:tc>
        <w:tc>
          <w:tcPr>
            <w:tcW w:w="2551" w:type="dxa"/>
            <w:tcBorders>
              <w:top w:val="single" w:sz="4" w:space="0" w:color="B0B0B0"/>
              <w:left w:val="single" w:sz="4" w:space="0" w:color="B0B0B0"/>
              <w:bottom w:val="single" w:sz="4" w:space="0" w:color="B0B0B0"/>
              <w:right w:val="single" w:sz="4" w:space="0" w:color="B0B0B0"/>
            </w:tcBorders>
            <w:vAlign w:val="center"/>
          </w:tcPr>
          <w:p w14:paraId="4B3A0A17" w14:textId="77777777" w:rsidR="001665F1" w:rsidRDefault="00000000">
            <w:r>
              <w:rPr>
                <w:sz w:val="17"/>
              </w:rPr>
              <w:t>Analítica, actuarial y gestión</w:t>
            </w:r>
          </w:p>
        </w:tc>
        <w:tc>
          <w:tcPr>
            <w:tcW w:w="2268" w:type="dxa"/>
            <w:tcBorders>
              <w:top w:val="single" w:sz="4" w:space="0" w:color="B0B0B0"/>
              <w:left w:val="single" w:sz="4" w:space="0" w:color="B0B0B0"/>
              <w:bottom w:val="single" w:sz="4" w:space="0" w:color="B0B0B0"/>
              <w:right w:val="single" w:sz="4" w:space="0" w:color="B0B0B0"/>
            </w:tcBorders>
            <w:vAlign w:val="center"/>
          </w:tcPr>
          <w:p w14:paraId="0CA1F3BE" w14:textId="77777777" w:rsidR="001665F1" w:rsidRDefault="00000000">
            <w:r>
              <w:rPr>
                <w:sz w:val="17"/>
              </w:rPr>
              <w:t>Casos de uso derivados</w:t>
            </w:r>
          </w:p>
        </w:tc>
        <w:tc>
          <w:tcPr>
            <w:tcW w:w="3969" w:type="dxa"/>
            <w:tcBorders>
              <w:top w:val="single" w:sz="4" w:space="0" w:color="B0B0B0"/>
              <w:left w:val="single" w:sz="4" w:space="0" w:color="B0B0B0"/>
              <w:bottom w:val="single" w:sz="4" w:space="0" w:color="B0B0B0"/>
              <w:right w:val="single" w:sz="4" w:space="0" w:color="B0B0B0"/>
            </w:tcBorders>
            <w:vAlign w:val="center"/>
          </w:tcPr>
          <w:p w14:paraId="3C107C44" w14:textId="77777777" w:rsidR="001665F1" w:rsidRDefault="00000000">
            <w:r>
              <w:rPr>
                <w:sz w:val="17"/>
              </w:rPr>
              <w:t>Se habilita data mesh/catalogación; cuadros de negocio quedan como casos posteriores.</w:t>
            </w:r>
          </w:p>
        </w:tc>
      </w:tr>
      <w:tr w:rsidR="001665F1" w14:paraId="294221E5" w14:textId="77777777">
        <w:trPr>
          <w:jc w:val="center"/>
        </w:trPr>
        <w:tc>
          <w:tcPr>
            <w:tcW w:w="85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36B32195" w14:textId="77777777" w:rsidR="001665F1" w:rsidRDefault="00000000">
            <w:r>
              <w:rPr>
                <w:sz w:val="17"/>
              </w:rPr>
              <w:t>UC5</w:t>
            </w:r>
          </w:p>
        </w:tc>
        <w:tc>
          <w:tcPr>
            <w:tcW w:w="2551" w:type="dxa"/>
            <w:tcBorders>
              <w:top w:val="single" w:sz="4" w:space="0" w:color="B0B0B0"/>
              <w:left w:val="single" w:sz="4" w:space="0" w:color="B0B0B0"/>
              <w:bottom w:val="single" w:sz="4" w:space="0" w:color="B0B0B0"/>
              <w:right w:val="single" w:sz="4" w:space="0" w:color="B0B0B0"/>
            </w:tcBorders>
            <w:vAlign w:val="center"/>
          </w:tcPr>
          <w:p w14:paraId="111C24D4" w14:textId="77777777" w:rsidR="001665F1" w:rsidRDefault="00000000">
            <w:r>
              <w:rPr>
                <w:sz w:val="17"/>
              </w:rPr>
              <w:t>Administración, contabilidad e inversiones</w:t>
            </w:r>
          </w:p>
        </w:tc>
        <w:tc>
          <w:tcPr>
            <w:tcW w:w="2268" w:type="dxa"/>
            <w:tcBorders>
              <w:top w:val="single" w:sz="4" w:space="0" w:color="B0B0B0"/>
              <w:left w:val="single" w:sz="4" w:space="0" w:color="B0B0B0"/>
              <w:bottom w:val="single" w:sz="4" w:space="0" w:color="B0B0B0"/>
              <w:right w:val="single" w:sz="4" w:space="0" w:color="B0B0B0"/>
            </w:tcBorders>
            <w:vAlign w:val="center"/>
          </w:tcPr>
          <w:p w14:paraId="7FBD885E" w14:textId="77777777" w:rsidR="001665F1" w:rsidRDefault="00000000">
            <w:r>
              <w:rPr>
                <w:sz w:val="17"/>
              </w:rPr>
              <w:t>Casos de uso derivados</w:t>
            </w:r>
          </w:p>
        </w:tc>
        <w:tc>
          <w:tcPr>
            <w:tcW w:w="3969" w:type="dxa"/>
            <w:tcBorders>
              <w:top w:val="single" w:sz="4" w:space="0" w:color="B0B0B0"/>
              <w:left w:val="single" w:sz="4" w:space="0" w:color="B0B0B0"/>
              <w:bottom w:val="single" w:sz="4" w:space="0" w:color="B0B0B0"/>
              <w:right w:val="single" w:sz="4" w:space="0" w:color="B0B0B0"/>
            </w:tcBorders>
            <w:vAlign w:val="center"/>
          </w:tcPr>
          <w:p w14:paraId="2525768F" w14:textId="77777777" w:rsidR="001665F1" w:rsidRDefault="00000000">
            <w:r>
              <w:rPr>
                <w:sz w:val="17"/>
              </w:rPr>
              <w:t>Se definen integraciones y gobierno documental; automatización final en fase posterior.</w:t>
            </w:r>
          </w:p>
        </w:tc>
      </w:tr>
      <w:tr w:rsidR="001665F1" w14:paraId="67DFB1E0" w14:textId="77777777">
        <w:trPr>
          <w:jc w:val="center"/>
        </w:trPr>
        <w:tc>
          <w:tcPr>
            <w:tcW w:w="85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91B0EC7" w14:textId="77777777" w:rsidR="001665F1" w:rsidRDefault="00000000">
            <w:r>
              <w:rPr>
                <w:sz w:val="17"/>
              </w:rPr>
              <w:t>UC6</w:t>
            </w:r>
          </w:p>
        </w:tc>
        <w:tc>
          <w:tcPr>
            <w:tcW w:w="2551" w:type="dxa"/>
            <w:tcBorders>
              <w:top w:val="single" w:sz="4" w:space="0" w:color="B0B0B0"/>
              <w:left w:val="single" w:sz="4" w:space="0" w:color="B0B0B0"/>
              <w:bottom w:val="single" w:sz="4" w:space="0" w:color="B0B0B0"/>
              <w:right w:val="single" w:sz="4" w:space="0" w:color="B0B0B0"/>
            </w:tcBorders>
            <w:vAlign w:val="center"/>
          </w:tcPr>
          <w:p w14:paraId="4E12D829" w14:textId="77777777" w:rsidR="001665F1" w:rsidRDefault="00000000">
            <w:r>
              <w:rPr>
                <w:sz w:val="17"/>
              </w:rPr>
              <w:t>IT, ciberseguridad y soporte técnico</w:t>
            </w:r>
          </w:p>
        </w:tc>
        <w:tc>
          <w:tcPr>
            <w:tcW w:w="2268" w:type="dxa"/>
            <w:tcBorders>
              <w:top w:val="single" w:sz="4" w:space="0" w:color="B0B0B0"/>
              <w:left w:val="single" w:sz="4" w:space="0" w:color="B0B0B0"/>
              <w:bottom w:val="single" w:sz="4" w:space="0" w:color="B0B0B0"/>
              <w:right w:val="single" w:sz="4" w:space="0" w:color="B0B0B0"/>
            </w:tcBorders>
            <w:vAlign w:val="center"/>
          </w:tcPr>
          <w:p w14:paraId="43FB7E00" w14:textId="77777777" w:rsidR="001665F1" w:rsidRDefault="00000000">
            <w:r>
              <w:rPr>
                <w:sz w:val="17"/>
              </w:rPr>
              <w:t>Casos de uso derivados</w:t>
            </w:r>
          </w:p>
        </w:tc>
        <w:tc>
          <w:tcPr>
            <w:tcW w:w="3969" w:type="dxa"/>
            <w:tcBorders>
              <w:top w:val="single" w:sz="4" w:space="0" w:color="B0B0B0"/>
              <w:left w:val="single" w:sz="4" w:space="0" w:color="B0B0B0"/>
              <w:bottom w:val="single" w:sz="4" w:space="0" w:color="B0B0B0"/>
              <w:right w:val="single" w:sz="4" w:space="0" w:color="B0B0B0"/>
            </w:tcBorders>
            <w:vAlign w:val="center"/>
          </w:tcPr>
          <w:p w14:paraId="221DAF6D" w14:textId="77777777" w:rsidR="001665F1" w:rsidRDefault="00000000">
            <w:r>
              <w:rPr>
                <w:sz w:val="17"/>
              </w:rPr>
              <w:t>P0 define observabilidad y soporte; agente técnico/ciber como caso de uso derivado.</w:t>
            </w:r>
          </w:p>
        </w:tc>
      </w:tr>
      <w:tr w:rsidR="001665F1" w14:paraId="7225745E" w14:textId="77777777">
        <w:trPr>
          <w:jc w:val="center"/>
        </w:trPr>
        <w:tc>
          <w:tcPr>
            <w:tcW w:w="85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0BB7D0F2" w14:textId="77777777" w:rsidR="001665F1" w:rsidRDefault="00000000">
            <w:r>
              <w:rPr>
                <w:sz w:val="17"/>
              </w:rPr>
              <w:t>UC7</w:t>
            </w:r>
          </w:p>
        </w:tc>
        <w:tc>
          <w:tcPr>
            <w:tcW w:w="2551" w:type="dxa"/>
            <w:tcBorders>
              <w:top w:val="single" w:sz="4" w:space="0" w:color="B0B0B0"/>
              <w:left w:val="single" w:sz="4" w:space="0" w:color="B0B0B0"/>
              <w:bottom w:val="single" w:sz="4" w:space="0" w:color="B0B0B0"/>
              <w:right w:val="single" w:sz="4" w:space="0" w:color="B0B0B0"/>
            </w:tcBorders>
            <w:vAlign w:val="center"/>
          </w:tcPr>
          <w:p w14:paraId="25D77CFA" w14:textId="77777777" w:rsidR="001665F1" w:rsidRDefault="00000000">
            <w:r>
              <w:rPr>
                <w:sz w:val="17"/>
              </w:rPr>
              <w:t>Extensión Grupo Soliss</w:t>
            </w:r>
          </w:p>
        </w:tc>
        <w:tc>
          <w:tcPr>
            <w:tcW w:w="2268" w:type="dxa"/>
            <w:tcBorders>
              <w:top w:val="single" w:sz="4" w:space="0" w:color="B0B0B0"/>
              <w:left w:val="single" w:sz="4" w:space="0" w:color="B0B0B0"/>
              <w:bottom w:val="single" w:sz="4" w:space="0" w:color="B0B0B0"/>
              <w:right w:val="single" w:sz="4" w:space="0" w:color="B0B0B0"/>
            </w:tcBorders>
            <w:vAlign w:val="center"/>
          </w:tcPr>
          <w:p w14:paraId="56E24AFA" w14:textId="77777777" w:rsidR="001665F1" w:rsidRDefault="00000000">
            <w:r>
              <w:rPr>
                <w:sz w:val="17"/>
              </w:rPr>
              <w:t>Casos de uso derivados</w:t>
            </w:r>
          </w:p>
        </w:tc>
        <w:tc>
          <w:tcPr>
            <w:tcW w:w="3969" w:type="dxa"/>
            <w:tcBorders>
              <w:top w:val="single" w:sz="4" w:space="0" w:color="B0B0B0"/>
              <w:left w:val="single" w:sz="4" w:space="0" w:color="B0B0B0"/>
              <w:bottom w:val="single" w:sz="4" w:space="0" w:color="B0B0B0"/>
              <w:right w:val="single" w:sz="4" w:space="0" w:color="B0B0B0"/>
            </w:tcBorders>
            <w:vAlign w:val="center"/>
          </w:tcPr>
          <w:p w14:paraId="42632F96" w14:textId="77777777" w:rsidR="001665F1" w:rsidRDefault="00000000">
            <w:r>
              <w:rPr>
                <w:sz w:val="17"/>
              </w:rPr>
              <w:t>P0 prepara multiclúster/multiempresa; despliegue por empresa queda bajo Go/No-Go posterior.</w:t>
            </w:r>
          </w:p>
        </w:tc>
      </w:tr>
      <w:tr w:rsidR="001665F1" w14:paraId="47C36896" w14:textId="77777777">
        <w:trPr>
          <w:jc w:val="center"/>
        </w:trPr>
        <w:tc>
          <w:tcPr>
            <w:tcW w:w="10540" w:type="dxa"/>
            <w:gridSpan w:val="4"/>
            <w:tcBorders>
              <w:top w:val="single" w:sz="4" w:space="0" w:color="B0B0B0"/>
              <w:left w:val="single" w:sz="4" w:space="0" w:color="B0B0B0"/>
              <w:bottom w:val="single" w:sz="4" w:space="0" w:color="B0B0B0"/>
              <w:right w:val="single" w:sz="4" w:space="0" w:color="B0B0B0"/>
            </w:tcBorders>
            <w:shd w:val="clear" w:color="auto" w:fill="FFF5D6"/>
            <w:vAlign w:val="center"/>
          </w:tcPr>
          <w:p w14:paraId="21EE230D" w14:textId="77777777" w:rsidR="001665F1" w:rsidRDefault="00000000">
            <w:r w:rsidRPr="00863159">
              <w:rPr>
                <w:b/>
                <w:sz w:val="17"/>
              </w:rPr>
              <w:t>Fuera del alcance de P0</w:t>
            </w:r>
            <w:r w:rsidRPr="00863159">
              <w:rPr>
                <w:b/>
                <w:sz w:val="17"/>
              </w:rPr>
              <w:br/>
              <w:t>P0 no entrega un agente de producción completo, un motor de fraude productivo, una solución actuarial completa ni cuadros de mando finales por área. Entrega la arquitectura, gobierno, seguridad, integración, patrones, PoC, documentación y backlog priorizado para activar esos casos con seguridad.</w:t>
            </w:r>
          </w:p>
        </w:tc>
      </w:tr>
    </w:tbl>
    <w:p w14:paraId="2E902B8B" w14:textId="77777777" w:rsidR="001665F1" w:rsidRDefault="00000000">
      <w:pPr>
        <w:pStyle w:val="Ttulo1"/>
      </w:pPr>
      <w:r>
        <w:rPr>
          <w:color w:val="0A3D4A"/>
        </w:rPr>
        <w:lastRenderedPageBreak/>
        <w:t>5. Entregables generales y técnicos</w:t>
      </w:r>
    </w:p>
    <w:p w14:paraId="6BE3404C" w14:textId="77777777" w:rsidR="001665F1" w:rsidRDefault="00000000">
      <w:pPr>
        <w:pStyle w:val="Ttulo2"/>
      </w:pPr>
      <w:r>
        <w:rPr>
          <w:color w:val="0A3D4A"/>
        </w:rPr>
        <w:t>5.1 Entregables generales y de gestión</w:t>
      </w:r>
    </w:p>
    <w:tbl>
      <w:tblPr>
        <w:tblStyle w:val="Tablaconcuadrcula"/>
        <w:tblW w:w="0" w:type="auto"/>
        <w:jc w:val="center"/>
        <w:tblLook w:val="04A0" w:firstRow="1" w:lastRow="0" w:firstColumn="1" w:lastColumn="0" w:noHBand="0" w:noVBand="1"/>
      </w:tblPr>
      <w:tblGrid>
        <w:gridCol w:w="2268"/>
        <w:gridCol w:w="5669"/>
        <w:gridCol w:w="1701"/>
      </w:tblGrid>
      <w:tr w:rsidR="001665F1" w14:paraId="0D71A9B5"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0826846C" w14:textId="77777777" w:rsidR="001665F1" w:rsidRDefault="00000000">
            <w:r>
              <w:rPr>
                <w:b/>
                <w:color w:val="FFFFFF"/>
                <w:sz w:val="17"/>
              </w:rPr>
              <w:t>Entregable</w:t>
            </w:r>
          </w:p>
        </w:tc>
        <w:tc>
          <w:tcPr>
            <w:tcW w:w="5669"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48B2CA6C" w14:textId="77777777" w:rsidR="001665F1" w:rsidRDefault="00000000">
            <w:r>
              <w:rPr>
                <w:b/>
                <w:color w:val="FFFFFF"/>
                <w:sz w:val="17"/>
              </w:rPr>
              <w:t>Contenido</w:t>
            </w:r>
          </w:p>
        </w:tc>
        <w:tc>
          <w:tcPr>
            <w:tcW w:w="170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0E0C6B00" w14:textId="77777777" w:rsidR="001665F1" w:rsidRDefault="00000000">
            <w:r>
              <w:rPr>
                <w:b/>
                <w:color w:val="FFFFFF"/>
                <w:sz w:val="17"/>
              </w:rPr>
              <w:t>Tipo</w:t>
            </w:r>
          </w:p>
        </w:tc>
      </w:tr>
      <w:tr w:rsidR="001665F1" w14:paraId="4F00C6D6"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C883BE6" w14:textId="77777777" w:rsidR="001665F1" w:rsidRDefault="00000000">
            <w:r>
              <w:rPr>
                <w:sz w:val="17"/>
              </w:rPr>
              <w:t>Plan de proyecto</w:t>
            </w:r>
          </w:p>
        </w:tc>
        <w:tc>
          <w:tcPr>
            <w:tcW w:w="5669" w:type="dxa"/>
            <w:tcBorders>
              <w:top w:val="single" w:sz="4" w:space="0" w:color="B0B0B0"/>
              <w:left w:val="single" w:sz="4" w:space="0" w:color="B0B0B0"/>
              <w:bottom w:val="single" w:sz="4" w:space="0" w:color="B0B0B0"/>
              <w:right w:val="single" w:sz="4" w:space="0" w:color="B0B0B0"/>
            </w:tcBorders>
            <w:vAlign w:val="center"/>
          </w:tcPr>
          <w:p w14:paraId="716EDAC4" w14:textId="77777777" w:rsidR="001665F1" w:rsidRDefault="00000000">
            <w:r>
              <w:rPr>
                <w:sz w:val="17"/>
              </w:rPr>
              <w:t>Cronograma, recursos, riesgos, hitos, metodología, RACI y gates G1-G4.</w:t>
            </w:r>
          </w:p>
        </w:tc>
        <w:tc>
          <w:tcPr>
            <w:tcW w:w="1701" w:type="dxa"/>
            <w:tcBorders>
              <w:top w:val="single" w:sz="4" w:space="0" w:color="B0B0B0"/>
              <w:left w:val="single" w:sz="4" w:space="0" w:color="B0B0B0"/>
              <w:bottom w:val="single" w:sz="4" w:space="0" w:color="B0B0B0"/>
              <w:right w:val="single" w:sz="4" w:space="0" w:color="B0B0B0"/>
            </w:tcBorders>
            <w:vAlign w:val="center"/>
          </w:tcPr>
          <w:p w14:paraId="44CB86D7" w14:textId="77777777" w:rsidR="001665F1" w:rsidRDefault="00000000">
            <w:r>
              <w:rPr>
                <w:sz w:val="17"/>
              </w:rPr>
              <w:t>General</w:t>
            </w:r>
          </w:p>
        </w:tc>
      </w:tr>
      <w:tr w:rsidR="001665F1" w14:paraId="763BA729"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BD8ECB0" w14:textId="77777777" w:rsidR="001665F1" w:rsidRDefault="00000000">
            <w:r>
              <w:rPr>
                <w:sz w:val="17"/>
              </w:rPr>
              <w:t>Informes de avance</w:t>
            </w:r>
          </w:p>
        </w:tc>
        <w:tc>
          <w:tcPr>
            <w:tcW w:w="5669" w:type="dxa"/>
            <w:tcBorders>
              <w:top w:val="single" w:sz="4" w:space="0" w:color="B0B0B0"/>
              <w:left w:val="single" w:sz="4" w:space="0" w:color="B0B0B0"/>
              <w:bottom w:val="single" w:sz="4" w:space="0" w:color="B0B0B0"/>
              <w:right w:val="single" w:sz="4" w:space="0" w:color="B0B0B0"/>
            </w:tcBorders>
            <w:vAlign w:val="center"/>
          </w:tcPr>
          <w:p w14:paraId="7BFCF9D2" w14:textId="77777777" w:rsidR="001665F1" w:rsidRDefault="00000000">
            <w:r>
              <w:rPr>
                <w:sz w:val="17"/>
              </w:rPr>
              <w:t>Estado, riesgos, desviaciones, decisiones, dependencias y acciones correctivas.</w:t>
            </w:r>
          </w:p>
        </w:tc>
        <w:tc>
          <w:tcPr>
            <w:tcW w:w="1701" w:type="dxa"/>
            <w:tcBorders>
              <w:top w:val="single" w:sz="4" w:space="0" w:color="B0B0B0"/>
              <w:left w:val="single" w:sz="4" w:space="0" w:color="B0B0B0"/>
              <w:bottom w:val="single" w:sz="4" w:space="0" w:color="B0B0B0"/>
              <w:right w:val="single" w:sz="4" w:space="0" w:color="B0B0B0"/>
            </w:tcBorders>
            <w:vAlign w:val="center"/>
          </w:tcPr>
          <w:p w14:paraId="3308DE0F" w14:textId="77777777" w:rsidR="001665F1" w:rsidRDefault="00000000">
            <w:r>
              <w:rPr>
                <w:sz w:val="17"/>
              </w:rPr>
              <w:t>General</w:t>
            </w:r>
          </w:p>
        </w:tc>
      </w:tr>
      <w:tr w:rsidR="001665F1" w14:paraId="59035B4B"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988B532" w14:textId="77777777" w:rsidR="001665F1" w:rsidRDefault="00000000">
            <w:r>
              <w:rPr>
                <w:sz w:val="17"/>
              </w:rPr>
              <w:t>Journey + Economics</w:t>
            </w:r>
          </w:p>
        </w:tc>
        <w:tc>
          <w:tcPr>
            <w:tcW w:w="5669" w:type="dxa"/>
            <w:tcBorders>
              <w:top w:val="single" w:sz="4" w:space="0" w:color="B0B0B0"/>
              <w:left w:val="single" w:sz="4" w:space="0" w:color="B0B0B0"/>
              <w:bottom w:val="single" w:sz="4" w:space="0" w:color="B0B0B0"/>
              <w:right w:val="single" w:sz="4" w:space="0" w:color="B0B0B0"/>
            </w:tcBorders>
            <w:vAlign w:val="center"/>
          </w:tcPr>
          <w:p w14:paraId="3C9C2F2F" w14:textId="77777777" w:rsidR="001665F1" w:rsidRDefault="00000000">
            <w:r>
              <w:rPr>
                <w:sz w:val="17"/>
              </w:rPr>
              <w:t>Visión Consejo con CAPEX/OPEX, inversiones, fases, gates y continuidad.</w:t>
            </w:r>
          </w:p>
        </w:tc>
        <w:tc>
          <w:tcPr>
            <w:tcW w:w="1701" w:type="dxa"/>
            <w:tcBorders>
              <w:top w:val="single" w:sz="4" w:space="0" w:color="B0B0B0"/>
              <w:left w:val="single" w:sz="4" w:space="0" w:color="B0B0B0"/>
              <w:bottom w:val="single" w:sz="4" w:space="0" w:color="B0B0B0"/>
              <w:right w:val="single" w:sz="4" w:space="0" w:color="B0B0B0"/>
            </w:tcBorders>
            <w:vAlign w:val="center"/>
          </w:tcPr>
          <w:p w14:paraId="4ECAE6C1" w14:textId="77777777" w:rsidR="001665F1" w:rsidRDefault="00000000">
            <w:r>
              <w:rPr>
                <w:sz w:val="17"/>
              </w:rPr>
              <w:t>General</w:t>
            </w:r>
          </w:p>
        </w:tc>
      </w:tr>
      <w:tr w:rsidR="001665F1" w14:paraId="04E856F0"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0D23CA3" w14:textId="77777777" w:rsidR="001665F1" w:rsidRDefault="00000000">
            <w:r>
              <w:rPr>
                <w:sz w:val="17"/>
              </w:rPr>
              <w:t>Gestión del cambio</w:t>
            </w:r>
          </w:p>
        </w:tc>
        <w:tc>
          <w:tcPr>
            <w:tcW w:w="5669" w:type="dxa"/>
            <w:tcBorders>
              <w:top w:val="single" w:sz="4" w:space="0" w:color="B0B0B0"/>
              <w:left w:val="single" w:sz="4" w:space="0" w:color="B0B0B0"/>
              <w:bottom w:val="single" w:sz="4" w:space="0" w:color="B0B0B0"/>
              <w:right w:val="single" w:sz="4" w:space="0" w:color="B0B0B0"/>
            </w:tcBorders>
            <w:vAlign w:val="center"/>
          </w:tcPr>
          <w:p w14:paraId="4C6D24BD" w14:textId="77777777" w:rsidR="001665F1" w:rsidRDefault="00000000">
            <w:r>
              <w:rPr>
                <w:sz w:val="17"/>
              </w:rPr>
              <w:t>Plan de adopción, formación, sesiones, perfiles, comunicación y soporte usuario.</w:t>
            </w:r>
          </w:p>
        </w:tc>
        <w:tc>
          <w:tcPr>
            <w:tcW w:w="1701" w:type="dxa"/>
            <w:tcBorders>
              <w:top w:val="single" w:sz="4" w:space="0" w:color="B0B0B0"/>
              <w:left w:val="single" w:sz="4" w:space="0" w:color="B0B0B0"/>
              <w:bottom w:val="single" w:sz="4" w:space="0" w:color="B0B0B0"/>
              <w:right w:val="single" w:sz="4" w:space="0" w:color="B0B0B0"/>
            </w:tcBorders>
            <w:vAlign w:val="center"/>
          </w:tcPr>
          <w:p w14:paraId="12273351" w14:textId="77777777" w:rsidR="001665F1" w:rsidRDefault="00000000">
            <w:r>
              <w:rPr>
                <w:sz w:val="17"/>
              </w:rPr>
              <w:t>General</w:t>
            </w:r>
          </w:p>
        </w:tc>
      </w:tr>
      <w:tr w:rsidR="001665F1" w14:paraId="0FC2ABF9"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05BE49E" w14:textId="77777777" w:rsidR="001665F1" w:rsidRDefault="00000000">
            <w:r>
              <w:rPr>
                <w:sz w:val="17"/>
              </w:rPr>
              <w:t>Informe de cierre</w:t>
            </w:r>
          </w:p>
        </w:tc>
        <w:tc>
          <w:tcPr>
            <w:tcW w:w="5669" w:type="dxa"/>
            <w:tcBorders>
              <w:top w:val="single" w:sz="4" w:space="0" w:color="B0B0B0"/>
              <w:left w:val="single" w:sz="4" w:space="0" w:color="B0B0B0"/>
              <w:bottom w:val="single" w:sz="4" w:space="0" w:color="B0B0B0"/>
              <w:right w:val="single" w:sz="4" w:space="0" w:color="B0B0B0"/>
            </w:tcBorders>
            <w:vAlign w:val="center"/>
          </w:tcPr>
          <w:p w14:paraId="405E5A6A" w14:textId="77777777" w:rsidR="001665F1" w:rsidRDefault="00000000">
            <w:r>
              <w:rPr>
                <w:sz w:val="17"/>
              </w:rPr>
              <w:t>Evaluación final, lecciones aprendidas, aceptación y hoja de ruta UC1-UC7.</w:t>
            </w:r>
          </w:p>
        </w:tc>
        <w:tc>
          <w:tcPr>
            <w:tcW w:w="1701" w:type="dxa"/>
            <w:tcBorders>
              <w:top w:val="single" w:sz="4" w:space="0" w:color="B0B0B0"/>
              <w:left w:val="single" w:sz="4" w:space="0" w:color="B0B0B0"/>
              <w:bottom w:val="single" w:sz="4" w:space="0" w:color="B0B0B0"/>
              <w:right w:val="single" w:sz="4" w:space="0" w:color="B0B0B0"/>
            </w:tcBorders>
            <w:vAlign w:val="center"/>
          </w:tcPr>
          <w:p w14:paraId="7EBF6640" w14:textId="77777777" w:rsidR="001665F1" w:rsidRDefault="00000000">
            <w:r>
              <w:rPr>
                <w:sz w:val="17"/>
              </w:rPr>
              <w:t>General</w:t>
            </w:r>
          </w:p>
        </w:tc>
      </w:tr>
    </w:tbl>
    <w:p w14:paraId="3A4C39B6" w14:textId="77777777" w:rsidR="001665F1" w:rsidRDefault="00000000">
      <w:pPr>
        <w:pStyle w:val="Ttulo2"/>
      </w:pPr>
      <w:r>
        <w:rPr>
          <w:color w:val="0A3D4A"/>
        </w:rPr>
        <w:t>5.2 Entregables técnicos, usuario y operación</w:t>
      </w:r>
    </w:p>
    <w:tbl>
      <w:tblPr>
        <w:tblStyle w:val="Tablaconcuadrcula"/>
        <w:tblW w:w="0" w:type="auto"/>
        <w:jc w:val="center"/>
        <w:tblLook w:val="04A0" w:firstRow="1" w:lastRow="0" w:firstColumn="1" w:lastColumn="0" w:noHBand="0" w:noVBand="1"/>
      </w:tblPr>
      <w:tblGrid>
        <w:gridCol w:w="2268"/>
        <w:gridCol w:w="5669"/>
        <w:gridCol w:w="1701"/>
      </w:tblGrid>
      <w:tr w:rsidR="001665F1" w14:paraId="76EABCFE"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194ED52F" w14:textId="77777777" w:rsidR="001665F1" w:rsidRDefault="00000000">
            <w:r>
              <w:rPr>
                <w:b/>
                <w:color w:val="FFFFFF"/>
                <w:sz w:val="17"/>
              </w:rPr>
              <w:t>Entregable</w:t>
            </w:r>
          </w:p>
        </w:tc>
        <w:tc>
          <w:tcPr>
            <w:tcW w:w="5669"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00552C4B" w14:textId="77777777" w:rsidR="001665F1" w:rsidRDefault="00000000">
            <w:r>
              <w:rPr>
                <w:b/>
                <w:color w:val="FFFFFF"/>
                <w:sz w:val="17"/>
              </w:rPr>
              <w:t>Contenido</w:t>
            </w:r>
          </w:p>
        </w:tc>
        <w:tc>
          <w:tcPr>
            <w:tcW w:w="170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5E90DFE8" w14:textId="77777777" w:rsidR="001665F1" w:rsidRDefault="00000000">
            <w:r>
              <w:rPr>
                <w:b/>
                <w:color w:val="FFFFFF"/>
                <w:sz w:val="17"/>
              </w:rPr>
              <w:t>Tipo</w:t>
            </w:r>
          </w:p>
        </w:tc>
      </w:tr>
      <w:tr w:rsidR="001665F1" w14:paraId="2F974223"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26615236" w14:textId="77777777" w:rsidR="001665F1" w:rsidRDefault="00000000">
            <w:r>
              <w:rPr>
                <w:sz w:val="17"/>
              </w:rPr>
              <w:t>Especificaciones funcionales</w:t>
            </w:r>
          </w:p>
        </w:tc>
        <w:tc>
          <w:tcPr>
            <w:tcW w:w="5669" w:type="dxa"/>
            <w:tcBorders>
              <w:top w:val="single" w:sz="4" w:space="0" w:color="B0B0B0"/>
              <w:left w:val="single" w:sz="4" w:space="0" w:color="B0B0B0"/>
              <w:bottom w:val="single" w:sz="4" w:space="0" w:color="B0B0B0"/>
              <w:right w:val="single" w:sz="4" w:space="0" w:color="B0B0B0"/>
            </w:tcBorders>
            <w:vAlign w:val="center"/>
          </w:tcPr>
          <w:p w14:paraId="7E9BB7DB" w14:textId="77777777" w:rsidR="001665F1" w:rsidRDefault="00000000">
            <w:r>
              <w:rPr>
                <w:sz w:val="17"/>
              </w:rPr>
              <w:t>Qué debe hacer P0 desde la perspectiva de usuarios IT, negocio, seguridad, gobierno y operación.</w:t>
            </w:r>
          </w:p>
        </w:tc>
        <w:tc>
          <w:tcPr>
            <w:tcW w:w="1701" w:type="dxa"/>
            <w:tcBorders>
              <w:top w:val="single" w:sz="4" w:space="0" w:color="B0B0B0"/>
              <w:left w:val="single" w:sz="4" w:space="0" w:color="B0B0B0"/>
              <w:bottom w:val="single" w:sz="4" w:space="0" w:color="B0B0B0"/>
              <w:right w:val="single" w:sz="4" w:space="0" w:color="B0B0B0"/>
            </w:tcBorders>
            <w:vAlign w:val="center"/>
          </w:tcPr>
          <w:p w14:paraId="36E94F62" w14:textId="77777777" w:rsidR="001665F1" w:rsidRDefault="00000000">
            <w:r>
              <w:rPr>
                <w:sz w:val="17"/>
              </w:rPr>
              <w:t>Técnico/funcional</w:t>
            </w:r>
          </w:p>
        </w:tc>
      </w:tr>
      <w:tr w:rsidR="001665F1" w14:paraId="2A7E0DFF"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8D102E5" w14:textId="77777777" w:rsidR="001665F1" w:rsidRDefault="00000000">
            <w:r>
              <w:rPr>
                <w:sz w:val="17"/>
              </w:rPr>
              <w:t>Especificaciones técnicas</w:t>
            </w:r>
          </w:p>
        </w:tc>
        <w:tc>
          <w:tcPr>
            <w:tcW w:w="5669" w:type="dxa"/>
            <w:tcBorders>
              <w:top w:val="single" w:sz="4" w:space="0" w:color="B0B0B0"/>
              <w:left w:val="single" w:sz="4" w:space="0" w:color="B0B0B0"/>
              <w:bottom w:val="single" w:sz="4" w:space="0" w:color="B0B0B0"/>
              <w:right w:val="single" w:sz="4" w:space="0" w:color="B0B0B0"/>
            </w:tcBorders>
            <w:vAlign w:val="center"/>
          </w:tcPr>
          <w:p w14:paraId="6568DE49" w14:textId="77777777" w:rsidR="001665F1" w:rsidRDefault="00000000">
            <w:r>
              <w:rPr>
                <w:sz w:val="17"/>
              </w:rPr>
              <w:t>Arquitectura, APIs, identidad, datos, modelos, integraciones, red, seguridad y operación.</w:t>
            </w:r>
          </w:p>
        </w:tc>
        <w:tc>
          <w:tcPr>
            <w:tcW w:w="1701" w:type="dxa"/>
            <w:tcBorders>
              <w:top w:val="single" w:sz="4" w:space="0" w:color="B0B0B0"/>
              <w:left w:val="single" w:sz="4" w:space="0" w:color="B0B0B0"/>
              <w:bottom w:val="single" w:sz="4" w:space="0" w:color="B0B0B0"/>
              <w:right w:val="single" w:sz="4" w:space="0" w:color="B0B0B0"/>
            </w:tcBorders>
            <w:vAlign w:val="center"/>
          </w:tcPr>
          <w:p w14:paraId="03248139" w14:textId="77777777" w:rsidR="001665F1" w:rsidRDefault="00000000">
            <w:r>
              <w:rPr>
                <w:sz w:val="17"/>
              </w:rPr>
              <w:t>Técnico</w:t>
            </w:r>
          </w:p>
        </w:tc>
      </w:tr>
      <w:tr w:rsidR="001665F1" w14:paraId="23755490"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40EBC283" w14:textId="77777777" w:rsidR="001665F1" w:rsidRDefault="00000000">
            <w:r>
              <w:rPr>
                <w:sz w:val="17"/>
              </w:rPr>
              <w:t>Diseños de solución</w:t>
            </w:r>
          </w:p>
        </w:tc>
        <w:tc>
          <w:tcPr>
            <w:tcW w:w="5669" w:type="dxa"/>
            <w:tcBorders>
              <w:top w:val="single" w:sz="4" w:space="0" w:color="B0B0B0"/>
              <w:left w:val="single" w:sz="4" w:space="0" w:color="B0B0B0"/>
              <w:bottom w:val="single" w:sz="4" w:space="0" w:color="B0B0B0"/>
              <w:right w:val="single" w:sz="4" w:space="0" w:color="B0B0B0"/>
            </w:tcBorders>
            <w:vAlign w:val="center"/>
          </w:tcPr>
          <w:p w14:paraId="2F91E206" w14:textId="77777777" w:rsidR="001665F1" w:rsidRDefault="00000000">
            <w:r>
              <w:rPr>
                <w:sz w:val="17"/>
              </w:rPr>
              <w:t>Diagramas, flujos, modelo TO-BE, patrones Kubernetes, data mesh y servicios verticales.</w:t>
            </w:r>
          </w:p>
        </w:tc>
        <w:tc>
          <w:tcPr>
            <w:tcW w:w="1701" w:type="dxa"/>
            <w:tcBorders>
              <w:top w:val="single" w:sz="4" w:space="0" w:color="B0B0B0"/>
              <w:left w:val="single" w:sz="4" w:space="0" w:color="B0B0B0"/>
              <w:bottom w:val="single" w:sz="4" w:space="0" w:color="B0B0B0"/>
              <w:right w:val="single" w:sz="4" w:space="0" w:color="B0B0B0"/>
            </w:tcBorders>
            <w:vAlign w:val="center"/>
          </w:tcPr>
          <w:p w14:paraId="0A98D022" w14:textId="77777777" w:rsidR="001665F1" w:rsidRDefault="00000000">
            <w:r>
              <w:rPr>
                <w:sz w:val="17"/>
              </w:rPr>
              <w:t>Técnico</w:t>
            </w:r>
          </w:p>
        </w:tc>
      </w:tr>
      <w:tr w:rsidR="001665F1" w14:paraId="0CA4F7FD"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739D23B" w14:textId="77777777" w:rsidR="001665F1" w:rsidRDefault="00000000">
            <w:r>
              <w:rPr>
                <w:sz w:val="17"/>
              </w:rPr>
              <w:t>Plan de pruebas</w:t>
            </w:r>
          </w:p>
        </w:tc>
        <w:tc>
          <w:tcPr>
            <w:tcW w:w="5669" w:type="dxa"/>
            <w:tcBorders>
              <w:top w:val="single" w:sz="4" w:space="0" w:color="B0B0B0"/>
              <w:left w:val="single" w:sz="4" w:space="0" w:color="B0B0B0"/>
              <w:bottom w:val="single" w:sz="4" w:space="0" w:color="B0B0B0"/>
              <w:right w:val="single" w:sz="4" w:space="0" w:color="B0B0B0"/>
            </w:tcBorders>
            <w:vAlign w:val="center"/>
          </w:tcPr>
          <w:p w14:paraId="30430AEF" w14:textId="77777777" w:rsidR="001665F1" w:rsidRDefault="00000000">
            <w:r>
              <w:rPr>
                <w:sz w:val="17"/>
              </w:rPr>
              <w:t>Casos de prueba, criterios de aceptación, cobertura, UAT, regresión y pruebas de continuidad.</w:t>
            </w:r>
          </w:p>
        </w:tc>
        <w:tc>
          <w:tcPr>
            <w:tcW w:w="1701" w:type="dxa"/>
            <w:tcBorders>
              <w:top w:val="single" w:sz="4" w:space="0" w:color="B0B0B0"/>
              <w:left w:val="single" w:sz="4" w:space="0" w:color="B0B0B0"/>
              <w:bottom w:val="single" w:sz="4" w:space="0" w:color="B0B0B0"/>
              <w:right w:val="single" w:sz="4" w:space="0" w:color="B0B0B0"/>
            </w:tcBorders>
            <w:vAlign w:val="center"/>
          </w:tcPr>
          <w:p w14:paraId="17074313" w14:textId="77777777" w:rsidR="001665F1" w:rsidRDefault="00000000">
            <w:r>
              <w:rPr>
                <w:sz w:val="17"/>
              </w:rPr>
              <w:t>Técnico</w:t>
            </w:r>
          </w:p>
        </w:tc>
      </w:tr>
      <w:tr w:rsidR="001665F1" w14:paraId="1DD55271"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2FCA4E59" w14:textId="77777777" w:rsidR="001665F1" w:rsidRDefault="00000000">
            <w:r>
              <w:rPr>
                <w:sz w:val="17"/>
              </w:rPr>
              <w:t>Código fuente / IaC</w:t>
            </w:r>
          </w:p>
        </w:tc>
        <w:tc>
          <w:tcPr>
            <w:tcW w:w="5669" w:type="dxa"/>
            <w:tcBorders>
              <w:top w:val="single" w:sz="4" w:space="0" w:color="B0B0B0"/>
              <w:left w:val="single" w:sz="4" w:space="0" w:color="B0B0B0"/>
              <w:bottom w:val="single" w:sz="4" w:space="0" w:color="B0B0B0"/>
              <w:right w:val="single" w:sz="4" w:space="0" w:color="B0B0B0"/>
            </w:tcBorders>
            <w:vAlign w:val="center"/>
          </w:tcPr>
          <w:p w14:paraId="7F2C70F6" w14:textId="77777777" w:rsidR="001665F1" w:rsidRDefault="00000000">
            <w:r>
              <w:rPr>
                <w:sz w:val="17"/>
              </w:rPr>
              <w:t>Repositorios, manifiestos, scripts, versiones, documentación y trazabilidad de cambios.</w:t>
            </w:r>
          </w:p>
        </w:tc>
        <w:tc>
          <w:tcPr>
            <w:tcW w:w="1701" w:type="dxa"/>
            <w:tcBorders>
              <w:top w:val="single" w:sz="4" w:space="0" w:color="B0B0B0"/>
              <w:left w:val="single" w:sz="4" w:space="0" w:color="B0B0B0"/>
              <w:bottom w:val="single" w:sz="4" w:space="0" w:color="B0B0B0"/>
              <w:right w:val="single" w:sz="4" w:space="0" w:color="B0B0B0"/>
            </w:tcBorders>
            <w:vAlign w:val="center"/>
          </w:tcPr>
          <w:p w14:paraId="66F69C41" w14:textId="77777777" w:rsidR="001665F1" w:rsidRDefault="00000000">
            <w:r>
              <w:rPr>
                <w:sz w:val="17"/>
              </w:rPr>
              <w:t>Técnico</w:t>
            </w:r>
          </w:p>
        </w:tc>
      </w:tr>
      <w:tr w:rsidR="001665F1" w14:paraId="7FBC4E32"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1BC870F3" w14:textId="77777777" w:rsidR="001665F1" w:rsidRDefault="00000000">
            <w:r>
              <w:rPr>
                <w:sz w:val="17"/>
              </w:rPr>
              <w:t>Manual técnico</w:t>
            </w:r>
          </w:p>
        </w:tc>
        <w:tc>
          <w:tcPr>
            <w:tcW w:w="5669" w:type="dxa"/>
            <w:tcBorders>
              <w:top w:val="single" w:sz="4" w:space="0" w:color="B0B0B0"/>
              <w:left w:val="single" w:sz="4" w:space="0" w:color="B0B0B0"/>
              <w:bottom w:val="single" w:sz="4" w:space="0" w:color="B0B0B0"/>
              <w:right w:val="single" w:sz="4" w:space="0" w:color="B0B0B0"/>
            </w:tcBorders>
            <w:vAlign w:val="center"/>
          </w:tcPr>
          <w:p w14:paraId="73A1E115" w14:textId="77777777" w:rsidR="001665F1" w:rsidRDefault="00000000">
            <w:r>
              <w:rPr>
                <w:sz w:val="17"/>
              </w:rPr>
              <w:t>Instalación, configuración, mantenimiento, backup, restore, monitorización y operación N1/N2.</w:t>
            </w:r>
          </w:p>
        </w:tc>
        <w:tc>
          <w:tcPr>
            <w:tcW w:w="1701" w:type="dxa"/>
            <w:tcBorders>
              <w:top w:val="single" w:sz="4" w:space="0" w:color="B0B0B0"/>
              <w:left w:val="single" w:sz="4" w:space="0" w:color="B0B0B0"/>
              <w:bottom w:val="single" w:sz="4" w:space="0" w:color="B0B0B0"/>
              <w:right w:val="single" w:sz="4" w:space="0" w:color="B0B0B0"/>
            </w:tcBorders>
            <w:vAlign w:val="center"/>
          </w:tcPr>
          <w:p w14:paraId="2444D56C" w14:textId="77777777" w:rsidR="001665F1" w:rsidRDefault="00000000">
            <w:r>
              <w:rPr>
                <w:sz w:val="17"/>
              </w:rPr>
              <w:t>Técnico</w:t>
            </w:r>
          </w:p>
        </w:tc>
      </w:tr>
      <w:tr w:rsidR="001665F1" w14:paraId="068B4BAD"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610DCAE" w14:textId="77777777" w:rsidR="001665F1" w:rsidRDefault="00000000">
            <w:r>
              <w:rPr>
                <w:sz w:val="17"/>
              </w:rPr>
              <w:t>Manual de usuario</w:t>
            </w:r>
          </w:p>
        </w:tc>
        <w:tc>
          <w:tcPr>
            <w:tcW w:w="5669" w:type="dxa"/>
            <w:tcBorders>
              <w:top w:val="single" w:sz="4" w:space="0" w:color="B0B0B0"/>
              <w:left w:val="single" w:sz="4" w:space="0" w:color="B0B0B0"/>
              <w:bottom w:val="single" w:sz="4" w:space="0" w:color="B0B0B0"/>
              <w:right w:val="single" w:sz="4" w:space="0" w:color="B0B0B0"/>
            </w:tcBorders>
            <w:vAlign w:val="center"/>
          </w:tcPr>
          <w:p w14:paraId="7FEEFD9D" w14:textId="77777777" w:rsidR="001665F1" w:rsidRDefault="00000000">
            <w:r>
              <w:rPr>
                <w:sz w:val="17"/>
              </w:rPr>
              <w:t>Guías para perfiles de usuario, roles, acceso, buenas prácticas, soporte y límites de la IA.</w:t>
            </w:r>
          </w:p>
        </w:tc>
        <w:tc>
          <w:tcPr>
            <w:tcW w:w="1701" w:type="dxa"/>
            <w:tcBorders>
              <w:top w:val="single" w:sz="4" w:space="0" w:color="B0B0B0"/>
              <w:left w:val="single" w:sz="4" w:space="0" w:color="B0B0B0"/>
              <w:bottom w:val="single" w:sz="4" w:space="0" w:color="B0B0B0"/>
              <w:right w:val="single" w:sz="4" w:space="0" w:color="B0B0B0"/>
            </w:tcBorders>
            <w:vAlign w:val="center"/>
          </w:tcPr>
          <w:p w14:paraId="0E845A5D" w14:textId="77777777" w:rsidR="001665F1" w:rsidRDefault="00000000">
            <w:r>
              <w:rPr>
                <w:sz w:val="17"/>
              </w:rPr>
              <w:t>Usuario</w:t>
            </w:r>
          </w:p>
        </w:tc>
      </w:tr>
    </w:tbl>
    <w:p w14:paraId="28E2CD91" w14:textId="77777777" w:rsidR="001665F1" w:rsidRDefault="00000000">
      <w:pPr>
        <w:pStyle w:val="Ttulo1"/>
      </w:pPr>
      <w:r>
        <w:rPr>
          <w:color w:val="0A3D4A"/>
        </w:rPr>
        <w:t>6. Fases, horas y precio/hora</w:t>
      </w:r>
    </w:p>
    <w:p w14:paraId="1FF5037A" w14:textId="77777777" w:rsidR="001665F1" w:rsidRDefault="00000000">
      <w:r>
        <w:t>Para responder a la petición de Alberto, el presupuesto queda trazado por fase, horas, precio medio/hora, tipo de imputación y entregable asociado. La activación inicial se separa expresamente del resto del programa.</w:t>
      </w:r>
    </w:p>
    <w:tbl>
      <w:tblPr>
        <w:tblStyle w:val="Tablaconcuadrcula"/>
        <w:tblW w:w="0" w:type="auto"/>
        <w:jc w:val="center"/>
        <w:tblLook w:val="04A0" w:firstRow="1" w:lastRow="0" w:firstColumn="1" w:lastColumn="0" w:noHBand="0" w:noVBand="1"/>
      </w:tblPr>
      <w:tblGrid>
        <w:gridCol w:w="677"/>
        <w:gridCol w:w="1853"/>
        <w:gridCol w:w="902"/>
        <w:gridCol w:w="789"/>
        <w:gridCol w:w="1120"/>
        <w:gridCol w:w="1125"/>
        <w:gridCol w:w="1057"/>
        <w:gridCol w:w="3233"/>
      </w:tblGrid>
      <w:tr w:rsidR="001665F1" w14:paraId="13EF74AD"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159323F5" w14:textId="77777777" w:rsidR="001665F1" w:rsidRDefault="00000000">
            <w:r>
              <w:rPr>
                <w:b/>
                <w:color w:val="FFFFFF"/>
                <w:sz w:val="14"/>
              </w:rPr>
              <w:t>Fase</w:t>
            </w:r>
          </w:p>
        </w:tc>
        <w:tc>
          <w:tcPr>
            <w:tcW w:w="187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48D7302A" w14:textId="77777777" w:rsidR="001665F1" w:rsidRDefault="00000000">
            <w:r>
              <w:rPr>
                <w:b/>
                <w:color w:val="FFFFFF"/>
                <w:sz w:val="14"/>
              </w:rPr>
              <w:t>Nombre</w:t>
            </w:r>
          </w:p>
        </w:tc>
        <w:tc>
          <w:tcPr>
            <w:tcW w:w="907"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025FA403" w14:textId="77777777" w:rsidR="001665F1" w:rsidRDefault="00000000">
            <w:r>
              <w:rPr>
                <w:b/>
                <w:color w:val="FFFFFF"/>
                <w:sz w:val="14"/>
              </w:rPr>
              <w:t>Periodo</w:t>
            </w:r>
          </w:p>
        </w:tc>
        <w:tc>
          <w:tcPr>
            <w:tcW w:w="794"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2A23B805" w14:textId="77777777" w:rsidR="001665F1" w:rsidRDefault="00000000">
            <w:r>
              <w:rPr>
                <w:b/>
                <w:color w:val="FFFFFF"/>
                <w:sz w:val="14"/>
              </w:rPr>
              <w:t>Horas</w:t>
            </w:r>
          </w:p>
        </w:tc>
        <w:tc>
          <w:tcPr>
            <w:tcW w:w="1134"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375762BF" w14:textId="77777777" w:rsidR="001665F1" w:rsidRDefault="00000000">
            <w:r>
              <w:rPr>
                <w:b/>
                <w:color w:val="FFFFFF"/>
                <w:sz w:val="14"/>
              </w:rPr>
              <w:t>Precio medio</w:t>
            </w:r>
          </w:p>
        </w:tc>
        <w:tc>
          <w:tcPr>
            <w:tcW w:w="1134"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2E741C71" w14:textId="77777777" w:rsidR="001665F1" w:rsidRDefault="00000000">
            <w:r>
              <w:rPr>
                <w:b/>
                <w:color w:val="FFFFFF"/>
                <w:sz w:val="14"/>
              </w:rPr>
              <w:t>Importe</w:t>
            </w:r>
          </w:p>
        </w:tc>
        <w:tc>
          <w:tcPr>
            <w:tcW w:w="964"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3773F9D6" w14:textId="77777777" w:rsidR="001665F1" w:rsidRDefault="00000000">
            <w:r>
              <w:rPr>
                <w:b/>
                <w:color w:val="FFFFFF"/>
                <w:sz w:val="14"/>
              </w:rPr>
              <w:t>CAPEX/OPEX</w:t>
            </w:r>
          </w:p>
        </w:tc>
        <w:tc>
          <w:tcPr>
            <w:tcW w:w="3288"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774457F6" w14:textId="77777777" w:rsidR="001665F1" w:rsidRDefault="00000000">
            <w:r>
              <w:rPr>
                <w:b/>
                <w:color w:val="FFFFFF"/>
                <w:sz w:val="14"/>
              </w:rPr>
              <w:t>Resultado</w:t>
            </w:r>
          </w:p>
        </w:tc>
      </w:tr>
      <w:tr w:rsidR="001665F1" w14:paraId="0A7250FD"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45BD182" w14:textId="77777777" w:rsidR="001665F1" w:rsidRDefault="00000000">
            <w:r>
              <w:rPr>
                <w:sz w:val="14"/>
              </w:rPr>
              <w:t>F0</w:t>
            </w:r>
          </w:p>
        </w:tc>
        <w:tc>
          <w:tcPr>
            <w:tcW w:w="1871" w:type="dxa"/>
            <w:tcBorders>
              <w:top w:val="single" w:sz="4" w:space="0" w:color="B0B0B0"/>
              <w:left w:val="single" w:sz="4" w:space="0" w:color="B0B0B0"/>
              <w:bottom w:val="single" w:sz="4" w:space="0" w:color="B0B0B0"/>
              <w:right w:val="single" w:sz="4" w:space="0" w:color="B0B0B0"/>
            </w:tcBorders>
            <w:vAlign w:val="center"/>
          </w:tcPr>
          <w:p w14:paraId="31815F10" w14:textId="77777777" w:rsidR="001665F1" w:rsidRDefault="00000000">
            <w:r>
              <w:rPr>
                <w:sz w:val="14"/>
              </w:rPr>
              <w:t>Activación P0 y cierre de alcance</w:t>
            </w:r>
          </w:p>
        </w:tc>
        <w:tc>
          <w:tcPr>
            <w:tcW w:w="907" w:type="dxa"/>
            <w:tcBorders>
              <w:top w:val="single" w:sz="4" w:space="0" w:color="B0B0B0"/>
              <w:left w:val="single" w:sz="4" w:space="0" w:color="B0B0B0"/>
              <w:bottom w:val="single" w:sz="4" w:space="0" w:color="B0B0B0"/>
              <w:right w:val="single" w:sz="4" w:space="0" w:color="B0B0B0"/>
            </w:tcBorders>
            <w:vAlign w:val="center"/>
          </w:tcPr>
          <w:p w14:paraId="4B28C5CC" w14:textId="77777777" w:rsidR="001665F1" w:rsidRDefault="00000000">
            <w:r>
              <w:rPr>
                <w:sz w:val="14"/>
              </w:rPr>
              <w:t>M1</w:t>
            </w:r>
          </w:p>
        </w:tc>
        <w:tc>
          <w:tcPr>
            <w:tcW w:w="794" w:type="dxa"/>
            <w:tcBorders>
              <w:top w:val="single" w:sz="4" w:space="0" w:color="B0B0B0"/>
              <w:left w:val="single" w:sz="4" w:space="0" w:color="B0B0B0"/>
              <w:bottom w:val="single" w:sz="4" w:space="0" w:color="B0B0B0"/>
              <w:right w:val="single" w:sz="4" w:space="0" w:color="B0B0B0"/>
            </w:tcBorders>
            <w:vAlign w:val="center"/>
          </w:tcPr>
          <w:p w14:paraId="76390CE8" w14:textId="77777777" w:rsidR="001665F1" w:rsidRDefault="00000000">
            <w:r>
              <w:rPr>
                <w:sz w:val="14"/>
              </w:rPr>
              <w:t>160</w:t>
            </w:r>
          </w:p>
        </w:tc>
        <w:tc>
          <w:tcPr>
            <w:tcW w:w="1134" w:type="dxa"/>
            <w:tcBorders>
              <w:top w:val="single" w:sz="4" w:space="0" w:color="B0B0B0"/>
              <w:left w:val="single" w:sz="4" w:space="0" w:color="B0B0B0"/>
              <w:bottom w:val="single" w:sz="4" w:space="0" w:color="B0B0B0"/>
              <w:right w:val="single" w:sz="4" w:space="0" w:color="B0B0B0"/>
            </w:tcBorders>
            <w:vAlign w:val="center"/>
          </w:tcPr>
          <w:p w14:paraId="05B10C68" w14:textId="77777777" w:rsidR="001665F1" w:rsidRDefault="00000000">
            <w:r>
              <w:rPr>
                <w:sz w:val="14"/>
              </w:rPr>
              <w:t>125,00 €/h</w:t>
            </w:r>
          </w:p>
        </w:tc>
        <w:tc>
          <w:tcPr>
            <w:tcW w:w="1134" w:type="dxa"/>
            <w:tcBorders>
              <w:top w:val="single" w:sz="4" w:space="0" w:color="B0B0B0"/>
              <w:left w:val="single" w:sz="4" w:space="0" w:color="B0B0B0"/>
              <w:bottom w:val="single" w:sz="4" w:space="0" w:color="B0B0B0"/>
              <w:right w:val="single" w:sz="4" w:space="0" w:color="B0B0B0"/>
            </w:tcBorders>
            <w:vAlign w:val="center"/>
          </w:tcPr>
          <w:p w14:paraId="7435A973" w14:textId="77777777" w:rsidR="001665F1" w:rsidRDefault="00000000">
            <w:r>
              <w:rPr>
                <w:sz w:val="14"/>
              </w:rPr>
              <w:t>20.000,00 €</w:t>
            </w:r>
          </w:p>
        </w:tc>
        <w:tc>
          <w:tcPr>
            <w:tcW w:w="964" w:type="dxa"/>
            <w:tcBorders>
              <w:top w:val="single" w:sz="4" w:space="0" w:color="B0B0B0"/>
              <w:left w:val="single" w:sz="4" w:space="0" w:color="B0B0B0"/>
              <w:bottom w:val="single" w:sz="4" w:space="0" w:color="B0B0B0"/>
              <w:right w:val="single" w:sz="4" w:space="0" w:color="B0B0B0"/>
            </w:tcBorders>
            <w:vAlign w:val="center"/>
          </w:tcPr>
          <w:p w14:paraId="49B29F68" w14:textId="77777777" w:rsidR="001665F1" w:rsidRDefault="00000000">
            <w:r>
              <w:rPr>
                <w:sz w:val="14"/>
              </w:rPr>
              <w:t>CAPEX</w:t>
            </w:r>
          </w:p>
        </w:tc>
        <w:tc>
          <w:tcPr>
            <w:tcW w:w="3288" w:type="dxa"/>
            <w:tcBorders>
              <w:top w:val="single" w:sz="4" w:space="0" w:color="B0B0B0"/>
              <w:left w:val="single" w:sz="4" w:space="0" w:color="B0B0B0"/>
              <w:bottom w:val="single" w:sz="4" w:space="0" w:color="B0B0B0"/>
              <w:right w:val="single" w:sz="4" w:space="0" w:color="B0B0B0"/>
            </w:tcBorders>
            <w:vAlign w:val="center"/>
          </w:tcPr>
          <w:p w14:paraId="649A31B8" w14:textId="77777777" w:rsidR="001665F1" w:rsidRDefault="00000000">
            <w:r>
              <w:rPr>
                <w:sz w:val="14"/>
              </w:rPr>
              <w:t>Arranque, discovery, gobierno inicial, alcance, backlog UC y plan director definitivo.</w:t>
            </w:r>
          </w:p>
        </w:tc>
      </w:tr>
      <w:tr w:rsidR="001665F1" w14:paraId="5EF1AED9"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E99B806" w14:textId="77777777" w:rsidR="001665F1" w:rsidRDefault="00000000">
            <w:r>
              <w:rPr>
                <w:sz w:val="14"/>
              </w:rPr>
              <w:t>F1</w:t>
            </w:r>
          </w:p>
        </w:tc>
        <w:tc>
          <w:tcPr>
            <w:tcW w:w="1871" w:type="dxa"/>
            <w:tcBorders>
              <w:top w:val="single" w:sz="4" w:space="0" w:color="B0B0B0"/>
              <w:left w:val="single" w:sz="4" w:space="0" w:color="B0B0B0"/>
              <w:bottom w:val="single" w:sz="4" w:space="0" w:color="B0B0B0"/>
              <w:right w:val="single" w:sz="4" w:space="0" w:color="B0B0B0"/>
            </w:tcBorders>
            <w:vAlign w:val="center"/>
          </w:tcPr>
          <w:p w14:paraId="4A35AE46" w14:textId="77777777" w:rsidR="001665F1" w:rsidRDefault="00000000">
            <w:r>
              <w:rPr>
                <w:sz w:val="14"/>
              </w:rPr>
              <w:t>Blueprint on-premise y sizing de infraestructura</w:t>
            </w:r>
          </w:p>
        </w:tc>
        <w:tc>
          <w:tcPr>
            <w:tcW w:w="907" w:type="dxa"/>
            <w:tcBorders>
              <w:top w:val="single" w:sz="4" w:space="0" w:color="B0B0B0"/>
              <w:left w:val="single" w:sz="4" w:space="0" w:color="B0B0B0"/>
              <w:bottom w:val="single" w:sz="4" w:space="0" w:color="B0B0B0"/>
              <w:right w:val="single" w:sz="4" w:space="0" w:color="B0B0B0"/>
            </w:tcBorders>
            <w:vAlign w:val="center"/>
          </w:tcPr>
          <w:p w14:paraId="086B8315" w14:textId="77777777" w:rsidR="001665F1" w:rsidRDefault="00000000">
            <w:r>
              <w:rPr>
                <w:sz w:val="14"/>
              </w:rPr>
              <w:t>M1-M2</w:t>
            </w:r>
          </w:p>
        </w:tc>
        <w:tc>
          <w:tcPr>
            <w:tcW w:w="794" w:type="dxa"/>
            <w:tcBorders>
              <w:top w:val="single" w:sz="4" w:space="0" w:color="B0B0B0"/>
              <w:left w:val="single" w:sz="4" w:space="0" w:color="B0B0B0"/>
              <w:bottom w:val="single" w:sz="4" w:space="0" w:color="B0B0B0"/>
              <w:right w:val="single" w:sz="4" w:space="0" w:color="B0B0B0"/>
            </w:tcBorders>
            <w:vAlign w:val="center"/>
          </w:tcPr>
          <w:p w14:paraId="1F907354" w14:textId="77777777" w:rsidR="001665F1" w:rsidRDefault="00000000">
            <w:r>
              <w:rPr>
                <w:sz w:val="14"/>
              </w:rPr>
              <w:t>220</w:t>
            </w:r>
          </w:p>
        </w:tc>
        <w:tc>
          <w:tcPr>
            <w:tcW w:w="1134" w:type="dxa"/>
            <w:tcBorders>
              <w:top w:val="single" w:sz="4" w:space="0" w:color="B0B0B0"/>
              <w:left w:val="single" w:sz="4" w:space="0" w:color="B0B0B0"/>
              <w:bottom w:val="single" w:sz="4" w:space="0" w:color="B0B0B0"/>
              <w:right w:val="single" w:sz="4" w:space="0" w:color="B0B0B0"/>
            </w:tcBorders>
            <w:vAlign w:val="center"/>
          </w:tcPr>
          <w:p w14:paraId="03A527EC" w14:textId="77777777" w:rsidR="001665F1" w:rsidRDefault="00000000">
            <w:r>
              <w:rPr>
                <w:sz w:val="14"/>
              </w:rPr>
              <w:t>110,00 €/h</w:t>
            </w:r>
          </w:p>
        </w:tc>
        <w:tc>
          <w:tcPr>
            <w:tcW w:w="1134" w:type="dxa"/>
            <w:tcBorders>
              <w:top w:val="single" w:sz="4" w:space="0" w:color="B0B0B0"/>
              <w:left w:val="single" w:sz="4" w:space="0" w:color="B0B0B0"/>
              <w:bottom w:val="single" w:sz="4" w:space="0" w:color="B0B0B0"/>
              <w:right w:val="single" w:sz="4" w:space="0" w:color="B0B0B0"/>
            </w:tcBorders>
            <w:vAlign w:val="center"/>
          </w:tcPr>
          <w:p w14:paraId="71F94A5E" w14:textId="77777777" w:rsidR="001665F1" w:rsidRDefault="00000000">
            <w:r>
              <w:rPr>
                <w:sz w:val="14"/>
              </w:rPr>
              <w:t>24.200,00 €</w:t>
            </w:r>
          </w:p>
        </w:tc>
        <w:tc>
          <w:tcPr>
            <w:tcW w:w="964" w:type="dxa"/>
            <w:tcBorders>
              <w:top w:val="single" w:sz="4" w:space="0" w:color="B0B0B0"/>
              <w:left w:val="single" w:sz="4" w:space="0" w:color="B0B0B0"/>
              <w:bottom w:val="single" w:sz="4" w:space="0" w:color="B0B0B0"/>
              <w:right w:val="single" w:sz="4" w:space="0" w:color="B0B0B0"/>
            </w:tcBorders>
            <w:vAlign w:val="center"/>
          </w:tcPr>
          <w:p w14:paraId="03A6FCDA" w14:textId="77777777" w:rsidR="001665F1" w:rsidRDefault="00000000">
            <w:r>
              <w:rPr>
                <w:sz w:val="14"/>
              </w:rPr>
              <w:t>CAPEX</w:t>
            </w:r>
          </w:p>
        </w:tc>
        <w:tc>
          <w:tcPr>
            <w:tcW w:w="3288" w:type="dxa"/>
            <w:tcBorders>
              <w:top w:val="single" w:sz="4" w:space="0" w:color="B0B0B0"/>
              <w:left w:val="single" w:sz="4" w:space="0" w:color="B0B0B0"/>
              <w:bottom w:val="single" w:sz="4" w:space="0" w:color="B0B0B0"/>
              <w:right w:val="single" w:sz="4" w:space="0" w:color="B0B0B0"/>
            </w:tcBorders>
            <w:vAlign w:val="center"/>
          </w:tcPr>
          <w:p w14:paraId="383EDEAF" w14:textId="77777777" w:rsidR="001665F1" w:rsidRDefault="00000000">
            <w:r>
              <w:rPr>
                <w:sz w:val="14"/>
              </w:rPr>
              <w:t>Rancher/RKE2, clústeres, red, almacenamiento, backup, seguridad y adquisición Soliss.</w:t>
            </w:r>
          </w:p>
        </w:tc>
      </w:tr>
      <w:tr w:rsidR="001665F1" w14:paraId="005691C4"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8CD9B69" w14:textId="77777777" w:rsidR="001665F1" w:rsidRDefault="00000000">
            <w:r>
              <w:rPr>
                <w:sz w:val="14"/>
              </w:rPr>
              <w:t>F2</w:t>
            </w:r>
          </w:p>
        </w:tc>
        <w:tc>
          <w:tcPr>
            <w:tcW w:w="1871" w:type="dxa"/>
            <w:tcBorders>
              <w:top w:val="single" w:sz="4" w:space="0" w:color="B0B0B0"/>
              <w:left w:val="single" w:sz="4" w:space="0" w:color="B0B0B0"/>
              <w:bottom w:val="single" w:sz="4" w:space="0" w:color="B0B0B0"/>
              <w:right w:val="single" w:sz="4" w:space="0" w:color="B0B0B0"/>
            </w:tcBorders>
            <w:vAlign w:val="center"/>
          </w:tcPr>
          <w:p w14:paraId="02D01085" w14:textId="77777777" w:rsidR="001665F1" w:rsidRDefault="00000000">
            <w:r>
              <w:rPr>
                <w:sz w:val="14"/>
              </w:rPr>
              <w:t>Gobierno, DORA, data mesh e identidad</w:t>
            </w:r>
          </w:p>
        </w:tc>
        <w:tc>
          <w:tcPr>
            <w:tcW w:w="907" w:type="dxa"/>
            <w:tcBorders>
              <w:top w:val="single" w:sz="4" w:space="0" w:color="B0B0B0"/>
              <w:left w:val="single" w:sz="4" w:space="0" w:color="B0B0B0"/>
              <w:bottom w:val="single" w:sz="4" w:space="0" w:color="B0B0B0"/>
              <w:right w:val="single" w:sz="4" w:space="0" w:color="B0B0B0"/>
            </w:tcBorders>
            <w:vAlign w:val="center"/>
          </w:tcPr>
          <w:p w14:paraId="03167E16" w14:textId="77777777" w:rsidR="001665F1" w:rsidRDefault="00000000">
            <w:r>
              <w:rPr>
                <w:sz w:val="14"/>
              </w:rPr>
              <w:t>M2</w:t>
            </w:r>
          </w:p>
        </w:tc>
        <w:tc>
          <w:tcPr>
            <w:tcW w:w="794" w:type="dxa"/>
            <w:tcBorders>
              <w:top w:val="single" w:sz="4" w:space="0" w:color="B0B0B0"/>
              <w:left w:val="single" w:sz="4" w:space="0" w:color="B0B0B0"/>
              <w:bottom w:val="single" w:sz="4" w:space="0" w:color="B0B0B0"/>
              <w:right w:val="single" w:sz="4" w:space="0" w:color="B0B0B0"/>
            </w:tcBorders>
            <w:vAlign w:val="center"/>
          </w:tcPr>
          <w:p w14:paraId="10EFB537" w14:textId="77777777" w:rsidR="001665F1" w:rsidRDefault="00000000">
            <w:r>
              <w:rPr>
                <w:sz w:val="14"/>
              </w:rPr>
              <w:t>180</w:t>
            </w:r>
          </w:p>
        </w:tc>
        <w:tc>
          <w:tcPr>
            <w:tcW w:w="1134" w:type="dxa"/>
            <w:tcBorders>
              <w:top w:val="single" w:sz="4" w:space="0" w:color="B0B0B0"/>
              <w:left w:val="single" w:sz="4" w:space="0" w:color="B0B0B0"/>
              <w:bottom w:val="single" w:sz="4" w:space="0" w:color="B0B0B0"/>
              <w:right w:val="single" w:sz="4" w:space="0" w:color="B0B0B0"/>
            </w:tcBorders>
            <w:vAlign w:val="center"/>
          </w:tcPr>
          <w:p w14:paraId="5707B154" w14:textId="77777777" w:rsidR="001665F1" w:rsidRDefault="00000000">
            <w:r>
              <w:rPr>
                <w:sz w:val="14"/>
              </w:rPr>
              <w:t>105,00 €/h</w:t>
            </w:r>
          </w:p>
        </w:tc>
        <w:tc>
          <w:tcPr>
            <w:tcW w:w="1134" w:type="dxa"/>
            <w:tcBorders>
              <w:top w:val="single" w:sz="4" w:space="0" w:color="B0B0B0"/>
              <w:left w:val="single" w:sz="4" w:space="0" w:color="B0B0B0"/>
              <w:bottom w:val="single" w:sz="4" w:space="0" w:color="B0B0B0"/>
              <w:right w:val="single" w:sz="4" w:space="0" w:color="B0B0B0"/>
            </w:tcBorders>
            <w:vAlign w:val="center"/>
          </w:tcPr>
          <w:p w14:paraId="5D2AB820" w14:textId="77777777" w:rsidR="001665F1" w:rsidRDefault="00000000">
            <w:r>
              <w:rPr>
                <w:sz w:val="14"/>
              </w:rPr>
              <w:t>18.900,00 €</w:t>
            </w:r>
          </w:p>
        </w:tc>
        <w:tc>
          <w:tcPr>
            <w:tcW w:w="964" w:type="dxa"/>
            <w:tcBorders>
              <w:top w:val="single" w:sz="4" w:space="0" w:color="B0B0B0"/>
              <w:left w:val="single" w:sz="4" w:space="0" w:color="B0B0B0"/>
              <w:bottom w:val="single" w:sz="4" w:space="0" w:color="B0B0B0"/>
              <w:right w:val="single" w:sz="4" w:space="0" w:color="B0B0B0"/>
            </w:tcBorders>
            <w:vAlign w:val="center"/>
          </w:tcPr>
          <w:p w14:paraId="4AE69EBB" w14:textId="77777777" w:rsidR="001665F1" w:rsidRDefault="00000000">
            <w:r>
              <w:rPr>
                <w:sz w:val="14"/>
              </w:rPr>
              <w:t>CAPEX</w:t>
            </w:r>
          </w:p>
        </w:tc>
        <w:tc>
          <w:tcPr>
            <w:tcW w:w="3288" w:type="dxa"/>
            <w:tcBorders>
              <w:top w:val="single" w:sz="4" w:space="0" w:color="B0B0B0"/>
              <w:left w:val="single" w:sz="4" w:space="0" w:color="B0B0B0"/>
              <w:bottom w:val="single" w:sz="4" w:space="0" w:color="B0B0B0"/>
              <w:right w:val="single" w:sz="4" w:space="0" w:color="B0B0B0"/>
            </w:tcBorders>
            <w:vAlign w:val="center"/>
          </w:tcPr>
          <w:p w14:paraId="0C64567C" w14:textId="77777777" w:rsidR="001665F1" w:rsidRDefault="00000000">
            <w:r>
              <w:rPr>
                <w:sz w:val="14"/>
              </w:rPr>
              <w:t>Modelo de dominios, Keycloak, RBAC/ABAC, metadatos, evidencias y controles.</w:t>
            </w:r>
          </w:p>
        </w:tc>
      </w:tr>
      <w:tr w:rsidR="001665F1" w14:paraId="0EE76517"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1422C0F5" w14:textId="77777777" w:rsidR="001665F1" w:rsidRDefault="00000000">
            <w:r>
              <w:rPr>
                <w:sz w:val="14"/>
              </w:rPr>
              <w:t>F3</w:t>
            </w:r>
          </w:p>
        </w:tc>
        <w:tc>
          <w:tcPr>
            <w:tcW w:w="1871" w:type="dxa"/>
            <w:tcBorders>
              <w:top w:val="single" w:sz="4" w:space="0" w:color="B0B0B0"/>
              <w:left w:val="single" w:sz="4" w:space="0" w:color="B0B0B0"/>
              <w:bottom w:val="single" w:sz="4" w:space="0" w:color="B0B0B0"/>
              <w:right w:val="single" w:sz="4" w:space="0" w:color="B0B0B0"/>
            </w:tcBorders>
            <w:vAlign w:val="center"/>
          </w:tcPr>
          <w:p w14:paraId="145125B0" w14:textId="77777777" w:rsidR="001665F1" w:rsidRDefault="00000000">
            <w:r>
              <w:rPr>
                <w:sz w:val="14"/>
              </w:rPr>
              <w:t>Sandbox técnico, Model Gateway, RAG y Gravitino PoC</w:t>
            </w:r>
          </w:p>
        </w:tc>
        <w:tc>
          <w:tcPr>
            <w:tcW w:w="907" w:type="dxa"/>
            <w:tcBorders>
              <w:top w:val="single" w:sz="4" w:space="0" w:color="B0B0B0"/>
              <w:left w:val="single" w:sz="4" w:space="0" w:color="B0B0B0"/>
              <w:bottom w:val="single" w:sz="4" w:space="0" w:color="B0B0B0"/>
              <w:right w:val="single" w:sz="4" w:space="0" w:color="B0B0B0"/>
            </w:tcBorders>
            <w:vAlign w:val="center"/>
          </w:tcPr>
          <w:p w14:paraId="081F9901" w14:textId="77777777" w:rsidR="001665F1" w:rsidRDefault="00000000">
            <w:r>
              <w:rPr>
                <w:sz w:val="14"/>
              </w:rPr>
              <w:t>M2-M3</w:t>
            </w:r>
          </w:p>
        </w:tc>
        <w:tc>
          <w:tcPr>
            <w:tcW w:w="794" w:type="dxa"/>
            <w:tcBorders>
              <w:top w:val="single" w:sz="4" w:space="0" w:color="B0B0B0"/>
              <w:left w:val="single" w:sz="4" w:space="0" w:color="B0B0B0"/>
              <w:bottom w:val="single" w:sz="4" w:space="0" w:color="B0B0B0"/>
              <w:right w:val="single" w:sz="4" w:space="0" w:color="B0B0B0"/>
            </w:tcBorders>
            <w:vAlign w:val="center"/>
          </w:tcPr>
          <w:p w14:paraId="3F3D6CA6" w14:textId="77777777" w:rsidR="001665F1" w:rsidRDefault="00000000">
            <w:r>
              <w:rPr>
                <w:sz w:val="14"/>
              </w:rPr>
              <w:t>310</w:t>
            </w:r>
          </w:p>
        </w:tc>
        <w:tc>
          <w:tcPr>
            <w:tcW w:w="1134" w:type="dxa"/>
            <w:tcBorders>
              <w:top w:val="single" w:sz="4" w:space="0" w:color="B0B0B0"/>
              <w:left w:val="single" w:sz="4" w:space="0" w:color="B0B0B0"/>
              <w:bottom w:val="single" w:sz="4" w:space="0" w:color="B0B0B0"/>
              <w:right w:val="single" w:sz="4" w:space="0" w:color="B0B0B0"/>
            </w:tcBorders>
            <w:vAlign w:val="center"/>
          </w:tcPr>
          <w:p w14:paraId="327DEB90" w14:textId="77777777" w:rsidR="001665F1" w:rsidRDefault="00000000">
            <w:r>
              <w:rPr>
                <w:sz w:val="14"/>
              </w:rPr>
              <w:t>110,00 €/h</w:t>
            </w:r>
          </w:p>
        </w:tc>
        <w:tc>
          <w:tcPr>
            <w:tcW w:w="1134" w:type="dxa"/>
            <w:tcBorders>
              <w:top w:val="single" w:sz="4" w:space="0" w:color="B0B0B0"/>
              <w:left w:val="single" w:sz="4" w:space="0" w:color="B0B0B0"/>
              <w:bottom w:val="single" w:sz="4" w:space="0" w:color="B0B0B0"/>
              <w:right w:val="single" w:sz="4" w:space="0" w:color="B0B0B0"/>
            </w:tcBorders>
            <w:vAlign w:val="center"/>
          </w:tcPr>
          <w:p w14:paraId="23C2B567" w14:textId="77777777" w:rsidR="001665F1" w:rsidRDefault="00000000">
            <w:r>
              <w:rPr>
                <w:sz w:val="14"/>
              </w:rPr>
              <w:t>34.100,00 €</w:t>
            </w:r>
          </w:p>
        </w:tc>
        <w:tc>
          <w:tcPr>
            <w:tcW w:w="964" w:type="dxa"/>
            <w:tcBorders>
              <w:top w:val="single" w:sz="4" w:space="0" w:color="B0B0B0"/>
              <w:left w:val="single" w:sz="4" w:space="0" w:color="B0B0B0"/>
              <w:bottom w:val="single" w:sz="4" w:space="0" w:color="B0B0B0"/>
              <w:right w:val="single" w:sz="4" w:space="0" w:color="B0B0B0"/>
            </w:tcBorders>
            <w:vAlign w:val="center"/>
          </w:tcPr>
          <w:p w14:paraId="7FB5EBD5" w14:textId="77777777" w:rsidR="001665F1" w:rsidRDefault="00000000">
            <w:r>
              <w:rPr>
                <w:sz w:val="14"/>
              </w:rPr>
              <w:t>CAPEX</w:t>
            </w:r>
          </w:p>
        </w:tc>
        <w:tc>
          <w:tcPr>
            <w:tcW w:w="3288" w:type="dxa"/>
            <w:tcBorders>
              <w:top w:val="single" w:sz="4" w:space="0" w:color="B0B0B0"/>
              <w:left w:val="single" w:sz="4" w:space="0" w:color="B0B0B0"/>
              <w:bottom w:val="single" w:sz="4" w:space="0" w:color="B0B0B0"/>
              <w:right w:val="single" w:sz="4" w:space="0" w:color="B0B0B0"/>
            </w:tcBorders>
            <w:vAlign w:val="center"/>
          </w:tcPr>
          <w:p w14:paraId="01254C29" w14:textId="77777777" w:rsidR="001665F1" w:rsidRDefault="00000000">
            <w:r>
              <w:rPr>
                <w:sz w:val="14"/>
              </w:rPr>
              <w:t>Validación técnica no bloqueante, local-first, trazabilidad, fuentes y seguridad de acceso.</w:t>
            </w:r>
          </w:p>
        </w:tc>
      </w:tr>
      <w:tr w:rsidR="001665F1" w14:paraId="3CD92DDB"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E1DCC91" w14:textId="77777777" w:rsidR="001665F1" w:rsidRDefault="00000000">
            <w:r>
              <w:rPr>
                <w:sz w:val="14"/>
              </w:rPr>
              <w:t>F4</w:t>
            </w:r>
          </w:p>
        </w:tc>
        <w:tc>
          <w:tcPr>
            <w:tcW w:w="1871" w:type="dxa"/>
            <w:tcBorders>
              <w:top w:val="single" w:sz="4" w:space="0" w:color="B0B0B0"/>
              <w:left w:val="single" w:sz="4" w:space="0" w:color="B0B0B0"/>
              <w:bottom w:val="single" w:sz="4" w:space="0" w:color="B0B0B0"/>
              <w:right w:val="single" w:sz="4" w:space="0" w:color="B0B0B0"/>
            </w:tcBorders>
            <w:vAlign w:val="center"/>
          </w:tcPr>
          <w:p w14:paraId="383DB845" w14:textId="77777777" w:rsidR="001665F1" w:rsidRDefault="00000000">
            <w:r>
              <w:rPr>
                <w:sz w:val="14"/>
              </w:rPr>
              <w:t>Pruebas, UAT, documentación, transferencia y cierre P0</w:t>
            </w:r>
          </w:p>
        </w:tc>
        <w:tc>
          <w:tcPr>
            <w:tcW w:w="907" w:type="dxa"/>
            <w:tcBorders>
              <w:top w:val="single" w:sz="4" w:space="0" w:color="B0B0B0"/>
              <w:left w:val="single" w:sz="4" w:space="0" w:color="B0B0B0"/>
              <w:bottom w:val="single" w:sz="4" w:space="0" w:color="B0B0B0"/>
              <w:right w:val="single" w:sz="4" w:space="0" w:color="B0B0B0"/>
            </w:tcBorders>
            <w:vAlign w:val="center"/>
          </w:tcPr>
          <w:p w14:paraId="32D30C47" w14:textId="77777777" w:rsidR="001665F1" w:rsidRDefault="00000000">
            <w:r>
              <w:rPr>
                <w:sz w:val="14"/>
              </w:rPr>
              <w:t>M3</w:t>
            </w:r>
          </w:p>
        </w:tc>
        <w:tc>
          <w:tcPr>
            <w:tcW w:w="794" w:type="dxa"/>
            <w:tcBorders>
              <w:top w:val="single" w:sz="4" w:space="0" w:color="B0B0B0"/>
              <w:left w:val="single" w:sz="4" w:space="0" w:color="B0B0B0"/>
              <w:bottom w:val="single" w:sz="4" w:space="0" w:color="B0B0B0"/>
              <w:right w:val="single" w:sz="4" w:space="0" w:color="B0B0B0"/>
            </w:tcBorders>
            <w:vAlign w:val="center"/>
          </w:tcPr>
          <w:p w14:paraId="658AD822" w14:textId="77777777" w:rsidR="001665F1" w:rsidRDefault="00000000">
            <w:r>
              <w:rPr>
                <w:sz w:val="14"/>
              </w:rPr>
              <w:t>85</w:t>
            </w:r>
          </w:p>
        </w:tc>
        <w:tc>
          <w:tcPr>
            <w:tcW w:w="1134" w:type="dxa"/>
            <w:tcBorders>
              <w:top w:val="single" w:sz="4" w:space="0" w:color="B0B0B0"/>
              <w:left w:val="single" w:sz="4" w:space="0" w:color="B0B0B0"/>
              <w:bottom w:val="single" w:sz="4" w:space="0" w:color="B0B0B0"/>
              <w:right w:val="single" w:sz="4" w:space="0" w:color="B0B0B0"/>
            </w:tcBorders>
            <w:vAlign w:val="center"/>
          </w:tcPr>
          <w:p w14:paraId="1A92701D" w14:textId="77777777" w:rsidR="001665F1" w:rsidRDefault="00000000">
            <w:r>
              <w:rPr>
                <w:sz w:val="14"/>
              </w:rPr>
              <w:t>105,00 €/h</w:t>
            </w:r>
          </w:p>
        </w:tc>
        <w:tc>
          <w:tcPr>
            <w:tcW w:w="1134" w:type="dxa"/>
            <w:tcBorders>
              <w:top w:val="single" w:sz="4" w:space="0" w:color="B0B0B0"/>
              <w:left w:val="single" w:sz="4" w:space="0" w:color="B0B0B0"/>
              <w:bottom w:val="single" w:sz="4" w:space="0" w:color="B0B0B0"/>
              <w:right w:val="single" w:sz="4" w:space="0" w:color="B0B0B0"/>
            </w:tcBorders>
            <w:vAlign w:val="center"/>
          </w:tcPr>
          <w:p w14:paraId="7EE3C141" w14:textId="77777777" w:rsidR="001665F1" w:rsidRDefault="00000000">
            <w:r>
              <w:rPr>
                <w:sz w:val="14"/>
              </w:rPr>
              <w:t>8.925,00 €</w:t>
            </w:r>
          </w:p>
        </w:tc>
        <w:tc>
          <w:tcPr>
            <w:tcW w:w="964" w:type="dxa"/>
            <w:tcBorders>
              <w:top w:val="single" w:sz="4" w:space="0" w:color="B0B0B0"/>
              <w:left w:val="single" w:sz="4" w:space="0" w:color="B0B0B0"/>
              <w:bottom w:val="single" w:sz="4" w:space="0" w:color="B0B0B0"/>
              <w:right w:val="single" w:sz="4" w:space="0" w:color="B0B0B0"/>
            </w:tcBorders>
            <w:vAlign w:val="center"/>
          </w:tcPr>
          <w:p w14:paraId="0279C7B7" w14:textId="77777777" w:rsidR="001665F1" w:rsidRDefault="00000000">
            <w:r>
              <w:rPr>
                <w:sz w:val="14"/>
              </w:rPr>
              <w:t>CAPEX</w:t>
            </w:r>
          </w:p>
        </w:tc>
        <w:tc>
          <w:tcPr>
            <w:tcW w:w="3288" w:type="dxa"/>
            <w:tcBorders>
              <w:top w:val="single" w:sz="4" w:space="0" w:color="B0B0B0"/>
              <w:left w:val="single" w:sz="4" w:space="0" w:color="B0B0B0"/>
              <w:bottom w:val="single" w:sz="4" w:space="0" w:color="B0B0B0"/>
              <w:right w:val="single" w:sz="4" w:space="0" w:color="B0B0B0"/>
            </w:tcBorders>
            <w:vAlign w:val="center"/>
          </w:tcPr>
          <w:p w14:paraId="14EF5694" w14:textId="77777777" w:rsidR="001665F1" w:rsidRDefault="00000000">
            <w:r>
              <w:rPr>
                <w:sz w:val="14"/>
              </w:rPr>
              <w:t>Plan de pruebas, manuales, runbooks, formación y aceptación ejecutiva.</w:t>
            </w:r>
          </w:p>
        </w:tc>
      </w:tr>
      <w:tr w:rsidR="001665F1" w14:paraId="4D613BE7"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2C0FCFA" w14:textId="77777777" w:rsidR="001665F1" w:rsidRDefault="00000000">
            <w:r>
              <w:rPr>
                <w:sz w:val="14"/>
              </w:rPr>
              <w:t>Ajuste</w:t>
            </w:r>
          </w:p>
        </w:tc>
        <w:tc>
          <w:tcPr>
            <w:tcW w:w="1871" w:type="dxa"/>
            <w:tcBorders>
              <w:top w:val="single" w:sz="4" w:space="0" w:color="B0B0B0"/>
              <w:left w:val="single" w:sz="4" w:space="0" w:color="B0B0B0"/>
              <w:bottom w:val="single" w:sz="4" w:space="0" w:color="B0B0B0"/>
              <w:right w:val="single" w:sz="4" w:space="0" w:color="B0B0B0"/>
            </w:tcBorders>
            <w:vAlign w:val="center"/>
          </w:tcPr>
          <w:p w14:paraId="70B5FB87" w14:textId="77777777" w:rsidR="001665F1" w:rsidRDefault="00000000">
            <w:r>
              <w:rPr>
                <w:sz w:val="14"/>
              </w:rPr>
              <w:t>Ajuste comercial de consolidación</w:t>
            </w:r>
          </w:p>
        </w:tc>
        <w:tc>
          <w:tcPr>
            <w:tcW w:w="907" w:type="dxa"/>
            <w:tcBorders>
              <w:top w:val="single" w:sz="4" w:space="0" w:color="B0B0B0"/>
              <w:left w:val="single" w:sz="4" w:space="0" w:color="B0B0B0"/>
              <w:bottom w:val="single" w:sz="4" w:space="0" w:color="B0B0B0"/>
              <w:right w:val="single" w:sz="4" w:space="0" w:color="B0B0B0"/>
            </w:tcBorders>
            <w:vAlign w:val="center"/>
          </w:tcPr>
          <w:p w14:paraId="107F5BDD" w14:textId="77777777" w:rsidR="001665F1" w:rsidRDefault="00000000">
            <w:r>
              <w:rPr>
                <w:sz w:val="14"/>
              </w:rPr>
              <w:t>-</w:t>
            </w:r>
          </w:p>
        </w:tc>
        <w:tc>
          <w:tcPr>
            <w:tcW w:w="794" w:type="dxa"/>
            <w:tcBorders>
              <w:top w:val="single" w:sz="4" w:space="0" w:color="B0B0B0"/>
              <w:left w:val="single" w:sz="4" w:space="0" w:color="B0B0B0"/>
              <w:bottom w:val="single" w:sz="4" w:space="0" w:color="B0B0B0"/>
              <w:right w:val="single" w:sz="4" w:space="0" w:color="B0B0B0"/>
            </w:tcBorders>
            <w:vAlign w:val="center"/>
          </w:tcPr>
          <w:p w14:paraId="00F3DD78" w14:textId="77777777" w:rsidR="001665F1" w:rsidRDefault="00000000">
            <w:r>
              <w:rPr>
                <w:sz w:val="14"/>
              </w:rPr>
              <w:t>0</w:t>
            </w:r>
          </w:p>
        </w:tc>
        <w:tc>
          <w:tcPr>
            <w:tcW w:w="1134" w:type="dxa"/>
            <w:tcBorders>
              <w:top w:val="single" w:sz="4" w:space="0" w:color="B0B0B0"/>
              <w:left w:val="single" w:sz="4" w:space="0" w:color="B0B0B0"/>
              <w:bottom w:val="single" w:sz="4" w:space="0" w:color="B0B0B0"/>
              <w:right w:val="single" w:sz="4" w:space="0" w:color="B0B0B0"/>
            </w:tcBorders>
            <w:vAlign w:val="center"/>
          </w:tcPr>
          <w:p w14:paraId="2683F034" w14:textId="77777777" w:rsidR="001665F1" w:rsidRDefault="00000000">
            <w:r>
              <w:rPr>
                <w:sz w:val="14"/>
              </w:rPr>
              <w:t>-</w:t>
            </w:r>
          </w:p>
        </w:tc>
        <w:tc>
          <w:tcPr>
            <w:tcW w:w="1134" w:type="dxa"/>
            <w:tcBorders>
              <w:top w:val="single" w:sz="4" w:space="0" w:color="B0B0B0"/>
              <w:left w:val="single" w:sz="4" w:space="0" w:color="B0B0B0"/>
              <w:bottom w:val="single" w:sz="4" w:space="0" w:color="B0B0B0"/>
              <w:right w:val="single" w:sz="4" w:space="0" w:color="B0B0B0"/>
            </w:tcBorders>
            <w:vAlign w:val="center"/>
          </w:tcPr>
          <w:p w14:paraId="2EA2C9CB" w14:textId="77777777" w:rsidR="001665F1" w:rsidRDefault="00000000">
            <w:r>
              <w:rPr>
                <w:sz w:val="14"/>
              </w:rPr>
              <w:t>-338,80 €</w:t>
            </w:r>
          </w:p>
        </w:tc>
        <w:tc>
          <w:tcPr>
            <w:tcW w:w="964" w:type="dxa"/>
            <w:tcBorders>
              <w:top w:val="single" w:sz="4" w:space="0" w:color="B0B0B0"/>
              <w:left w:val="single" w:sz="4" w:space="0" w:color="B0B0B0"/>
              <w:bottom w:val="single" w:sz="4" w:space="0" w:color="B0B0B0"/>
              <w:right w:val="single" w:sz="4" w:space="0" w:color="B0B0B0"/>
            </w:tcBorders>
            <w:vAlign w:val="center"/>
          </w:tcPr>
          <w:p w14:paraId="362439FD" w14:textId="77777777" w:rsidR="001665F1" w:rsidRDefault="00000000">
            <w:r>
              <w:rPr>
                <w:sz w:val="14"/>
              </w:rPr>
              <w:t>CAPEX</w:t>
            </w:r>
          </w:p>
        </w:tc>
        <w:tc>
          <w:tcPr>
            <w:tcW w:w="3288" w:type="dxa"/>
            <w:tcBorders>
              <w:top w:val="single" w:sz="4" w:space="0" w:color="B0B0B0"/>
              <w:left w:val="single" w:sz="4" w:space="0" w:color="B0B0B0"/>
              <w:bottom w:val="single" w:sz="4" w:space="0" w:color="B0B0B0"/>
              <w:right w:val="single" w:sz="4" w:space="0" w:color="B0B0B0"/>
            </w:tcBorders>
            <w:vAlign w:val="center"/>
          </w:tcPr>
          <w:p w14:paraId="26D17AD0" w14:textId="77777777" w:rsidR="001665F1" w:rsidRDefault="00000000">
            <w:r>
              <w:rPr>
                <w:sz w:val="14"/>
              </w:rPr>
              <w:t>Ajuste para mantener importe consolidado de construcción P0.</w:t>
            </w:r>
          </w:p>
        </w:tc>
      </w:tr>
      <w:tr w:rsidR="001665F1" w14:paraId="16B069E0" w14:textId="77777777">
        <w:trPr>
          <w:jc w:val="center"/>
        </w:trPr>
        <w:tc>
          <w:tcPr>
            <w:tcW w:w="10540" w:type="dxa"/>
            <w:gridSpan w:val="8"/>
            <w:tcBorders>
              <w:top w:val="single" w:sz="4" w:space="0" w:color="B0B0B0"/>
              <w:left w:val="single" w:sz="4" w:space="0" w:color="B0B0B0"/>
              <w:bottom w:val="single" w:sz="4" w:space="0" w:color="B0B0B0"/>
              <w:right w:val="single" w:sz="4" w:space="0" w:color="B0B0B0"/>
            </w:tcBorders>
            <w:shd w:val="clear" w:color="auto" w:fill="EAF4FA"/>
            <w:vAlign w:val="center"/>
          </w:tcPr>
          <w:p w14:paraId="2643EB8E" w14:textId="77777777" w:rsidR="001665F1" w:rsidRPr="00863159" w:rsidRDefault="00000000">
            <w:r w:rsidRPr="00863159">
              <w:rPr>
                <w:b/>
                <w:sz w:val="17"/>
              </w:rPr>
              <w:t>Importe P0 construcción</w:t>
            </w:r>
            <w:r w:rsidRPr="00863159">
              <w:rPr>
                <w:b/>
                <w:sz w:val="17"/>
              </w:rPr>
              <w:br/>
              <w:t>La construcción P0 queda en 105.786,20 €. La activación inicial de P0 se separa en torno a 20.000 €. El servicio co-gestionado M3-M24 asciende a 77.000 € y se trata como OPEX.</w:t>
            </w:r>
          </w:p>
        </w:tc>
      </w:tr>
    </w:tbl>
    <w:p w14:paraId="08DA6E33" w14:textId="77777777" w:rsidR="001665F1" w:rsidRDefault="00000000">
      <w:pPr>
        <w:pStyle w:val="Ttulo1"/>
      </w:pPr>
      <w:r>
        <w:rPr>
          <w:color w:val="0A3D4A"/>
        </w:rPr>
        <w:lastRenderedPageBreak/>
        <w:t>7. Journey + Economics para Consejo</w:t>
      </w:r>
    </w:p>
    <w:p w14:paraId="3EC25A5E" w14:textId="2ADF8F35" w:rsidR="001665F1" w:rsidRDefault="00CB13F9">
      <w:r>
        <w:rPr>
          <w:noProof/>
        </w:rPr>
        <w:drawing>
          <wp:inline distT="0" distB="0" distL="0" distR="0" wp14:anchorId="62983E63" wp14:editId="6A3914CB">
            <wp:extent cx="6690360" cy="3764280"/>
            <wp:effectExtent l="0" t="0" r="0" b="7620"/>
            <wp:docPr id="20584081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0360" cy="3764280"/>
                    </a:xfrm>
                    <a:prstGeom prst="rect">
                      <a:avLst/>
                    </a:prstGeom>
                    <a:noFill/>
                    <a:ln>
                      <a:noFill/>
                    </a:ln>
                  </pic:spPr>
                </pic:pic>
              </a:graphicData>
            </a:graphic>
          </wp:inline>
        </w:drawing>
      </w:r>
    </w:p>
    <w:tbl>
      <w:tblPr>
        <w:tblStyle w:val="Tablaconcuadrcula"/>
        <w:tblW w:w="0" w:type="auto"/>
        <w:jc w:val="center"/>
        <w:tblLook w:val="04A0" w:firstRow="1" w:lastRow="0" w:firstColumn="1" w:lastColumn="0" w:noHBand="0" w:noVBand="1"/>
      </w:tblPr>
      <w:tblGrid>
        <w:gridCol w:w="2268"/>
        <w:gridCol w:w="1701"/>
        <w:gridCol w:w="1701"/>
        <w:gridCol w:w="3969"/>
      </w:tblGrid>
      <w:tr w:rsidR="001665F1" w14:paraId="181E077F"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411198B2" w14:textId="77777777" w:rsidR="001665F1" w:rsidRDefault="00000000">
            <w:r>
              <w:rPr>
                <w:b/>
                <w:color w:val="FFFFFF"/>
                <w:sz w:val="17"/>
              </w:rPr>
              <w:t>Concepto</w:t>
            </w:r>
          </w:p>
        </w:tc>
        <w:tc>
          <w:tcPr>
            <w:tcW w:w="170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5B1BC89E" w14:textId="77777777" w:rsidR="001665F1" w:rsidRDefault="00000000">
            <w:r>
              <w:rPr>
                <w:b/>
                <w:color w:val="FFFFFF"/>
                <w:sz w:val="17"/>
              </w:rPr>
              <w:t>Importe</w:t>
            </w:r>
          </w:p>
        </w:tc>
        <w:tc>
          <w:tcPr>
            <w:tcW w:w="170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53EC3B13" w14:textId="77777777" w:rsidR="001665F1" w:rsidRDefault="00000000">
            <w:r>
              <w:rPr>
                <w:b/>
                <w:color w:val="FFFFFF"/>
                <w:sz w:val="17"/>
              </w:rPr>
              <w:t>Tratamiento</w:t>
            </w:r>
          </w:p>
        </w:tc>
        <w:tc>
          <w:tcPr>
            <w:tcW w:w="3969"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28A33466" w14:textId="77777777" w:rsidR="001665F1" w:rsidRDefault="00000000">
            <w:r>
              <w:rPr>
                <w:b/>
                <w:color w:val="FFFFFF"/>
                <w:sz w:val="17"/>
              </w:rPr>
              <w:t>Comentario</w:t>
            </w:r>
          </w:p>
        </w:tc>
      </w:tr>
      <w:tr w:rsidR="001665F1" w14:paraId="5610A5B9"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3124FD4" w14:textId="77777777" w:rsidR="001665F1" w:rsidRDefault="00000000">
            <w:r>
              <w:rPr>
                <w:sz w:val="17"/>
              </w:rPr>
              <w:t>Activación inicial P0</w:t>
            </w:r>
          </w:p>
        </w:tc>
        <w:tc>
          <w:tcPr>
            <w:tcW w:w="1701" w:type="dxa"/>
            <w:tcBorders>
              <w:top w:val="single" w:sz="4" w:space="0" w:color="B0B0B0"/>
              <w:left w:val="single" w:sz="4" w:space="0" w:color="B0B0B0"/>
              <w:bottom w:val="single" w:sz="4" w:space="0" w:color="B0B0B0"/>
              <w:right w:val="single" w:sz="4" w:space="0" w:color="B0B0B0"/>
            </w:tcBorders>
            <w:vAlign w:val="center"/>
          </w:tcPr>
          <w:p w14:paraId="008D56CE" w14:textId="77777777" w:rsidR="001665F1" w:rsidRDefault="00000000">
            <w:r>
              <w:rPr>
                <w:sz w:val="17"/>
              </w:rPr>
              <w:t>20.000,00 €</w:t>
            </w:r>
          </w:p>
        </w:tc>
        <w:tc>
          <w:tcPr>
            <w:tcW w:w="1701" w:type="dxa"/>
            <w:tcBorders>
              <w:top w:val="single" w:sz="4" w:space="0" w:color="B0B0B0"/>
              <w:left w:val="single" w:sz="4" w:space="0" w:color="B0B0B0"/>
              <w:bottom w:val="single" w:sz="4" w:space="0" w:color="B0B0B0"/>
              <w:right w:val="single" w:sz="4" w:space="0" w:color="B0B0B0"/>
            </w:tcBorders>
            <w:vAlign w:val="center"/>
          </w:tcPr>
          <w:p w14:paraId="4947C7B2" w14:textId="77777777" w:rsidR="001665F1" w:rsidRDefault="00000000">
            <w:r>
              <w:rPr>
                <w:sz w:val="17"/>
              </w:rPr>
              <w:t>CAPEX</w:t>
            </w:r>
          </w:p>
        </w:tc>
        <w:tc>
          <w:tcPr>
            <w:tcW w:w="3969" w:type="dxa"/>
            <w:tcBorders>
              <w:top w:val="single" w:sz="4" w:space="0" w:color="B0B0B0"/>
              <w:left w:val="single" w:sz="4" w:space="0" w:color="B0B0B0"/>
              <w:bottom w:val="single" w:sz="4" w:space="0" w:color="B0B0B0"/>
              <w:right w:val="single" w:sz="4" w:space="0" w:color="B0B0B0"/>
            </w:tcBorders>
            <w:vAlign w:val="center"/>
          </w:tcPr>
          <w:p w14:paraId="61C4CD9B" w14:textId="77777777" w:rsidR="001665F1" w:rsidRDefault="00000000">
            <w:r>
              <w:rPr>
                <w:sz w:val="17"/>
              </w:rPr>
              <w:t>Arranque, discovery, alcance, arquitectura inicial y plan de trabajo.</w:t>
            </w:r>
          </w:p>
        </w:tc>
      </w:tr>
      <w:tr w:rsidR="001665F1" w14:paraId="0B304280"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7B2920E" w14:textId="77777777" w:rsidR="001665F1" w:rsidRDefault="00000000">
            <w:r>
              <w:rPr>
                <w:sz w:val="17"/>
              </w:rPr>
              <w:t>Construcción fundacional P0</w:t>
            </w:r>
          </w:p>
        </w:tc>
        <w:tc>
          <w:tcPr>
            <w:tcW w:w="1701" w:type="dxa"/>
            <w:tcBorders>
              <w:top w:val="single" w:sz="4" w:space="0" w:color="B0B0B0"/>
              <w:left w:val="single" w:sz="4" w:space="0" w:color="B0B0B0"/>
              <w:bottom w:val="single" w:sz="4" w:space="0" w:color="B0B0B0"/>
              <w:right w:val="single" w:sz="4" w:space="0" w:color="B0B0B0"/>
            </w:tcBorders>
            <w:vAlign w:val="center"/>
          </w:tcPr>
          <w:p w14:paraId="789A19D8" w14:textId="77777777" w:rsidR="001665F1" w:rsidRDefault="00000000">
            <w:r>
              <w:rPr>
                <w:sz w:val="17"/>
              </w:rPr>
              <w:t>105.786,20 €</w:t>
            </w:r>
          </w:p>
        </w:tc>
        <w:tc>
          <w:tcPr>
            <w:tcW w:w="1701" w:type="dxa"/>
            <w:tcBorders>
              <w:top w:val="single" w:sz="4" w:space="0" w:color="B0B0B0"/>
              <w:left w:val="single" w:sz="4" w:space="0" w:color="B0B0B0"/>
              <w:bottom w:val="single" w:sz="4" w:space="0" w:color="B0B0B0"/>
              <w:right w:val="single" w:sz="4" w:space="0" w:color="B0B0B0"/>
            </w:tcBorders>
            <w:vAlign w:val="center"/>
          </w:tcPr>
          <w:p w14:paraId="4ADE6FD9" w14:textId="77777777" w:rsidR="001665F1" w:rsidRDefault="00000000">
            <w:r>
              <w:rPr>
                <w:sz w:val="17"/>
              </w:rPr>
              <w:t>CAPEX</w:t>
            </w:r>
          </w:p>
        </w:tc>
        <w:tc>
          <w:tcPr>
            <w:tcW w:w="3969" w:type="dxa"/>
            <w:tcBorders>
              <w:top w:val="single" w:sz="4" w:space="0" w:color="B0B0B0"/>
              <w:left w:val="single" w:sz="4" w:space="0" w:color="B0B0B0"/>
              <w:bottom w:val="single" w:sz="4" w:space="0" w:color="B0B0B0"/>
              <w:right w:val="single" w:sz="4" w:space="0" w:color="B0B0B0"/>
            </w:tcBorders>
            <w:vAlign w:val="center"/>
          </w:tcPr>
          <w:p w14:paraId="5275C5C0" w14:textId="77777777" w:rsidR="001665F1" w:rsidRDefault="00000000">
            <w:r>
              <w:rPr>
                <w:sz w:val="17"/>
              </w:rPr>
              <w:t>Incluye activación, diseño, PoC, integración, documentación, pruebas y transferencia.</w:t>
            </w:r>
          </w:p>
        </w:tc>
      </w:tr>
      <w:tr w:rsidR="001665F1" w14:paraId="11C24B71"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573E39E" w14:textId="77777777" w:rsidR="001665F1" w:rsidRDefault="00000000">
            <w:r>
              <w:rPr>
                <w:sz w:val="17"/>
              </w:rPr>
              <w:t>Servicio co-gestionado M3-M24</w:t>
            </w:r>
          </w:p>
        </w:tc>
        <w:tc>
          <w:tcPr>
            <w:tcW w:w="1701" w:type="dxa"/>
            <w:tcBorders>
              <w:top w:val="single" w:sz="4" w:space="0" w:color="B0B0B0"/>
              <w:left w:val="single" w:sz="4" w:space="0" w:color="B0B0B0"/>
              <w:bottom w:val="single" w:sz="4" w:space="0" w:color="B0B0B0"/>
              <w:right w:val="single" w:sz="4" w:space="0" w:color="B0B0B0"/>
            </w:tcBorders>
            <w:vAlign w:val="center"/>
          </w:tcPr>
          <w:p w14:paraId="59F00A4D" w14:textId="77777777" w:rsidR="001665F1" w:rsidRDefault="00000000">
            <w:r>
              <w:rPr>
                <w:sz w:val="17"/>
              </w:rPr>
              <w:t>77.000,00 €</w:t>
            </w:r>
          </w:p>
        </w:tc>
        <w:tc>
          <w:tcPr>
            <w:tcW w:w="1701" w:type="dxa"/>
            <w:tcBorders>
              <w:top w:val="single" w:sz="4" w:space="0" w:color="B0B0B0"/>
              <w:left w:val="single" w:sz="4" w:space="0" w:color="B0B0B0"/>
              <w:bottom w:val="single" w:sz="4" w:space="0" w:color="B0B0B0"/>
              <w:right w:val="single" w:sz="4" w:space="0" w:color="B0B0B0"/>
            </w:tcBorders>
            <w:vAlign w:val="center"/>
          </w:tcPr>
          <w:p w14:paraId="68C80702" w14:textId="77777777" w:rsidR="001665F1" w:rsidRDefault="00000000">
            <w:r>
              <w:rPr>
                <w:sz w:val="17"/>
              </w:rPr>
              <w:t>OPEX</w:t>
            </w:r>
          </w:p>
        </w:tc>
        <w:tc>
          <w:tcPr>
            <w:tcW w:w="3969" w:type="dxa"/>
            <w:tcBorders>
              <w:top w:val="single" w:sz="4" w:space="0" w:color="B0B0B0"/>
              <w:left w:val="single" w:sz="4" w:space="0" w:color="B0B0B0"/>
              <w:bottom w:val="single" w:sz="4" w:space="0" w:color="B0B0B0"/>
              <w:right w:val="single" w:sz="4" w:space="0" w:color="B0B0B0"/>
            </w:tcBorders>
            <w:vAlign w:val="center"/>
          </w:tcPr>
          <w:p w14:paraId="5CC1CC2A" w14:textId="77777777" w:rsidR="001665F1" w:rsidRDefault="00000000">
            <w:r>
              <w:rPr>
                <w:sz w:val="17"/>
              </w:rPr>
              <w:t>Soporte, gobierno, observabilidad, evolución controlada y acompañamiento.</w:t>
            </w:r>
          </w:p>
        </w:tc>
      </w:tr>
      <w:tr w:rsidR="001665F1" w14:paraId="151EA63E"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5D4DBE8" w14:textId="77777777" w:rsidR="001665F1" w:rsidRDefault="00000000">
            <w:r>
              <w:rPr>
                <w:sz w:val="17"/>
              </w:rPr>
              <w:t>Total Keedio 24 meses</w:t>
            </w:r>
          </w:p>
        </w:tc>
        <w:tc>
          <w:tcPr>
            <w:tcW w:w="1701" w:type="dxa"/>
            <w:tcBorders>
              <w:top w:val="single" w:sz="4" w:space="0" w:color="B0B0B0"/>
              <w:left w:val="single" w:sz="4" w:space="0" w:color="B0B0B0"/>
              <w:bottom w:val="single" w:sz="4" w:space="0" w:color="B0B0B0"/>
              <w:right w:val="single" w:sz="4" w:space="0" w:color="B0B0B0"/>
            </w:tcBorders>
            <w:vAlign w:val="center"/>
          </w:tcPr>
          <w:p w14:paraId="3205336A" w14:textId="77777777" w:rsidR="001665F1" w:rsidRDefault="00000000">
            <w:r>
              <w:rPr>
                <w:sz w:val="17"/>
              </w:rPr>
              <w:t>182.786,20 €</w:t>
            </w:r>
          </w:p>
        </w:tc>
        <w:tc>
          <w:tcPr>
            <w:tcW w:w="1701" w:type="dxa"/>
            <w:tcBorders>
              <w:top w:val="single" w:sz="4" w:space="0" w:color="B0B0B0"/>
              <w:left w:val="single" w:sz="4" w:space="0" w:color="B0B0B0"/>
              <w:bottom w:val="single" w:sz="4" w:space="0" w:color="B0B0B0"/>
              <w:right w:val="single" w:sz="4" w:space="0" w:color="B0B0B0"/>
            </w:tcBorders>
            <w:vAlign w:val="center"/>
          </w:tcPr>
          <w:p w14:paraId="0C924513" w14:textId="77777777" w:rsidR="001665F1" w:rsidRDefault="00000000">
            <w:r>
              <w:rPr>
                <w:sz w:val="17"/>
              </w:rPr>
              <w:t>Mixto</w:t>
            </w:r>
          </w:p>
        </w:tc>
        <w:tc>
          <w:tcPr>
            <w:tcW w:w="3969" w:type="dxa"/>
            <w:tcBorders>
              <w:top w:val="single" w:sz="4" w:space="0" w:color="B0B0B0"/>
              <w:left w:val="single" w:sz="4" w:space="0" w:color="B0B0B0"/>
              <w:bottom w:val="single" w:sz="4" w:space="0" w:color="B0B0B0"/>
              <w:right w:val="single" w:sz="4" w:space="0" w:color="B0B0B0"/>
            </w:tcBorders>
            <w:vAlign w:val="center"/>
          </w:tcPr>
          <w:p w14:paraId="62709C07" w14:textId="77777777" w:rsidR="001665F1" w:rsidRDefault="00000000">
            <w:r>
              <w:rPr>
                <w:sz w:val="17"/>
              </w:rPr>
              <w:t>CAPEX + OPEX, sin infraestructura productiva.</w:t>
            </w:r>
          </w:p>
        </w:tc>
      </w:tr>
      <w:tr w:rsidR="001665F1" w14:paraId="30A0B3F0"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3DC4900" w14:textId="77777777" w:rsidR="001665F1" w:rsidRDefault="00000000">
            <w:r>
              <w:rPr>
                <w:sz w:val="17"/>
              </w:rPr>
              <w:t>Año opcional M25-M36</w:t>
            </w:r>
          </w:p>
        </w:tc>
        <w:tc>
          <w:tcPr>
            <w:tcW w:w="1701" w:type="dxa"/>
            <w:tcBorders>
              <w:top w:val="single" w:sz="4" w:space="0" w:color="B0B0B0"/>
              <w:left w:val="single" w:sz="4" w:space="0" w:color="B0B0B0"/>
              <w:bottom w:val="single" w:sz="4" w:space="0" w:color="B0B0B0"/>
              <w:right w:val="single" w:sz="4" w:space="0" w:color="B0B0B0"/>
            </w:tcBorders>
            <w:vAlign w:val="center"/>
          </w:tcPr>
          <w:p w14:paraId="44E972D8" w14:textId="77777777" w:rsidR="001665F1" w:rsidRDefault="00000000">
            <w:r>
              <w:rPr>
                <w:sz w:val="17"/>
              </w:rPr>
              <w:t>42.000,00 €</w:t>
            </w:r>
          </w:p>
        </w:tc>
        <w:tc>
          <w:tcPr>
            <w:tcW w:w="1701" w:type="dxa"/>
            <w:tcBorders>
              <w:top w:val="single" w:sz="4" w:space="0" w:color="B0B0B0"/>
              <w:left w:val="single" w:sz="4" w:space="0" w:color="B0B0B0"/>
              <w:bottom w:val="single" w:sz="4" w:space="0" w:color="B0B0B0"/>
              <w:right w:val="single" w:sz="4" w:space="0" w:color="B0B0B0"/>
            </w:tcBorders>
            <w:vAlign w:val="center"/>
          </w:tcPr>
          <w:p w14:paraId="4AE7AD3F" w14:textId="77777777" w:rsidR="001665F1" w:rsidRDefault="00000000">
            <w:r>
              <w:rPr>
                <w:sz w:val="17"/>
              </w:rPr>
              <w:t>OPEX opcional</w:t>
            </w:r>
          </w:p>
        </w:tc>
        <w:tc>
          <w:tcPr>
            <w:tcW w:w="3969" w:type="dxa"/>
            <w:tcBorders>
              <w:top w:val="single" w:sz="4" w:space="0" w:color="B0B0B0"/>
              <w:left w:val="single" w:sz="4" w:space="0" w:color="B0B0B0"/>
              <w:bottom w:val="single" w:sz="4" w:space="0" w:color="B0B0B0"/>
              <w:right w:val="single" w:sz="4" w:space="0" w:color="B0B0B0"/>
            </w:tcBorders>
            <w:vAlign w:val="center"/>
          </w:tcPr>
          <w:p w14:paraId="34EE2F7E" w14:textId="77777777" w:rsidR="001665F1" w:rsidRDefault="00000000">
            <w:r>
              <w:rPr>
                <w:sz w:val="17"/>
              </w:rPr>
              <w:t>Extensión no obligatoria.</w:t>
            </w:r>
          </w:p>
        </w:tc>
      </w:tr>
      <w:tr w:rsidR="001665F1" w14:paraId="17777DBD"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2023DCC0" w14:textId="77777777" w:rsidR="001665F1" w:rsidRDefault="00000000">
            <w:r>
              <w:rPr>
                <w:sz w:val="17"/>
              </w:rPr>
              <w:t>Infraestructura Soliss</w:t>
            </w:r>
          </w:p>
        </w:tc>
        <w:tc>
          <w:tcPr>
            <w:tcW w:w="1701" w:type="dxa"/>
            <w:tcBorders>
              <w:top w:val="single" w:sz="4" w:space="0" w:color="B0B0B0"/>
              <w:left w:val="single" w:sz="4" w:space="0" w:color="B0B0B0"/>
              <w:bottom w:val="single" w:sz="4" w:space="0" w:color="B0B0B0"/>
              <w:right w:val="single" w:sz="4" w:space="0" w:color="B0B0B0"/>
            </w:tcBorders>
            <w:vAlign w:val="center"/>
          </w:tcPr>
          <w:p w14:paraId="1AD86E12" w14:textId="77777777" w:rsidR="001665F1" w:rsidRDefault="00000000">
            <w:r>
              <w:rPr>
                <w:sz w:val="17"/>
              </w:rPr>
              <w:t>Rango estimado</w:t>
            </w:r>
          </w:p>
        </w:tc>
        <w:tc>
          <w:tcPr>
            <w:tcW w:w="1701" w:type="dxa"/>
            <w:tcBorders>
              <w:top w:val="single" w:sz="4" w:space="0" w:color="B0B0B0"/>
              <w:left w:val="single" w:sz="4" w:space="0" w:color="B0B0B0"/>
              <w:bottom w:val="single" w:sz="4" w:space="0" w:color="B0B0B0"/>
              <w:right w:val="single" w:sz="4" w:space="0" w:color="B0B0B0"/>
            </w:tcBorders>
            <w:vAlign w:val="center"/>
          </w:tcPr>
          <w:p w14:paraId="7C03647A" w14:textId="77777777" w:rsidR="001665F1" w:rsidRDefault="00000000">
            <w:r>
              <w:rPr>
                <w:sz w:val="17"/>
              </w:rPr>
              <w:t>CAPEX Soliss</w:t>
            </w:r>
          </w:p>
        </w:tc>
        <w:tc>
          <w:tcPr>
            <w:tcW w:w="3969" w:type="dxa"/>
            <w:tcBorders>
              <w:top w:val="single" w:sz="4" w:space="0" w:color="B0B0B0"/>
              <w:left w:val="single" w:sz="4" w:space="0" w:color="B0B0B0"/>
              <w:bottom w:val="single" w:sz="4" w:space="0" w:color="B0B0B0"/>
              <w:right w:val="single" w:sz="4" w:space="0" w:color="B0B0B0"/>
            </w:tcBorders>
            <w:vAlign w:val="center"/>
          </w:tcPr>
          <w:p w14:paraId="2932A883" w14:textId="77777777" w:rsidR="001665F1" w:rsidRDefault="00000000">
            <w:r>
              <w:rPr>
                <w:sz w:val="17"/>
              </w:rPr>
              <w:t>Compra/contratación directa de Soliss; Keedio dimensiona y valida.</w:t>
            </w:r>
          </w:p>
        </w:tc>
      </w:tr>
    </w:tbl>
    <w:p w14:paraId="5E1F6E76" w14:textId="77777777" w:rsidR="001665F1" w:rsidRDefault="00000000">
      <w:pPr>
        <w:pStyle w:val="Ttulo1"/>
      </w:pPr>
      <w:r>
        <w:rPr>
          <w:color w:val="0A3D4A"/>
        </w:rPr>
        <w:t>8. Cuantificación de infraestructura Soliss</w:t>
      </w:r>
    </w:p>
    <w:p w14:paraId="76DD848C" w14:textId="77777777" w:rsidR="001665F1" w:rsidRDefault="00000000">
      <w:r>
        <w:t>La infraestructura se cuantifica como rango orientativo para que Soliss pueda activar compras, presupuestos internos y análisis CAPEX. Keedio no la compra ni revende. El importe final debe cerrarse con proveedores tras sizing de G2.</w:t>
      </w:r>
    </w:p>
    <w:tbl>
      <w:tblPr>
        <w:tblStyle w:val="Tablaconcuadrcula"/>
        <w:tblW w:w="0" w:type="auto"/>
        <w:jc w:val="center"/>
        <w:tblLook w:val="04A0" w:firstRow="1" w:lastRow="0" w:firstColumn="1" w:lastColumn="0" w:noHBand="0" w:noVBand="1"/>
      </w:tblPr>
      <w:tblGrid>
        <w:gridCol w:w="2268"/>
        <w:gridCol w:w="3969"/>
        <w:gridCol w:w="1134"/>
        <w:gridCol w:w="1134"/>
        <w:gridCol w:w="2035"/>
      </w:tblGrid>
      <w:tr w:rsidR="001665F1" w14:paraId="4EC303F8"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2B32ED57" w14:textId="77777777" w:rsidR="001665F1" w:rsidRDefault="00000000">
            <w:r>
              <w:rPr>
                <w:b/>
                <w:color w:val="FFFFFF"/>
                <w:sz w:val="15"/>
              </w:rPr>
              <w:t>Bloque infraestructura</w:t>
            </w:r>
          </w:p>
        </w:tc>
        <w:tc>
          <w:tcPr>
            <w:tcW w:w="3969"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5BC7ED75" w14:textId="77777777" w:rsidR="001665F1" w:rsidRDefault="00000000">
            <w:r>
              <w:rPr>
                <w:b/>
                <w:color w:val="FFFFFF"/>
                <w:sz w:val="15"/>
              </w:rPr>
              <w:t>Contenido</w:t>
            </w:r>
          </w:p>
        </w:tc>
        <w:tc>
          <w:tcPr>
            <w:tcW w:w="1134"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1FED8CF4" w14:textId="77777777" w:rsidR="001665F1" w:rsidRDefault="00000000">
            <w:r>
              <w:rPr>
                <w:b/>
                <w:color w:val="FFFFFF"/>
                <w:sz w:val="15"/>
              </w:rPr>
              <w:t>Mínimo</w:t>
            </w:r>
          </w:p>
        </w:tc>
        <w:tc>
          <w:tcPr>
            <w:tcW w:w="1134"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7745323F" w14:textId="77777777" w:rsidR="001665F1" w:rsidRDefault="00000000">
            <w:r>
              <w:rPr>
                <w:b/>
                <w:color w:val="FFFFFF"/>
                <w:sz w:val="15"/>
              </w:rPr>
              <w:t>Base</w:t>
            </w:r>
          </w:p>
        </w:tc>
        <w:tc>
          <w:tcPr>
            <w:tcW w:w="1134"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34A59146" w14:textId="77777777" w:rsidR="001665F1" w:rsidRDefault="00000000">
            <w:r>
              <w:rPr>
                <w:b/>
                <w:color w:val="FFFFFF"/>
                <w:sz w:val="15"/>
              </w:rPr>
              <w:t>Escalable</w:t>
            </w:r>
          </w:p>
        </w:tc>
      </w:tr>
      <w:tr w:rsidR="001665F1" w14:paraId="17DF6250"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2A7C1D42" w14:textId="77777777" w:rsidR="001665F1" w:rsidRDefault="00000000">
            <w:r>
              <w:rPr>
                <w:sz w:val="15"/>
              </w:rPr>
              <w:t>Clúster de gestión Rancher/RKE2</w:t>
            </w:r>
          </w:p>
        </w:tc>
        <w:tc>
          <w:tcPr>
            <w:tcW w:w="3969" w:type="dxa"/>
            <w:tcBorders>
              <w:top w:val="single" w:sz="4" w:space="0" w:color="B0B0B0"/>
              <w:left w:val="single" w:sz="4" w:space="0" w:color="B0B0B0"/>
              <w:bottom w:val="single" w:sz="4" w:space="0" w:color="B0B0B0"/>
              <w:right w:val="single" w:sz="4" w:space="0" w:color="B0B0B0"/>
            </w:tcBorders>
            <w:vAlign w:val="center"/>
          </w:tcPr>
          <w:p w14:paraId="767B307C" w14:textId="77777777" w:rsidR="001665F1" w:rsidRDefault="00000000">
            <w:r>
              <w:rPr>
                <w:sz w:val="15"/>
              </w:rPr>
              <w:t>3 nodos de control, HA, acceso administrativo, TLS/CA interna</w:t>
            </w:r>
          </w:p>
        </w:tc>
        <w:tc>
          <w:tcPr>
            <w:tcW w:w="1134" w:type="dxa"/>
            <w:tcBorders>
              <w:top w:val="single" w:sz="4" w:space="0" w:color="B0B0B0"/>
              <w:left w:val="single" w:sz="4" w:space="0" w:color="B0B0B0"/>
              <w:bottom w:val="single" w:sz="4" w:space="0" w:color="B0B0B0"/>
              <w:right w:val="single" w:sz="4" w:space="0" w:color="B0B0B0"/>
            </w:tcBorders>
            <w:vAlign w:val="center"/>
          </w:tcPr>
          <w:p w14:paraId="6EFFF822" w14:textId="77777777" w:rsidR="001665F1" w:rsidRDefault="00000000">
            <w:r>
              <w:rPr>
                <w:sz w:val="15"/>
              </w:rPr>
              <w:t>18.000 €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6CDF308D" w14:textId="77777777" w:rsidR="001665F1" w:rsidRDefault="00000000">
            <w:r>
              <w:rPr>
                <w:sz w:val="15"/>
              </w:rPr>
              <w:t>30.000 €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49568955" w14:textId="77777777" w:rsidR="001665F1" w:rsidRDefault="00000000">
            <w:r>
              <w:rPr>
                <w:sz w:val="15"/>
              </w:rPr>
              <w:t>45.000 €</w:t>
            </w:r>
          </w:p>
        </w:tc>
      </w:tr>
      <w:tr w:rsidR="001665F1" w14:paraId="142EDB03"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FCB6822" w14:textId="77777777" w:rsidR="001665F1" w:rsidRDefault="00000000">
            <w:r>
              <w:rPr>
                <w:sz w:val="15"/>
              </w:rPr>
              <w:t>Clúster de grupo</w:t>
            </w:r>
          </w:p>
        </w:tc>
        <w:tc>
          <w:tcPr>
            <w:tcW w:w="3969" w:type="dxa"/>
            <w:tcBorders>
              <w:top w:val="single" w:sz="4" w:space="0" w:color="B0B0B0"/>
              <w:left w:val="single" w:sz="4" w:space="0" w:color="B0B0B0"/>
              <w:bottom w:val="single" w:sz="4" w:space="0" w:color="B0B0B0"/>
              <w:right w:val="single" w:sz="4" w:space="0" w:color="B0B0B0"/>
            </w:tcBorders>
            <w:vAlign w:val="center"/>
          </w:tcPr>
          <w:p w14:paraId="6966CEB8" w14:textId="77777777" w:rsidR="001665F1" w:rsidRDefault="00000000">
            <w:r>
              <w:rPr>
                <w:sz w:val="15"/>
              </w:rPr>
              <w:t>Keycloak, Gravitino PoC, PostgreSQL/CloudNativePG, servicios de gobierno</w:t>
            </w:r>
          </w:p>
        </w:tc>
        <w:tc>
          <w:tcPr>
            <w:tcW w:w="1134" w:type="dxa"/>
            <w:tcBorders>
              <w:top w:val="single" w:sz="4" w:space="0" w:color="B0B0B0"/>
              <w:left w:val="single" w:sz="4" w:space="0" w:color="B0B0B0"/>
              <w:bottom w:val="single" w:sz="4" w:space="0" w:color="B0B0B0"/>
              <w:right w:val="single" w:sz="4" w:space="0" w:color="B0B0B0"/>
            </w:tcBorders>
            <w:vAlign w:val="center"/>
          </w:tcPr>
          <w:p w14:paraId="2815581D" w14:textId="77777777" w:rsidR="001665F1" w:rsidRDefault="00000000">
            <w:r>
              <w:rPr>
                <w:sz w:val="15"/>
              </w:rPr>
              <w:t>25.000 €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55E22042" w14:textId="77777777" w:rsidR="001665F1" w:rsidRDefault="00000000">
            <w:r>
              <w:rPr>
                <w:sz w:val="15"/>
              </w:rPr>
              <w:t>45.000 €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5EFC6801" w14:textId="77777777" w:rsidR="001665F1" w:rsidRDefault="00000000">
            <w:r>
              <w:rPr>
                <w:sz w:val="15"/>
              </w:rPr>
              <w:t>70.000 €</w:t>
            </w:r>
          </w:p>
        </w:tc>
      </w:tr>
      <w:tr w:rsidR="001665F1" w14:paraId="4770FBE9"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494C41A" w14:textId="77777777" w:rsidR="001665F1" w:rsidRDefault="00000000">
            <w:r>
              <w:rPr>
                <w:sz w:val="15"/>
              </w:rPr>
              <w:t>Clúster empresa piloto</w:t>
            </w:r>
          </w:p>
        </w:tc>
        <w:tc>
          <w:tcPr>
            <w:tcW w:w="3969" w:type="dxa"/>
            <w:tcBorders>
              <w:top w:val="single" w:sz="4" w:space="0" w:color="B0B0B0"/>
              <w:left w:val="single" w:sz="4" w:space="0" w:color="B0B0B0"/>
              <w:bottom w:val="single" w:sz="4" w:space="0" w:color="B0B0B0"/>
              <w:right w:val="single" w:sz="4" w:space="0" w:color="B0B0B0"/>
            </w:tcBorders>
            <w:vAlign w:val="center"/>
          </w:tcPr>
          <w:p w14:paraId="3A33F442" w14:textId="77777777" w:rsidR="001665F1" w:rsidRDefault="00000000">
            <w:r>
              <w:rPr>
                <w:sz w:val="15"/>
              </w:rPr>
              <w:t>Plano de datos inicial, conectores, pipelines y aislamiento por dominio</w:t>
            </w:r>
          </w:p>
        </w:tc>
        <w:tc>
          <w:tcPr>
            <w:tcW w:w="1134" w:type="dxa"/>
            <w:tcBorders>
              <w:top w:val="single" w:sz="4" w:space="0" w:color="B0B0B0"/>
              <w:left w:val="single" w:sz="4" w:space="0" w:color="B0B0B0"/>
              <w:bottom w:val="single" w:sz="4" w:space="0" w:color="B0B0B0"/>
              <w:right w:val="single" w:sz="4" w:space="0" w:color="B0B0B0"/>
            </w:tcBorders>
            <w:vAlign w:val="center"/>
          </w:tcPr>
          <w:p w14:paraId="762E6782" w14:textId="77777777" w:rsidR="001665F1" w:rsidRDefault="00000000">
            <w:r>
              <w:rPr>
                <w:sz w:val="15"/>
              </w:rPr>
              <w:t>30.000 €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6D45D6C4" w14:textId="77777777" w:rsidR="001665F1" w:rsidRDefault="00000000">
            <w:r>
              <w:rPr>
                <w:sz w:val="15"/>
              </w:rPr>
              <w:t>55.000 €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2B4D16D0" w14:textId="77777777" w:rsidR="001665F1" w:rsidRDefault="00000000">
            <w:r>
              <w:rPr>
                <w:sz w:val="15"/>
              </w:rPr>
              <w:t>90.000 €</w:t>
            </w:r>
          </w:p>
        </w:tc>
      </w:tr>
      <w:tr w:rsidR="001665F1" w14:paraId="3D07FDDC"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47CE505" w14:textId="77777777" w:rsidR="001665F1" w:rsidRDefault="00000000">
            <w:r>
              <w:rPr>
                <w:sz w:val="15"/>
              </w:rPr>
              <w:t>GPU/IA local</w:t>
            </w:r>
          </w:p>
        </w:tc>
        <w:tc>
          <w:tcPr>
            <w:tcW w:w="3969" w:type="dxa"/>
            <w:tcBorders>
              <w:top w:val="single" w:sz="4" w:space="0" w:color="B0B0B0"/>
              <w:left w:val="single" w:sz="4" w:space="0" w:color="B0B0B0"/>
              <w:bottom w:val="single" w:sz="4" w:space="0" w:color="B0B0B0"/>
              <w:right w:val="single" w:sz="4" w:space="0" w:color="B0B0B0"/>
            </w:tcBorders>
            <w:vAlign w:val="center"/>
          </w:tcPr>
          <w:p w14:paraId="566AE6AD" w14:textId="77777777" w:rsidR="001665F1" w:rsidRDefault="00000000">
            <w:r>
              <w:rPr>
                <w:sz w:val="15"/>
              </w:rPr>
              <w:t>Model Gateway, embeddings, OCR/visión y LLM local-first</w:t>
            </w:r>
          </w:p>
        </w:tc>
        <w:tc>
          <w:tcPr>
            <w:tcW w:w="1134" w:type="dxa"/>
            <w:tcBorders>
              <w:top w:val="single" w:sz="4" w:space="0" w:color="B0B0B0"/>
              <w:left w:val="single" w:sz="4" w:space="0" w:color="B0B0B0"/>
              <w:bottom w:val="single" w:sz="4" w:space="0" w:color="B0B0B0"/>
              <w:right w:val="single" w:sz="4" w:space="0" w:color="B0B0B0"/>
            </w:tcBorders>
            <w:vAlign w:val="center"/>
          </w:tcPr>
          <w:p w14:paraId="5E207055" w14:textId="77777777" w:rsidR="001665F1" w:rsidRDefault="00000000">
            <w:r>
              <w:rPr>
                <w:sz w:val="15"/>
              </w:rPr>
              <w:t>20.000 €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1D8265E4" w14:textId="77777777" w:rsidR="001665F1" w:rsidRDefault="00000000">
            <w:r>
              <w:rPr>
                <w:sz w:val="15"/>
              </w:rPr>
              <w:t>50.000 €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2E8B9CB8" w14:textId="77777777" w:rsidR="001665F1" w:rsidRDefault="00000000">
            <w:r>
              <w:rPr>
                <w:sz w:val="15"/>
              </w:rPr>
              <w:t>110.000 €</w:t>
            </w:r>
          </w:p>
        </w:tc>
      </w:tr>
      <w:tr w:rsidR="001665F1" w14:paraId="60DE3A3E"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6A2B18B" w14:textId="77777777" w:rsidR="001665F1" w:rsidRDefault="00000000">
            <w:r>
              <w:rPr>
                <w:sz w:val="15"/>
              </w:rPr>
              <w:t>Almacenamiento/backup</w:t>
            </w:r>
          </w:p>
        </w:tc>
        <w:tc>
          <w:tcPr>
            <w:tcW w:w="3969" w:type="dxa"/>
            <w:tcBorders>
              <w:top w:val="single" w:sz="4" w:space="0" w:color="B0B0B0"/>
              <w:left w:val="single" w:sz="4" w:space="0" w:color="B0B0B0"/>
              <w:bottom w:val="single" w:sz="4" w:space="0" w:color="B0B0B0"/>
              <w:right w:val="single" w:sz="4" w:space="0" w:color="B0B0B0"/>
            </w:tcBorders>
            <w:vAlign w:val="center"/>
          </w:tcPr>
          <w:p w14:paraId="5A820C6B" w14:textId="77777777" w:rsidR="001665F1" w:rsidRDefault="00000000">
            <w:r>
              <w:rPr>
                <w:sz w:val="15"/>
              </w:rPr>
              <w:t>Objeto on-premise tipo MinIO/Ceph, snapshots, backup, restore y retención</w:t>
            </w:r>
          </w:p>
        </w:tc>
        <w:tc>
          <w:tcPr>
            <w:tcW w:w="1134" w:type="dxa"/>
            <w:tcBorders>
              <w:top w:val="single" w:sz="4" w:space="0" w:color="B0B0B0"/>
              <w:left w:val="single" w:sz="4" w:space="0" w:color="B0B0B0"/>
              <w:bottom w:val="single" w:sz="4" w:space="0" w:color="B0B0B0"/>
              <w:right w:val="single" w:sz="4" w:space="0" w:color="B0B0B0"/>
            </w:tcBorders>
            <w:vAlign w:val="center"/>
          </w:tcPr>
          <w:p w14:paraId="4A234681" w14:textId="77777777" w:rsidR="001665F1" w:rsidRDefault="00000000">
            <w:r>
              <w:rPr>
                <w:sz w:val="15"/>
              </w:rPr>
              <w:t>15.000 €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46549057" w14:textId="77777777" w:rsidR="001665F1" w:rsidRDefault="00000000">
            <w:r>
              <w:rPr>
                <w:sz w:val="15"/>
              </w:rPr>
              <w:t>35.000 €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35322C67" w14:textId="77777777" w:rsidR="001665F1" w:rsidRDefault="00000000">
            <w:r>
              <w:rPr>
                <w:sz w:val="15"/>
              </w:rPr>
              <w:t>70.000 €</w:t>
            </w:r>
          </w:p>
        </w:tc>
      </w:tr>
      <w:tr w:rsidR="001665F1" w14:paraId="202D14FD"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486D39A9" w14:textId="77777777" w:rsidR="001665F1" w:rsidRDefault="00000000">
            <w:r>
              <w:rPr>
                <w:sz w:val="15"/>
              </w:rPr>
              <w:t>Red/seguridad/observabilidad</w:t>
            </w:r>
          </w:p>
        </w:tc>
        <w:tc>
          <w:tcPr>
            <w:tcW w:w="3969" w:type="dxa"/>
            <w:tcBorders>
              <w:top w:val="single" w:sz="4" w:space="0" w:color="B0B0B0"/>
              <w:left w:val="single" w:sz="4" w:space="0" w:color="B0B0B0"/>
              <w:bottom w:val="single" w:sz="4" w:space="0" w:color="B0B0B0"/>
              <w:right w:val="single" w:sz="4" w:space="0" w:color="B0B0B0"/>
            </w:tcBorders>
            <w:vAlign w:val="center"/>
          </w:tcPr>
          <w:p w14:paraId="2149D9C5" w14:textId="77777777" w:rsidR="001665F1" w:rsidRDefault="00000000">
            <w:r>
              <w:rPr>
                <w:sz w:val="15"/>
              </w:rPr>
              <w:t>VPN/interconexión privada, segmentación, logging, monitorización y hardening</w:t>
            </w:r>
          </w:p>
        </w:tc>
        <w:tc>
          <w:tcPr>
            <w:tcW w:w="1134" w:type="dxa"/>
            <w:tcBorders>
              <w:top w:val="single" w:sz="4" w:space="0" w:color="B0B0B0"/>
              <w:left w:val="single" w:sz="4" w:space="0" w:color="B0B0B0"/>
              <w:bottom w:val="single" w:sz="4" w:space="0" w:color="B0B0B0"/>
              <w:right w:val="single" w:sz="4" w:space="0" w:color="B0B0B0"/>
            </w:tcBorders>
            <w:vAlign w:val="center"/>
          </w:tcPr>
          <w:p w14:paraId="29341816" w14:textId="77777777" w:rsidR="001665F1" w:rsidRDefault="00000000">
            <w:r>
              <w:rPr>
                <w:sz w:val="15"/>
              </w:rPr>
              <w:t>12.000 €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4E8CBC56" w14:textId="77777777" w:rsidR="001665F1" w:rsidRDefault="00000000">
            <w:r>
              <w:rPr>
                <w:sz w:val="15"/>
              </w:rPr>
              <w:t>30.000 €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08221FDD" w14:textId="77777777" w:rsidR="001665F1" w:rsidRDefault="00000000">
            <w:r>
              <w:rPr>
                <w:sz w:val="15"/>
              </w:rPr>
              <w:t>60.000 €</w:t>
            </w:r>
          </w:p>
        </w:tc>
      </w:tr>
      <w:tr w:rsidR="001665F1" w14:paraId="7DEF0983"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C8AEE1F" w14:textId="77777777" w:rsidR="001665F1" w:rsidRDefault="00000000">
            <w:r>
              <w:rPr>
                <w:sz w:val="15"/>
              </w:rPr>
              <w:lastRenderedPageBreak/>
              <w:t>Soporte/licencias base opcionales</w:t>
            </w:r>
          </w:p>
        </w:tc>
        <w:tc>
          <w:tcPr>
            <w:tcW w:w="3969" w:type="dxa"/>
            <w:tcBorders>
              <w:top w:val="single" w:sz="4" w:space="0" w:color="B0B0B0"/>
              <w:left w:val="single" w:sz="4" w:space="0" w:color="B0B0B0"/>
              <w:bottom w:val="single" w:sz="4" w:space="0" w:color="B0B0B0"/>
              <w:right w:val="single" w:sz="4" w:space="0" w:color="B0B0B0"/>
            </w:tcBorders>
            <w:vAlign w:val="center"/>
          </w:tcPr>
          <w:p w14:paraId="78DE0EA6" w14:textId="77777777" w:rsidR="001665F1" w:rsidRDefault="00000000">
            <w:r>
              <w:rPr>
                <w:sz w:val="15"/>
              </w:rPr>
              <w:t>Rancher Prime, soporte fabricante, garantía extendida u otros contratos</w:t>
            </w:r>
          </w:p>
        </w:tc>
        <w:tc>
          <w:tcPr>
            <w:tcW w:w="1134" w:type="dxa"/>
            <w:tcBorders>
              <w:top w:val="single" w:sz="4" w:space="0" w:color="B0B0B0"/>
              <w:left w:val="single" w:sz="4" w:space="0" w:color="B0B0B0"/>
              <w:bottom w:val="single" w:sz="4" w:space="0" w:color="B0B0B0"/>
              <w:right w:val="single" w:sz="4" w:space="0" w:color="B0B0B0"/>
            </w:tcBorders>
            <w:vAlign w:val="center"/>
          </w:tcPr>
          <w:p w14:paraId="79E4EC04" w14:textId="77777777" w:rsidR="001665F1" w:rsidRDefault="00000000">
            <w:r>
              <w:rPr>
                <w:sz w:val="15"/>
              </w:rPr>
              <w:t>0 €</w:t>
            </w:r>
          </w:p>
        </w:tc>
        <w:tc>
          <w:tcPr>
            <w:tcW w:w="1134" w:type="dxa"/>
            <w:tcBorders>
              <w:top w:val="single" w:sz="4" w:space="0" w:color="B0B0B0"/>
              <w:left w:val="single" w:sz="4" w:space="0" w:color="B0B0B0"/>
              <w:bottom w:val="single" w:sz="4" w:space="0" w:color="B0B0B0"/>
              <w:right w:val="single" w:sz="4" w:space="0" w:color="B0B0B0"/>
            </w:tcBorders>
            <w:vAlign w:val="center"/>
          </w:tcPr>
          <w:p w14:paraId="5E3F3D14" w14:textId="77777777" w:rsidR="001665F1" w:rsidRDefault="00000000">
            <w:r>
              <w:rPr>
                <w:sz w:val="15"/>
              </w:rPr>
              <w:t>25.000 €</w:t>
            </w:r>
          </w:p>
        </w:tc>
        <w:tc>
          <w:tcPr>
            <w:tcW w:w="1134" w:type="dxa"/>
            <w:tcBorders>
              <w:top w:val="single" w:sz="4" w:space="0" w:color="B0B0B0"/>
              <w:left w:val="single" w:sz="4" w:space="0" w:color="B0B0B0"/>
              <w:bottom w:val="single" w:sz="4" w:space="0" w:color="B0B0B0"/>
              <w:right w:val="single" w:sz="4" w:space="0" w:color="B0B0B0"/>
            </w:tcBorders>
            <w:vAlign w:val="center"/>
          </w:tcPr>
          <w:p w14:paraId="3B170A33" w14:textId="77777777" w:rsidR="001665F1" w:rsidRDefault="00000000">
            <w:r>
              <w:rPr>
                <w:sz w:val="15"/>
              </w:rPr>
              <w:t>70.000 €</w:t>
            </w:r>
          </w:p>
        </w:tc>
      </w:tr>
      <w:tr w:rsidR="001665F1" w14:paraId="5BB8341A" w14:textId="77777777">
        <w:trPr>
          <w:jc w:val="center"/>
        </w:trPr>
        <w:tc>
          <w:tcPr>
            <w:tcW w:w="10540" w:type="dxa"/>
            <w:gridSpan w:val="5"/>
            <w:tcBorders>
              <w:top w:val="single" w:sz="4" w:space="0" w:color="B0B0B0"/>
              <w:left w:val="single" w:sz="4" w:space="0" w:color="B0B0B0"/>
              <w:bottom w:val="single" w:sz="4" w:space="0" w:color="B0B0B0"/>
              <w:right w:val="single" w:sz="4" w:space="0" w:color="B0B0B0"/>
            </w:tcBorders>
            <w:shd w:val="clear" w:color="auto" w:fill="FFF5D6"/>
            <w:vAlign w:val="center"/>
          </w:tcPr>
          <w:p w14:paraId="564CCF43" w14:textId="77777777" w:rsidR="001665F1" w:rsidRDefault="00000000">
            <w:r w:rsidRPr="00863159">
              <w:rPr>
                <w:b/>
                <w:sz w:val="17"/>
              </w:rPr>
              <w:t>Cierre de riesgo de inversión</w:t>
            </w:r>
            <w:r w:rsidRPr="00863159">
              <w:rPr>
                <w:b/>
                <w:sz w:val="17"/>
              </w:rPr>
              <w:br/>
              <w:t>La compra no debe producirse antes del gate G2. En G2 se validan blueprint, sizing físico, dependencias, red, backup, continuidad y criterios de soporte.</w:t>
            </w:r>
          </w:p>
        </w:tc>
      </w:tr>
    </w:tbl>
    <w:p w14:paraId="44B39F77" w14:textId="77777777" w:rsidR="001665F1" w:rsidRDefault="00000000">
      <w:pPr>
        <w:pStyle w:val="Ttulo1"/>
      </w:pPr>
      <w:r>
        <w:rPr>
          <w:color w:val="0A3D4A"/>
        </w:rPr>
        <w:t>9. Gestión del cambio y perfiles</w:t>
      </w:r>
    </w:p>
    <w:p w14:paraId="39F95FCA" w14:textId="77777777" w:rsidR="001665F1" w:rsidRDefault="00000000">
      <w:r>
        <w:t>El proyecto incorpora gestión del cambio técnica y organizativa. La clave es nombrar un responsable interno Soliss con visión transversal técnica y de negocio, acompañado por responsables de infraestructura, datos, seguridad y usuarios clave.</w:t>
      </w:r>
    </w:p>
    <w:tbl>
      <w:tblPr>
        <w:tblStyle w:val="Tablaconcuadrcula"/>
        <w:tblW w:w="0" w:type="auto"/>
        <w:jc w:val="center"/>
        <w:tblLook w:val="04A0" w:firstRow="1" w:lastRow="0" w:firstColumn="1" w:lastColumn="0" w:noHBand="0" w:noVBand="1"/>
      </w:tblPr>
      <w:tblGrid>
        <w:gridCol w:w="2381"/>
        <w:gridCol w:w="5386"/>
        <w:gridCol w:w="1871"/>
      </w:tblGrid>
      <w:tr w:rsidR="001665F1" w14:paraId="7BD2675B" w14:textId="77777777">
        <w:trPr>
          <w:jc w:val="center"/>
        </w:trPr>
        <w:tc>
          <w:tcPr>
            <w:tcW w:w="238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2EDC8DC5" w14:textId="77777777" w:rsidR="001665F1" w:rsidRDefault="00000000">
            <w:r>
              <w:rPr>
                <w:b/>
                <w:color w:val="FFFFFF"/>
                <w:sz w:val="17"/>
              </w:rPr>
              <w:t>Perfil</w:t>
            </w:r>
          </w:p>
        </w:tc>
        <w:tc>
          <w:tcPr>
            <w:tcW w:w="5386"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5E3779AF" w14:textId="77777777" w:rsidR="001665F1" w:rsidRDefault="00000000">
            <w:r>
              <w:rPr>
                <w:b/>
                <w:color w:val="FFFFFF"/>
                <w:sz w:val="17"/>
              </w:rPr>
              <w:t>Responsabilidad</w:t>
            </w:r>
          </w:p>
        </w:tc>
        <w:tc>
          <w:tcPr>
            <w:tcW w:w="187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1144147B" w14:textId="77777777" w:rsidR="001665F1" w:rsidRDefault="00000000">
            <w:r>
              <w:rPr>
                <w:b/>
                <w:color w:val="FFFFFF"/>
                <w:sz w:val="17"/>
              </w:rPr>
              <w:t>Dedicación estimada</w:t>
            </w:r>
          </w:p>
        </w:tc>
      </w:tr>
      <w:tr w:rsidR="001665F1" w14:paraId="566E7EDB" w14:textId="77777777">
        <w:trPr>
          <w:jc w:val="center"/>
        </w:trPr>
        <w:tc>
          <w:tcPr>
            <w:tcW w:w="238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1D4027F" w14:textId="77777777" w:rsidR="001665F1" w:rsidRDefault="00000000">
            <w:r>
              <w:rPr>
                <w:sz w:val="17"/>
              </w:rPr>
              <w:t>Sponsor ejecutivo Soliss</w:t>
            </w:r>
          </w:p>
        </w:tc>
        <w:tc>
          <w:tcPr>
            <w:tcW w:w="5386" w:type="dxa"/>
            <w:tcBorders>
              <w:top w:val="single" w:sz="4" w:space="0" w:color="B0B0B0"/>
              <w:left w:val="single" w:sz="4" w:space="0" w:color="B0B0B0"/>
              <w:bottom w:val="single" w:sz="4" w:space="0" w:color="B0B0B0"/>
              <w:right w:val="single" w:sz="4" w:space="0" w:color="B0B0B0"/>
            </w:tcBorders>
            <w:vAlign w:val="center"/>
          </w:tcPr>
          <w:p w14:paraId="4D70A677" w14:textId="77777777" w:rsidR="001665F1" w:rsidRDefault="00000000">
            <w:r>
              <w:rPr>
                <w:sz w:val="17"/>
              </w:rPr>
              <w:t>Priorizar, desbloquear decisiones, aceptar gates y comunicar valor.</w:t>
            </w:r>
          </w:p>
        </w:tc>
        <w:tc>
          <w:tcPr>
            <w:tcW w:w="1871" w:type="dxa"/>
            <w:tcBorders>
              <w:top w:val="single" w:sz="4" w:space="0" w:color="B0B0B0"/>
              <w:left w:val="single" w:sz="4" w:space="0" w:color="B0B0B0"/>
              <w:bottom w:val="single" w:sz="4" w:space="0" w:color="B0B0B0"/>
              <w:right w:val="single" w:sz="4" w:space="0" w:color="B0B0B0"/>
            </w:tcBorders>
            <w:vAlign w:val="center"/>
          </w:tcPr>
          <w:p w14:paraId="75AF0562" w14:textId="77777777" w:rsidR="001665F1" w:rsidRDefault="00000000">
            <w:r>
              <w:rPr>
                <w:sz w:val="17"/>
              </w:rPr>
              <w:t>2-4 h/mes</w:t>
            </w:r>
          </w:p>
        </w:tc>
      </w:tr>
      <w:tr w:rsidR="001665F1" w14:paraId="4E14C97C" w14:textId="77777777">
        <w:trPr>
          <w:jc w:val="center"/>
        </w:trPr>
        <w:tc>
          <w:tcPr>
            <w:tcW w:w="238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80573F1" w14:textId="77777777" w:rsidR="001665F1" w:rsidRDefault="00000000">
            <w:r>
              <w:rPr>
                <w:sz w:val="17"/>
              </w:rPr>
              <w:t>Responsable interno AI/RPA Factory</w:t>
            </w:r>
          </w:p>
        </w:tc>
        <w:tc>
          <w:tcPr>
            <w:tcW w:w="5386" w:type="dxa"/>
            <w:tcBorders>
              <w:top w:val="single" w:sz="4" w:space="0" w:color="B0B0B0"/>
              <w:left w:val="single" w:sz="4" w:space="0" w:color="B0B0B0"/>
              <w:bottom w:val="single" w:sz="4" w:space="0" w:color="B0B0B0"/>
              <w:right w:val="single" w:sz="4" w:space="0" w:color="B0B0B0"/>
            </w:tcBorders>
            <w:vAlign w:val="center"/>
          </w:tcPr>
          <w:p w14:paraId="343DE355" w14:textId="77777777" w:rsidR="001665F1" w:rsidRDefault="00000000">
            <w:r>
              <w:rPr>
                <w:sz w:val="17"/>
              </w:rPr>
              <w:t>Liderar áreas técnicas y negocio, coordinar decisiones y adopción.</w:t>
            </w:r>
          </w:p>
        </w:tc>
        <w:tc>
          <w:tcPr>
            <w:tcW w:w="1871" w:type="dxa"/>
            <w:tcBorders>
              <w:top w:val="single" w:sz="4" w:space="0" w:color="B0B0B0"/>
              <w:left w:val="single" w:sz="4" w:space="0" w:color="B0B0B0"/>
              <w:bottom w:val="single" w:sz="4" w:space="0" w:color="B0B0B0"/>
              <w:right w:val="single" w:sz="4" w:space="0" w:color="B0B0B0"/>
            </w:tcBorders>
            <w:vAlign w:val="center"/>
          </w:tcPr>
          <w:p w14:paraId="4546F43E" w14:textId="77777777" w:rsidR="001665F1" w:rsidRDefault="00000000">
            <w:r>
              <w:rPr>
                <w:sz w:val="17"/>
              </w:rPr>
              <w:t>30-50% M1-M3; 15-25% M4-M24</w:t>
            </w:r>
          </w:p>
        </w:tc>
      </w:tr>
      <w:tr w:rsidR="001665F1" w14:paraId="1175EC29" w14:textId="77777777">
        <w:trPr>
          <w:jc w:val="center"/>
        </w:trPr>
        <w:tc>
          <w:tcPr>
            <w:tcW w:w="238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0E828785" w14:textId="77777777" w:rsidR="001665F1" w:rsidRDefault="00000000">
            <w:r>
              <w:rPr>
                <w:sz w:val="17"/>
              </w:rPr>
              <w:t>Responsable infraestructura Soliss</w:t>
            </w:r>
          </w:p>
        </w:tc>
        <w:tc>
          <w:tcPr>
            <w:tcW w:w="5386" w:type="dxa"/>
            <w:tcBorders>
              <w:top w:val="single" w:sz="4" w:space="0" w:color="B0B0B0"/>
              <w:left w:val="single" w:sz="4" w:space="0" w:color="B0B0B0"/>
              <w:bottom w:val="single" w:sz="4" w:space="0" w:color="B0B0B0"/>
              <w:right w:val="single" w:sz="4" w:space="0" w:color="B0B0B0"/>
            </w:tcBorders>
            <w:vAlign w:val="center"/>
          </w:tcPr>
          <w:p w14:paraId="4095BB41" w14:textId="77777777" w:rsidR="001665F1" w:rsidRDefault="00000000">
            <w:r>
              <w:rPr>
                <w:sz w:val="17"/>
              </w:rPr>
              <w:t>CPD, red, servidores, almacenamiento, backup y soporte de base.</w:t>
            </w:r>
          </w:p>
        </w:tc>
        <w:tc>
          <w:tcPr>
            <w:tcW w:w="1871" w:type="dxa"/>
            <w:tcBorders>
              <w:top w:val="single" w:sz="4" w:space="0" w:color="B0B0B0"/>
              <w:left w:val="single" w:sz="4" w:space="0" w:color="B0B0B0"/>
              <w:bottom w:val="single" w:sz="4" w:space="0" w:color="B0B0B0"/>
              <w:right w:val="single" w:sz="4" w:space="0" w:color="B0B0B0"/>
            </w:tcBorders>
            <w:vAlign w:val="center"/>
          </w:tcPr>
          <w:p w14:paraId="4B3D8075" w14:textId="77777777" w:rsidR="001665F1" w:rsidRDefault="00000000">
            <w:r>
              <w:rPr>
                <w:sz w:val="17"/>
              </w:rPr>
              <w:t>20-40% M1-M3; 10-20% posterior</w:t>
            </w:r>
          </w:p>
        </w:tc>
      </w:tr>
      <w:tr w:rsidR="001665F1" w14:paraId="6AF1B5E1" w14:textId="77777777">
        <w:trPr>
          <w:jc w:val="center"/>
        </w:trPr>
        <w:tc>
          <w:tcPr>
            <w:tcW w:w="238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3F1AAB2" w14:textId="77777777" w:rsidR="001665F1" w:rsidRDefault="00000000">
            <w:r>
              <w:rPr>
                <w:sz w:val="17"/>
              </w:rPr>
              <w:t>Responsable datos/gobierno Soliss</w:t>
            </w:r>
          </w:p>
        </w:tc>
        <w:tc>
          <w:tcPr>
            <w:tcW w:w="5386" w:type="dxa"/>
            <w:tcBorders>
              <w:top w:val="single" w:sz="4" w:space="0" w:color="B0B0B0"/>
              <w:left w:val="single" w:sz="4" w:space="0" w:color="B0B0B0"/>
              <w:bottom w:val="single" w:sz="4" w:space="0" w:color="B0B0B0"/>
              <w:right w:val="single" w:sz="4" w:space="0" w:color="B0B0B0"/>
            </w:tcBorders>
            <w:vAlign w:val="center"/>
          </w:tcPr>
          <w:p w14:paraId="192E6BA6" w14:textId="77777777" w:rsidR="001665F1" w:rsidRDefault="00000000">
            <w:r>
              <w:rPr>
                <w:sz w:val="17"/>
              </w:rPr>
              <w:t>Dominios, ownership, sensibilidad, calidad y acceso a datos.</w:t>
            </w:r>
          </w:p>
        </w:tc>
        <w:tc>
          <w:tcPr>
            <w:tcW w:w="1871" w:type="dxa"/>
            <w:tcBorders>
              <w:top w:val="single" w:sz="4" w:space="0" w:color="B0B0B0"/>
              <w:left w:val="single" w:sz="4" w:space="0" w:color="B0B0B0"/>
              <w:bottom w:val="single" w:sz="4" w:space="0" w:color="B0B0B0"/>
              <w:right w:val="single" w:sz="4" w:space="0" w:color="B0B0B0"/>
            </w:tcBorders>
            <w:vAlign w:val="center"/>
          </w:tcPr>
          <w:p w14:paraId="24E471E2" w14:textId="77777777" w:rsidR="001665F1" w:rsidRDefault="00000000">
            <w:r>
              <w:rPr>
                <w:sz w:val="17"/>
              </w:rPr>
              <w:t>15-30% M1-M3</w:t>
            </w:r>
          </w:p>
        </w:tc>
      </w:tr>
      <w:tr w:rsidR="001665F1" w14:paraId="1E905F2D" w14:textId="77777777">
        <w:trPr>
          <w:jc w:val="center"/>
        </w:trPr>
        <w:tc>
          <w:tcPr>
            <w:tcW w:w="238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5DB5D37" w14:textId="77777777" w:rsidR="001665F1" w:rsidRDefault="00000000">
            <w:r>
              <w:rPr>
                <w:sz w:val="17"/>
              </w:rPr>
              <w:t>Key users negocio</w:t>
            </w:r>
          </w:p>
        </w:tc>
        <w:tc>
          <w:tcPr>
            <w:tcW w:w="5386" w:type="dxa"/>
            <w:tcBorders>
              <w:top w:val="single" w:sz="4" w:space="0" w:color="B0B0B0"/>
              <w:left w:val="single" w:sz="4" w:space="0" w:color="B0B0B0"/>
              <w:bottom w:val="single" w:sz="4" w:space="0" w:color="B0B0B0"/>
              <w:right w:val="single" w:sz="4" w:space="0" w:color="B0B0B0"/>
            </w:tcBorders>
            <w:vAlign w:val="center"/>
          </w:tcPr>
          <w:p w14:paraId="5B93F726" w14:textId="77777777" w:rsidR="001665F1" w:rsidRDefault="00000000">
            <w:r>
              <w:rPr>
                <w:sz w:val="17"/>
              </w:rPr>
              <w:t>Validar necesidades, UAT, manual de usuario y casos derivados UC1-UC7.</w:t>
            </w:r>
          </w:p>
        </w:tc>
        <w:tc>
          <w:tcPr>
            <w:tcW w:w="1871" w:type="dxa"/>
            <w:tcBorders>
              <w:top w:val="single" w:sz="4" w:space="0" w:color="B0B0B0"/>
              <w:left w:val="single" w:sz="4" w:space="0" w:color="B0B0B0"/>
              <w:bottom w:val="single" w:sz="4" w:space="0" w:color="B0B0B0"/>
              <w:right w:val="single" w:sz="4" w:space="0" w:color="B0B0B0"/>
            </w:tcBorders>
            <w:vAlign w:val="center"/>
          </w:tcPr>
          <w:p w14:paraId="567D436C" w14:textId="77777777" w:rsidR="001665F1" w:rsidRDefault="00000000">
            <w:r>
              <w:rPr>
                <w:sz w:val="17"/>
              </w:rPr>
              <w:t>Sesiones por sprint</w:t>
            </w:r>
          </w:p>
        </w:tc>
      </w:tr>
      <w:tr w:rsidR="001665F1" w14:paraId="2F304AC8" w14:textId="77777777">
        <w:trPr>
          <w:jc w:val="center"/>
        </w:trPr>
        <w:tc>
          <w:tcPr>
            <w:tcW w:w="238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23A00C21" w14:textId="77777777" w:rsidR="001665F1" w:rsidRDefault="00000000">
            <w:r>
              <w:rPr>
                <w:sz w:val="17"/>
              </w:rPr>
              <w:t>Keedio PM/Arquitecto</w:t>
            </w:r>
          </w:p>
        </w:tc>
        <w:tc>
          <w:tcPr>
            <w:tcW w:w="5386" w:type="dxa"/>
            <w:tcBorders>
              <w:top w:val="single" w:sz="4" w:space="0" w:color="B0B0B0"/>
              <w:left w:val="single" w:sz="4" w:space="0" w:color="B0B0B0"/>
              <w:bottom w:val="single" w:sz="4" w:space="0" w:color="B0B0B0"/>
              <w:right w:val="single" w:sz="4" w:space="0" w:color="B0B0B0"/>
            </w:tcBorders>
            <w:vAlign w:val="center"/>
          </w:tcPr>
          <w:p w14:paraId="4DFE0C1A" w14:textId="77777777" w:rsidR="001665F1" w:rsidRDefault="00000000">
            <w:r>
              <w:rPr>
                <w:sz w:val="17"/>
              </w:rPr>
              <w:t>Dirección, arquitectura, control de riesgos, coordinación y entregables.</w:t>
            </w:r>
          </w:p>
        </w:tc>
        <w:tc>
          <w:tcPr>
            <w:tcW w:w="1871" w:type="dxa"/>
            <w:tcBorders>
              <w:top w:val="single" w:sz="4" w:space="0" w:color="B0B0B0"/>
              <w:left w:val="single" w:sz="4" w:space="0" w:color="B0B0B0"/>
              <w:bottom w:val="single" w:sz="4" w:space="0" w:color="B0B0B0"/>
              <w:right w:val="single" w:sz="4" w:space="0" w:color="B0B0B0"/>
            </w:tcBorders>
            <w:vAlign w:val="center"/>
          </w:tcPr>
          <w:p w14:paraId="2623318A" w14:textId="77777777" w:rsidR="001665F1" w:rsidRDefault="00000000">
            <w:r>
              <w:rPr>
                <w:sz w:val="17"/>
              </w:rPr>
              <w:t>Incluido</w:t>
            </w:r>
          </w:p>
        </w:tc>
      </w:tr>
      <w:tr w:rsidR="001665F1" w14:paraId="072772CE" w14:textId="77777777">
        <w:trPr>
          <w:jc w:val="center"/>
        </w:trPr>
        <w:tc>
          <w:tcPr>
            <w:tcW w:w="238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AB1B7B7" w14:textId="77777777" w:rsidR="001665F1" w:rsidRDefault="00000000">
            <w:r>
              <w:rPr>
                <w:sz w:val="17"/>
              </w:rPr>
              <w:t>Keedio Data/AI Engineer</w:t>
            </w:r>
          </w:p>
        </w:tc>
        <w:tc>
          <w:tcPr>
            <w:tcW w:w="5386" w:type="dxa"/>
            <w:tcBorders>
              <w:top w:val="single" w:sz="4" w:space="0" w:color="B0B0B0"/>
              <w:left w:val="single" w:sz="4" w:space="0" w:color="B0B0B0"/>
              <w:bottom w:val="single" w:sz="4" w:space="0" w:color="B0B0B0"/>
              <w:right w:val="single" w:sz="4" w:space="0" w:color="B0B0B0"/>
            </w:tcBorders>
            <w:vAlign w:val="center"/>
          </w:tcPr>
          <w:p w14:paraId="3EE1D83F" w14:textId="77777777" w:rsidR="001665F1" w:rsidRDefault="00000000">
            <w:r>
              <w:rPr>
                <w:sz w:val="17"/>
              </w:rPr>
              <w:t>Model Gateway, RAG, metadatos, pipelines y pruebas técnicas.</w:t>
            </w:r>
          </w:p>
        </w:tc>
        <w:tc>
          <w:tcPr>
            <w:tcW w:w="1871" w:type="dxa"/>
            <w:tcBorders>
              <w:top w:val="single" w:sz="4" w:space="0" w:color="B0B0B0"/>
              <w:left w:val="single" w:sz="4" w:space="0" w:color="B0B0B0"/>
              <w:bottom w:val="single" w:sz="4" w:space="0" w:color="B0B0B0"/>
              <w:right w:val="single" w:sz="4" w:space="0" w:color="B0B0B0"/>
            </w:tcBorders>
            <w:vAlign w:val="center"/>
          </w:tcPr>
          <w:p w14:paraId="7931D0E2" w14:textId="77777777" w:rsidR="001665F1" w:rsidRDefault="00000000">
            <w:r>
              <w:rPr>
                <w:sz w:val="17"/>
              </w:rPr>
              <w:t>Incluido</w:t>
            </w:r>
          </w:p>
        </w:tc>
      </w:tr>
      <w:tr w:rsidR="001665F1" w14:paraId="26A588B9" w14:textId="77777777">
        <w:trPr>
          <w:jc w:val="center"/>
        </w:trPr>
        <w:tc>
          <w:tcPr>
            <w:tcW w:w="238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0F6BF054" w14:textId="77777777" w:rsidR="001665F1" w:rsidRDefault="00000000">
            <w:r>
              <w:rPr>
                <w:sz w:val="17"/>
              </w:rPr>
              <w:t>Keedio Infra/Sec Engineer</w:t>
            </w:r>
          </w:p>
        </w:tc>
        <w:tc>
          <w:tcPr>
            <w:tcW w:w="5386" w:type="dxa"/>
            <w:tcBorders>
              <w:top w:val="single" w:sz="4" w:space="0" w:color="B0B0B0"/>
              <w:left w:val="single" w:sz="4" w:space="0" w:color="B0B0B0"/>
              <w:bottom w:val="single" w:sz="4" w:space="0" w:color="B0B0B0"/>
              <w:right w:val="single" w:sz="4" w:space="0" w:color="B0B0B0"/>
            </w:tcBorders>
            <w:vAlign w:val="center"/>
          </w:tcPr>
          <w:p w14:paraId="3AEF6F6D" w14:textId="77777777" w:rsidR="001665F1" w:rsidRDefault="00000000">
            <w:r>
              <w:rPr>
                <w:sz w:val="17"/>
              </w:rPr>
              <w:t>Rancher/RKE2, seguridad, IaC, observabilidad, runbooks y soporte.</w:t>
            </w:r>
          </w:p>
        </w:tc>
        <w:tc>
          <w:tcPr>
            <w:tcW w:w="1871" w:type="dxa"/>
            <w:tcBorders>
              <w:top w:val="single" w:sz="4" w:space="0" w:color="B0B0B0"/>
              <w:left w:val="single" w:sz="4" w:space="0" w:color="B0B0B0"/>
              <w:bottom w:val="single" w:sz="4" w:space="0" w:color="B0B0B0"/>
              <w:right w:val="single" w:sz="4" w:space="0" w:color="B0B0B0"/>
            </w:tcBorders>
            <w:vAlign w:val="center"/>
          </w:tcPr>
          <w:p w14:paraId="0E92892F" w14:textId="77777777" w:rsidR="001665F1" w:rsidRDefault="00000000">
            <w:r>
              <w:rPr>
                <w:sz w:val="17"/>
              </w:rPr>
              <w:t>Incluido</w:t>
            </w:r>
          </w:p>
        </w:tc>
      </w:tr>
    </w:tbl>
    <w:p w14:paraId="377AE0F9" w14:textId="77777777" w:rsidR="001665F1" w:rsidRDefault="00000000">
      <w:pPr>
        <w:pStyle w:val="Ttulo1"/>
      </w:pPr>
      <w:r>
        <w:rPr>
          <w:color w:val="0A3D4A"/>
        </w:rPr>
        <w:t>10. Soporte, operación y modelo de servicio</w:t>
      </w:r>
    </w:p>
    <w:tbl>
      <w:tblPr>
        <w:tblStyle w:val="Tablaconcuadrcula"/>
        <w:tblW w:w="0" w:type="auto"/>
        <w:jc w:val="center"/>
        <w:tblLook w:val="04A0" w:firstRow="1" w:lastRow="0" w:firstColumn="1" w:lastColumn="0" w:noHBand="0" w:noVBand="1"/>
      </w:tblPr>
      <w:tblGrid>
        <w:gridCol w:w="1985"/>
        <w:gridCol w:w="2268"/>
        <w:gridCol w:w="3969"/>
        <w:gridCol w:w="1701"/>
      </w:tblGrid>
      <w:tr w:rsidR="001665F1" w14:paraId="4FC36436"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00157A0A" w14:textId="77777777" w:rsidR="001665F1" w:rsidRDefault="00000000">
            <w:r>
              <w:rPr>
                <w:b/>
                <w:color w:val="FFFFFF"/>
                <w:sz w:val="17"/>
              </w:rPr>
              <w:t>Nivel</w:t>
            </w:r>
          </w:p>
        </w:tc>
        <w:tc>
          <w:tcPr>
            <w:tcW w:w="2268"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52F79358" w14:textId="77777777" w:rsidR="001665F1" w:rsidRDefault="00000000">
            <w:r>
              <w:rPr>
                <w:b/>
                <w:color w:val="FFFFFF"/>
                <w:sz w:val="17"/>
              </w:rPr>
              <w:t>Responsable</w:t>
            </w:r>
          </w:p>
        </w:tc>
        <w:tc>
          <w:tcPr>
            <w:tcW w:w="3969"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7EDC7C45" w14:textId="77777777" w:rsidR="001665F1" w:rsidRDefault="00000000">
            <w:r>
              <w:rPr>
                <w:b/>
                <w:color w:val="FFFFFF"/>
                <w:sz w:val="17"/>
              </w:rPr>
              <w:t>Alcance</w:t>
            </w:r>
          </w:p>
        </w:tc>
        <w:tc>
          <w:tcPr>
            <w:tcW w:w="170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6B9860B8" w14:textId="77777777" w:rsidR="001665F1" w:rsidRDefault="00000000">
            <w:r>
              <w:rPr>
                <w:b/>
                <w:color w:val="FFFFFF"/>
                <w:sz w:val="17"/>
              </w:rPr>
              <w:t>Resultado</w:t>
            </w:r>
          </w:p>
        </w:tc>
      </w:tr>
      <w:tr w:rsidR="001665F1" w14:paraId="037B5F03"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15E83EB7" w14:textId="77777777" w:rsidR="001665F1" w:rsidRDefault="00000000">
            <w:r>
              <w:rPr>
                <w:sz w:val="17"/>
              </w:rPr>
              <w:t>N0 - Usuario/key user</w:t>
            </w:r>
          </w:p>
        </w:tc>
        <w:tc>
          <w:tcPr>
            <w:tcW w:w="2268" w:type="dxa"/>
            <w:tcBorders>
              <w:top w:val="single" w:sz="4" w:space="0" w:color="B0B0B0"/>
              <w:left w:val="single" w:sz="4" w:space="0" w:color="B0B0B0"/>
              <w:bottom w:val="single" w:sz="4" w:space="0" w:color="B0B0B0"/>
              <w:right w:val="single" w:sz="4" w:space="0" w:color="B0B0B0"/>
            </w:tcBorders>
            <w:vAlign w:val="center"/>
          </w:tcPr>
          <w:p w14:paraId="09BAB6D2" w14:textId="77777777" w:rsidR="001665F1" w:rsidRDefault="00000000">
            <w:r>
              <w:rPr>
                <w:sz w:val="17"/>
              </w:rPr>
              <w:t>Soliss</w:t>
            </w:r>
          </w:p>
        </w:tc>
        <w:tc>
          <w:tcPr>
            <w:tcW w:w="3969" w:type="dxa"/>
            <w:tcBorders>
              <w:top w:val="single" w:sz="4" w:space="0" w:color="B0B0B0"/>
              <w:left w:val="single" w:sz="4" w:space="0" w:color="B0B0B0"/>
              <w:bottom w:val="single" w:sz="4" w:space="0" w:color="B0B0B0"/>
              <w:right w:val="single" w:sz="4" w:space="0" w:color="B0B0B0"/>
            </w:tcBorders>
            <w:vAlign w:val="center"/>
          </w:tcPr>
          <w:p w14:paraId="5B043C93" w14:textId="77777777" w:rsidR="001665F1" w:rsidRDefault="00000000">
            <w:r>
              <w:rPr>
                <w:sz w:val="17"/>
              </w:rPr>
              <w:t>Uso funcional, dudas básicas, feedback y validación de UAT.</w:t>
            </w:r>
          </w:p>
        </w:tc>
        <w:tc>
          <w:tcPr>
            <w:tcW w:w="1701" w:type="dxa"/>
            <w:tcBorders>
              <w:top w:val="single" w:sz="4" w:space="0" w:color="B0B0B0"/>
              <w:left w:val="single" w:sz="4" w:space="0" w:color="B0B0B0"/>
              <w:bottom w:val="single" w:sz="4" w:space="0" w:color="B0B0B0"/>
              <w:right w:val="single" w:sz="4" w:space="0" w:color="B0B0B0"/>
            </w:tcBorders>
            <w:vAlign w:val="center"/>
          </w:tcPr>
          <w:p w14:paraId="4C94CCA3" w14:textId="77777777" w:rsidR="001665F1" w:rsidRDefault="00000000">
            <w:r>
              <w:rPr>
                <w:sz w:val="17"/>
              </w:rPr>
              <w:t>Adopción controlada.</w:t>
            </w:r>
          </w:p>
        </w:tc>
      </w:tr>
      <w:tr w:rsidR="001665F1" w14:paraId="4F46D404"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2EF8A8BE" w14:textId="77777777" w:rsidR="001665F1" w:rsidRDefault="00000000">
            <w:r>
              <w:rPr>
                <w:sz w:val="17"/>
              </w:rPr>
              <w:t>N1 - Operación interna</w:t>
            </w:r>
          </w:p>
        </w:tc>
        <w:tc>
          <w:tcPr>
            <w:tcW w:w="2268" w:type="dxa"/>
            <w:tcBorders>
              <w:top w:val="single" w:sz="4" w:space="0" w:color="B0B0B0"/>
              <w:left w:val="single" w:sz="4" w:space="0" w:color="B0B0B0"/>
              <w:bottom w:val="single" w:sz="4" w:space="0" w:color="B0B0B0"/>
              <w:right w:val="single" w:sz="4" w:space="0" w:color="B0B0B0"/>
            </w:tcBorders>
            <w:vAlign w:val="center"/>
          </w:tcPr>
          <w:p w14:paraId="146E52C6" w14:textId="77777777" w:rsidR="001665F1" w:rsidRDefault="00000000">
            <w:r>
              <w:rPr>
                <w:sz w:val="17"/>
              </w:rPr>
              <w:t>Soliss con transferencia Keedio</w:t>
            </w:r>
          </w:p>
        </w:tc>
        <w:tc>
          <w:tcPr>
            <w:tcW w:w="3969" w:type="dxa"/>
            <w:tcBorders>
              <w:top w:val="single" w:sz="4" w:space="0" w:color="B0B0B0"/>
              <w:left w:val="single" w:sz="4" w:space="0" w:color="B0B0B0"/>
              <w:bottom w:val="single" w:sz="4" w:space="0" w:color="B0B0B0"/>
              <w:right w:val="single" w:sz="4" w:space="0" w:color="B0B0B0"/>
            </w:tcBorders>
            <w:vAlign w:val="center"/>
          </w:tcPr>
          <w:p w14:paraId="676A2FEC" w14:textId="77777777" w:rsidR="001665F1" w:rsidRDefault="00000000">
            <w:r>
              <w:rPr>
                <w:sz w:val="17"/>
              </w:rPr>
              <w:t>Operación guiada, incidencias simples, revisión de paneles, ejecución de runbooks.</w:t>
            </w:r>
          </w:p>
        </w:tc>
        <w:tc>
          <w:tcPr>
            <w:tcW w:w="1701" w:type="dxa"/>
            <w:tcBorders>
              <w:top w:val="single" w:sz="4" w:space="0" w:color="B0B0B0"/>
              <w:left w:val="single" w:sz="4" w:space="0" w:color="B0B0B0"/>
              <w:bottom w:val="single" w:sz="4" w:space="0" w:color="B0B0B0"/>
              <w:right w:val="single" w:sz="4" w:space="0" w:color="B0B0B0"/>
            </w:tcBorders>
            <w:vAlign w:val="center"/>
          </w:tcPr>
          <w:p w14:paraId="6FBD6133" w14:textId="77777777" w:rsidR="001665F1" w:rsidRDefault="00000000">
            <w:r>
              <w:rPr>
                <w:sz w:val="17"/>
              </w:rPr>
              <w:t>Autonomía progresiva.</w:t>
            </w:r>
          </w:p>
        </w:tc>
      </w:tr>
      <w:tr w:rsidR="001665F1" w14:paraId="534D4307"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B408C45" w14:textId="77777777" w:rsidR="001665F1" w:rsidRDefault="00000000">
            <w:r>
              <w:rPr>
                <w:sz w:val="17"/>
              </w:rPr>
              <w:t>N2 - Soporte especializado</w:t>
            </w:r>
          </w:p>
        </w:tc>
        <w:tc>
          <w:tcPr>
            <w:tcW w:w="2268" w:type="dxa"/>
            <w:tcBorders>
              <w:top w:val="single" w:sz="4" w:space="0" w:color="B0B0B0"/>
              <w:left w:val="single" w:sz="4" w:space="0" w:color="B0B0B0"/>
              <w:bottom w:val="single" w:sz="4" w:space="0" w:color="B0B0B0"/>
              <w:right w:val="single" w:sz="4" w:space="0" w:color="B0B0B0"/>
            </w:tcBorders>
            <w:vAlign w:val="center"/>
          </w:tcPr>
          <w:p w14:paraId="265225B5" w14:textId="77777777" w:rsidR="001665F1" w:rsidRDefault="00000000">
            <w:r>
              <w:rPr>
                <w:sz w:val="17"/>
              </w:rPr>
              <w:t>Keedio</w:t>
            </w:r>
          </w:p>
        </w:tc>
        <w:tc>
          <w:tcPr>
            <w:tcW w:w="3969" w:type="dxa"/>
            <w:tcBorders>
              <w:top w:val="single" w:sz="4" w:space="0" w:color="B0B0B0"/>
              <w:left w:val="single" w:sz="4" w:space="0" w:color="B0B0B0"/>
              <w:bottom w:val="single" w:sz="4" w:space="0" w:color="B0B0B0"/>
              <w:right w:val="single" w:sz="4" w:space="0" w:color="B0B0B0"/>
            </w:tcBorders>
            <w:vAlign w:val="center"/>
          </w:tcPr>
          <w:p w14:paraId="387D674C" w14:textId="77777777" w:rsidR="001665F1" w:rsidRDefault="00000000">
            <w:r>
              <w:rPr>
                <w:sz w:val="17"/>
              </w:rPr>
              <w:t>Arquitectura, Kubernetes, Model Gateway, RAG, metadatos, seguridad y debugging técnico.</w:t>
            </w:r>
          </w:p>
        </w:tc>
        <w:tc>
          <w:tcPr>
            <w:tcW w:w="1701" w:type="dxa"/>
            <w:tcBorders>
              <w:top w:val="single" w:sz="4" w:space="0" w:color="B0B0B0"/>
              <w:left w:val="single" w:sz="4" w:space="0" w:color="B0B0B0"/>
              <w:bottom w:val="single" w:sz="4" w:space="0" w:color="B0B0B0"/>
              <w:right w:val="single" w:sz="4" w:space="0" w:color="B0B0B0"/>
            </w:tcBorders>
            <w:vAlign w:val="center"/>
          </w:tcPr>
          <w:p w14:paraId="3DF0A095" w14:textId="77777777" w:rsidR="001665F1" w:rsidRDefault="00000000">
            <w:r>
              <w:rPr>
                <w:sz w:val="17"/>
              </w:rPr>
              <w:t>Continuidad y reducción de riesgo.</w:t>
            </w:r>
          </w:p>
        </w:tc>
      </w:tr>
      <w:tr w:rsidR="001665F1" w14:paraId="6D72DAFF"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61147A5" w14:textId="77777777" w:rsidR="001665F1" w:rsidRDefault="00000000">
            <w:r>
              <w:rPr>
                <w:sz w:val="17"/>
              </w:rPr>
              <w:t>N3 - Fabricantes/comunidad</w:t>
            </w:r>
          </w:p>
        </w:tc>
        <w:tc>
          <w:tcPr>
            <w:tcW w:w="2268" w:type="dxa"/>
            <w:tcBorders>
              <w:top w:val="single" w:sz="4" w:space="0" w:color="B0B0B0"/>
              <w:left w:val="single" w:sz="4" w:space="0" w:color="B0B0B0"/>
              <w:bottom w:val="single" w:sz="4" w:space="0" w:color="B0B0B0"/>
              <w:right w:val="single" w:sz="4" w:space="0" w:color="B0B0B0"/>
            </w:tcBorders>
            <w:vAlign w:val="center"/>
          </w:tcPr>
          <w:p w14:paraId="6FF6788E" w14:textId="77777777" w:rsidR="001665F1" w:rsidRDefault="00000000">
            <w:r>
              <w:rPr>
                <w:sz w:val="17"/>
              </w:rPr>
              <w:t>Soliss/Keedio según contrato</w:t>
            </w:r>
          </w:p>
        </w:tc>
        <w:tc>
          <w:tcPr>
            <w:tcW w:w="3969" w:type="dxa"/>
            <w:tcBorders>
              <w:top w:val="single" w:sz="4" w:space="0" w:color="B0B0B0"/>
              <w:left w:val="single" w:sz="4" w:space="0" w:color="B0B0B0"/>
              <w:bottom w:val="single" w:sz="4" w:space="0" w:color="B0B0B0"/>
              <w:right w:val="single" w:sz="4" w:space="0" w:color="B0B0B0"/>
            </w:tcBorders>
            <w:vAlign w:val="center"/>
          </w:tcPr>
          <w:p w14:paraId="5D7BC3D7" w14:textId="77777777" w:rsidR="001665F1" w:rsidRDefault="00000000">
            <w:r>
              <w:rPr>
                <w:sz w:val="17"/>
              </w:rPr>
              <w:t>Rancher Prime/SUSE si se activa, soporte hardware, red, almacenamiento, backup.</w:t>
            </w:r>
          </w:p>
        </w:tc>
        <w:tc>
          <w:tcPr>
            <w:tcW w:w="1701" w:type="dxa"/>
            <w:tcBorders>
              <w:top w:val="single" w:sz="4" w:space="0" w:color="B0B0B0"/>
              <w:left w:val="single" w:sz="4" w:space="0" w:color="B0B0B0"/>
              <w:bottom w:val="single" w:sz="4" w:space="0" w:color="B0B0B0"/>
              <w:right w:val="single" w:sz="4" w:space="0" w:color="B0B0B0"/>
            </w:tcBorders>
            <w:vAlign w:val="center"/>
          </w:tcPr>
          <w:p w14:paraId="7014EA71" w14:textId="77777777" w:rsidR="001665F1" w:rsidRDefault="00000000">
            <w:r>
              <w:rPr>
                <w:sz w:val="17"/>
              </w:rPr>
              <w:t>SLA externo si Soliss lo contrata.</w:t>
            </w:r>
          </w:p>
        </w:tc>
      </w:tr>
    </w:tbl>
    <w:p w14:paraId="6A4862D8" w14:textId="77777777" w:rsidR="001665F1" w:rsidRDefault="00000000">
      <w:pPr>
        <w:pStyle w:val="Ttulo1"/>
      </w:pPr>
      <w:r>
        <w:rPr>
          <w:color w:val="0A3D4A"/>
        </w:rPr>
        <w:t>11. Matriz de riesgos y controles de cierre</w:t>
      </w:r>
    </w:p>
    <w:p w14:paraId="7604DC32" w14:textId="77777777" w:rsidR="001665F1" w:rsidRDefault="00000000">
      <w:r>
        <w:t>No existe un proyecto sin riesgo. El cierre consiste en que cada riesgo esté identificado, mitigado, asignado y validado por gate. Esta matriz debe revisarse en cada comité.</w:t>
      </w:r>
    </w:p>
    <w:tbl>
      <w:tblPr>
        <w:tblStyle w:val="Tablaconcuadrcula"/>
        <w:tblW w:w="0" w:type="auto"/>
        <w:jc w:val="center"/>
        <w:tblLook w:val="04A0" w:firstRow="1" w:lastRow="0" w:firstColumn="1" w:lastColumn="0" w:noHBand="0" w:noVBand="1"/>
      </w:tblPr>
      <w:tblGrid>
        <w:gridCol w:w="680"/>
        <w:gridCol w:w="2268"/>
        <w:gridCol w:w="1134"/>
        <w:gridCol w:w="3969"/>
        <w:gridCol w:w="1701"/>
      </w:tblGrid>
      <w:tr w:rsidR="001665F1" w14:paraId="582B8516"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3380614D" w14:textId="77777777" w:rsidR="001665F1" w:rsidRDefault="00000000">
            <w:r>
              <w:rPr>
                <w:b/>
                <w:color w:val="FFFFFF"/>
                <w:sz w:val="15"/>
              </w:rPr>
              <w:t>ID</w:t>
            </w:r>
          </w:p>
        </w:tc>
        <w:tc>
          <w:tcPr>
            <w:tcW w:w="2268"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5F21999E" w14:textId="77777777" w:rsidR="001665F1" w:rsidRDefault="00000000">
            <w:r>
              <w:rPr>
                <w:b/>
                <w:color w:val="FFFFFF"/>
                <w:sz w:val="15"/>
              </w:rPr>
              <w:t>Riesgo</w:t>
            </w:r>
          </w:p>
        </w:tc>
        <w:tc>
          <w:tcPr>
            <w:tcW w:w="1134"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270F29A7" w14:textId="77777777" w:rsidR="001665F1" w:rsidRDefault="00000000">
            <w:r>
              <w:rPr>
                <w:b/>
                <w:color w:val="FFFFFF"/>
                <w:sz w:val="15"/>
              </w:rPr>
              <w:t>Criticidad</w:t>
            </w:r>
          </w:p>
        </w:tc>
        <w:tc>
          <w:tcPr>
            <w:tcW w:w="3969"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0BBDAAB0" w14:textId="77777777" w:rsidR="001665F1" w:rsidRDefault="00000000">
            <w:r>
              <w:rPr>
                <w:b/>
                <w:color w:val="FFFFFF"/>
                <w:sz w:val="15"/>
              </w:rPr>
              <w:t>Control de cierre</w:t>
            </w:r>
          </w:p>
        </w:tc>
        <w:tc>
          <w:tcPr>
            <w:tcW w:w="170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0649CC33" w14:textId="77777777" w:rsidR="001665F1" w:rsidRDefault="00000000">
            <w:r>
              <w:rPr>
                <w:b/>
                <w:color w:val="FFFFFF"/>
                <w:sz w:val="15"/>
              </w:rPr>
              <w:t>Responsable</w:t>
            </w:r>
          </w:p>
        </w:tc>
      </w:tr>
      <w:tr w:rsidR="001665F1" w14:paraId="45524F8F"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189D7E8D" w14:textId="77777777" w:rsidR="001665F1" w:rsidRDefault="00000000">
            <w:r>
              <w:rPr>
                <w:sz w:val="15"/>
              </w:rPr>
              <w:t>R1</w:t>
            </w:r>
          </w:p>
        </w:tc>
        <w:tc>
          <w:tcPr>
            <w:tcW w:w="2268" w:type="dxa"/>
            <w:tcBorders>
              <w:top w:val="single" w:sz="4" w:space="0" w:color="B0B0B0"/>
              <w:left w:val="single" w:sz="4" w:space="0" w:color="B0B0B0"/>
              <w:bottom w:val="single" w:sz="4" w:space="0" w:color="B0B0B0"/>
              <w:right w:val="single" w:sz="4" w:space="0" w:color="B0B0B0"/>
            </w:tcBorders>
            <w:vAlign w:val="center"/>
          </w:tcPr>
          <w:p w14:paraId="6D0CADBA" w14:textId="77777777" w:rsidR="001665F1" w:rsidRDefault="00000000">
            <w:r>
              <w:rPr>
                <w:sz w:val="15"/>
              </w:rPr>
              <w:t>Infraestructura insuficiente o compra no alineada</w:t>
            </w:r>
          </w:p>
        </w:tc>
        <w:tc>
          <w:tcPr>
            <w:tcW w:w="1134" w:type="dxa"/>
            <w:tcBorders>
              <w:top w:val="single" w:sz="4" w:space="0" w:color="B0B0B0"/>
              <w:left w:val="single" w:sz="4" w:space="0" w:color="B0B0B0"/>
              <w:bottom w:val="single" w:sz="4" w:space="0" w:color="B0B0B0"/>
              <w:right w:val="single" w:sz="4" w:space="0" w:color="B0B0B0"/>
            </w:tcBorders>
            <w:vAlign w:val="center"/>
          </w:tcPr>
          <w:p w14:paraId="1A71B5DA" w14:textId="77777777" w:rsidR="001665F1" w:rsidRDefault="00000000">
            <w:r>
              <w:rPr>
                <w:sz w:val="15"/>
              </w:rPr>
              <w:t>Alto</w:t>
            </w:r>
          </w:p>
        </w:tc>
        <w:tc>
          <w:tcPr>
            <w:tcW w:w="3969" w:type="dxa"/>
            <w:tcBorders>
              <w:top w:val="single" w:sz="4" w:space="0" w:color="B0B0B0"/>
              <w:left w:val="single" w:sz="4" w:space="0" w:color="B0B0B0"/>
              <w:bottom w:val="single" w:sz="4" w:space="0" w:color="B0B0B0"/>
              <w:right w:val="single" w:sz="4" w:space="0" w:color="B0B0B0"/>
            </w:tcBorders>
            <w:vAlign w:val="center"/>
          </w:tcPr>
          <w:p w14:paraId="175A3AA6" w14:textId="77777777" w:rsidR="001665F1" w:rsidRDefault="00000000">
            <w:r>
              <w:rPr>
                <w:sz w:val="15"/>
              </w:rPr>
              <w:t>Sizing formal, opción mínima/base/objetivo, validación IT, gate G2 antes de compra.</w:t>
            </w:r>
          </w:p>
        </w:tc>
        <w:tc>
          <w:tcPr>
            <w:tcW w:w="1701" w:type="dxa"/>
            <w:tcBorders>
              <w:top w:val="single" w:sz="4" w:space="0" w:color="B0B0B0"/>
              <w:left w:val="single" w:sz="4" w:space="0" w:color="B0B0B0"/>
              <w:bottom w:val="single" w:sz="4" w:space="0" w:color="B0B0B0"/>
              <w:right w:val="single" w:sz="4" w:space="0" w:color="B0B0B0"/>
            </w:tcBorders>
            <w:vAlign w:val="center"/>
          </w:tcPr>
          <w:p w14:paraId="7B88AC98" w14:textId="77777777" w:rsidR="001665F1" w:rsidRDefault="00000000">
            <w:r>
              <w:rPr>
                <w:sz w:val="15"/>
              </w:rPr>
              <w:t>Soliss + Keedio</w:t>
            </w:r>
          </w:p>
        </w:tc>
      </w:tr>
      <w:tr w:rsidR="001665F1" w14:paraId="48B83628"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01C30309" w14:textId="77777777" w:rsidR="001665F1" w:rsidRDefault="00000000">
            <w:r>
              <w:rPr>
                <w:sz w:val="15"/>
              </w:rPr>
              <w:t>R2</w:t>
            </w:r>
          </w:p>
        </w:tc>
        <w:tc>
          <w:tcPr>
            <w:tcW w:w="2268" w:type="dxa"/>
            <w:tcBorders>
              <w:top w:val="single" w:sz="4" w:space="0" w:color="B0B0B0"/>
              <w:left w:val="single" w:sz="4" w:space="0" w:color="B0B0B0"/>
              <w:bottom w:val="single" w:sz="4" w:space="0" w:color="B0B0B0"/>
              <w:right w:val="single" w:sz="4" w:space="0" w:color="B0B0B0"/>
            </w:tcBorders>
            <w:vAlign w:val="center"/>
          </w:tcPr>
          <w:p w14:paraId="31581AD4" w14:textId="77777777" w:rsidR="001665F1" w:rsidRDefault="00000000">
            <w:r>
              <w:rPr>
                <w:sz w:val="15"/>
              </w:rPr>
              <w:t>Gravitino inmaduro para producción regulada</w:t>
            </w:r>
          </w:p>
        </w:tc>
        <w:tc>
          <w:tcPr>
            <w:tcW w:w="1134" w:type="dxa"/>
            <w:tcBorders>
              <w:top w:val="single" w:sz="4" w:space="0" w:color="B0B0B0"/>
              <w:left w:val="single" w:sz="4" w:space="0" w:color="B0B0B0"/>
              <w:bottom w:val="single" w:sz="4" w:space="0" w:color="B0B0B0"/>
              <w:right w:val="single" w:sz="4" w:space="0" w:color="B0B0B0"/>
            </w:tcBorders>
            <w:vAlign w:val="center"/>
          </w:tcPr>
          <w:p w14:paraId="1C0A1774" w14:textId="77777777" w:rsidR="001665F1" w:rsidRDefault="00000000">
            <w:r>
              <w:rPr>
                <w:sz w:val="15"/>
              </w:rPr>
              <w:t>Medio</w:t>
            </w:r>
          </w:p>
        </w:tc>
        <w:tc>
          <w:tcPr>
            <w:tcW w:w="3969" w:type="dxa"/>
            <w:tcBorders>
              <w:top w:val="single" w:sz="4" w:space="0" w:color="B0B0B0"/>
              <w:left w:val="single" w:sz="4" w:space="0" w:color="B0B0B0"/>
              <w:bottom w:val="single" w:sz="4" w:space="0" w:color="B0B0B0"/>
              <w:right w:val="single" w:sz="4" w:space="0" w:color="B0B0B0"/>
            </w:tcBorders>
            <w:vAlign w:val="center"/>
          </w:tcPr>
          <w:p w14:paraId="4A327EDA" w14:textId="77777777" w:rsidR="001665F1" w:rsidRDefault="00000000">
            <w:r>
              <w:rPr>
                <w:sz w:val="15"/>
              </w:rPr>
              <w:t>PoC sandbox no bloqueante, Go/No-Go documentado, no dependencia crítica inicial.</w:t>
            </w:r>
          </w:p>
        </w:tc>
        <w:tc>
          <w:tcPr>
            <w:tcW w:w="1701" w:type="dxa"/>
            <w:tcBorders>
              <w:top w:val="single" w:sz="4" w:space="0" w:color="B0B0B0"/>
              <w:left w:val="single" w:sz="4" w:space="0" w:color="B0B0B0"/>
              <w:bottom w:val="single" w:sz="4" w:space="0" w:color="B0B0B0"/>
              <w:right w:val="single" w:sz="4" w:space="0" w:color="B0B0B0"/>
            </w:tcBorders>
            <w:vAlign w:val="center"/>
          </w:tcPr>
          <w:p w14:paraId="0E395680" w14:textId="77777777" w:rsidR="001665F1" w:rsidRDefault="00000000">
            <w:r>
              <w:rPr>
                <w:sz w:val="15"/>
              </w:rPr>
              <w:t>Keedio</w:t>
            </w:r>
          </w:p>
        </w:tc>
      </w:tr>
      <w:tr w:rsidR="001665F1" w14:paraId="04AC5541"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E026536" w14:textId="77777777" w:rsidR="001665F1" w:rsidRDefault="00000000">
            <w:r>
              <w:rPr>
                <w:sz w:val="15"/>
              </w:rPr>
              <w:t>R3</w:t>
            </w:r>
          </w:p>
        </w:tc>
        <w:tc>
          <w:tcPr>
            <w:tcW w:w="2268" w:type="dxa"/>
            <w:tcBorders>
              <w:top w:val="single" w:sz="4" w:space="0" w:color="B0B0B0"/>
              <w:left w:val="single" w:sz="4" w:space="0" w:color="B0B0B0"/>
              <w:bottom w:val="single" w:sz="4" w:space="0" w:color="B0B0B0"/>
              <w:right w:val="single" w:sz="4" w:space="0" w:color="B0B0B0"/>
            </w:tcBorders>
            <w:vAlign w:val="center"/>
          </w:tcPr>
          <w:p w14:paraId="1CF1A9CD" w14:textId="77777777" w:rsidR="001665F1" w:rsidRDefault="00000000">
            <w:r>
              <w:rPr>
                <w:sz w:val="15"/>
              </w:rPr>
              <w:t>Exposición de datos personales o sensibles</w:t>
            </w:r>
          </w:p>
        </w:tc>
        <w:tc>
          <w:tcPr>
            <w:tcW w:w="1134" w:type="dxa"/>
            <w:tcBorders>
              <w:top w:val="single" w:sz="4" w:space="0" w:color="B0B0B0"/>
              <w:left w:val="single" w:sz="4" w:space="0" w:color="B0B0B0"/>
              <w:bottom w:val="single" w:sz="4" w:space="0" w:color="B0B0B0"/>
              <w:right w:val="single" w:sz="4" w:space="0" w:color="B0B0B0"/>
            </w:tcBorders>
            <w:vAlign w:val="center"/>
          </w:tcPr>
          <w:p w14:paraId="7E0BE780" w14:textId="77777777" w:rsidR="001665F1" w:rsidRDefault="00000000">
            <w:r>
              <w:rPr>
                <w:sz w:val="15"/>
              </w:rPr>
              <w:t>Alto</w:t>
            </w:r>
          </w:p>
        </w:tc>
        <w:tc>
          <w:tcPr>
            <w:tcW w:w="3969" w:type="dxa"/>
            <w:tcBorders>
              <w:top w:val="single" w:sz="4" w:space="0" w:color="B0B0B0"/>
              <w:left w:val="single" w:sz="4" w:space="0" w:color="B0B0B0"/>
              <w:bottom w:val="single" w:sz="4" w:space="0" w:color="B0B0B0"/>
              <w:right w:val="single" w:sz="4" w:space="0" w:color="B0B0B0"/>
            </w:tcBorders>
            <w:vAlign w:val="center"/>
          </w:tcPr>
          <w:p w14:paraId="29BD0506" w14:textId="77777777" w:rsidR="001665F1" w:rsidRDefault="00000000">
            <w:r>
              <w:rPr>
                <w:sz w:val="15"/>
              </w:rPr>
              <w:t>Local-first, RBAC/ABAC, Keycloak, metadatos de sensibilidad, auditoría y human-in-the-loop.</w:t>
            </w:r>
          </w:p>
        </w:tc>
        <w:tc>
          <w:tcPr>
            <w:tcW w:w="1701" w:type="dxa"/>
            <w:tcBorders>
              <w:top w:val="single" w:sz="4" w:space="0" w:color="B0B0B0"/>
              <w:left w:val="single" w:sz="4" w:space="0" w:color="B0B0B0"/>
              <w:bottom w:val="single" w:sz="4" w:space="0" w:color="B0B0B0"/>
              <w:right w:val="single" w:sz="4" w:space="0" w:color="B0B0B0"/>
            </w:tcBorders>
            <w:vAlign w:val="center"/>
          </w:tcPr>
          <w:p w14:paraId="537683D5" w14:textId="77777777" w:rsidR="001665F1" w:rsidRDefault="00000000">
            <w:r>
              <w:rPr>
                <w:sz w:val="15"/>
              </w:rPr>
              <w:t>Soliss + Keedio</w:t>
            </w:r>
          </w:p>
        </w:tc>
      </w:tr>
      <w:tr w:rsidR="001665F1" w14:paraId="7E23BB59"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24F4E0B" w14:textId="77777777" w:rsidR="001665F1" w:rsidRDefault="00000000">
            <w:r>
              <w:rPr>
                <w:sz w:val="15"/>
              </w:rPr>
              <w:t>R4</w:t>
            </w:r>
          </w:p>
        </w:tc>
        <w:tc>
          <w:tcPr>
            <w:tcW w:w="2268" w:type="dxa"/>
            <w:tcBorders>
              <w:top w:val="single" w:sz="4" w:space="0" w:color="B0B0B0"/>
              <w:left w:val="single" w:sz="4" w:space="0" w:color="B0B0B0"/>
              <w:bottom w:val="single" w:sz="4" w:space="0" w:color="B0B0B0"/>
              <w:right w:val="single" w:sz="4" w:space="0" w:color="B0B0B0"/>
            </w:tcBorders>
            <w:vAlign w:val="center"/>
          </w:tcPr>
          <w:p w14:paraId="1771D504" w14:textId="77777777" w:rsidR="001665F1" w:rsidRDefault="00000000">
            <w:r>
              <w:rPr>
                <w:sz w:val="15"/>
              </w:rPr>
              <w:t>Shadow AI y costes no controlados</w:t>
            </w:r>
          </w:p>
        </w:tc>
        <w:tc>
          <w:tcPr>
            <w:tcW w:w="1134" w:type="dxa"/>
            <w:tcBorders>
              <w:top w:val="single" w:sz="4" w:space="0" w:color="B0B0B0"/>
              <w:left w:val="single" w:sz="4" w:space="0" w:color="B0B0B0"/>
              <w:bottom w:val="single" w:sz="4" w:space="0" w:color="B0B0B0"/>
              <w:right w:val="single" w:sz="4" w:space="0" w:color="B0B0B0"/>
            </w:tcBorders>
            <w:vAlign w:val="center"/>
          </w:tcPr>
          <w:p w14:paraId="0505A5D7" w14:textId="77777777" w:rsidR="001665F1" w:rsidRDefault="00000000">
            <w:r>
              <w:rPr>
                <w:sz w:val="15"/>
              </w:rPr>
              <w:t>Alto</w:t>
            </w:r>
          </w:p>
        </w:tc>
        <w:tc>
          <w:tcPr>
            <w:tcW w:w="3969" w:type="dxa"/>
            <w:tcBorders>
              <w:top w:val="single" w:sz="4" w:space="0" w:color="B0B0B0"/>
              <w:left w:val="single" w:sz="4" w:space="0" w:color="B0B0B0"/>
              <w:bottom w:val="single" w:sz="4" w:space="0" w:color="B0B0B0"/>
              <w:right w:val="single" w:sz="4" w:space="0" w:color="B0B0B0"/>
            </w:tcBorders>
            <w:vAlign w:val="center"/>
          </w:tcPr>
          <w:p w14:paraId="44B7E31A" w14:textId="77777777" w:rsidR="001665F1" w:rsidRDefault="00000000">
            <w:r>
              <w:rPr>
                <w:sz w:val="15"/>
              </w:rPr>
              <w:t>Model Gateway único, cuotas, logging, caché, fallback aprobado y FinOps IA.</w:t>
            </w:r>
          </w:p>
        </w:tc>
        <w:tc>
          <w:tcPr>
            <w:tcW w:w="1701" w:type="dxa"/>
            <w:tcBorders>
              <w:top w:val="single" w:sz="4" w:space="0" w:color="B0B0B0"/>
              <w:left w:val="single" w:sz="4" w:space="0" w:color="B0B0B0"/>
              <w:bottom w:val="single" w:sz="4" w:space="0" w:color="B0B0B0"/>
              <w:right w:val="single" w:sz="4" w:space="0" w:color="B0B0B0"/>
            </w:tcBorders>
            <w:vAlign w:val="center"/>
          </w:tcPr>
          <w:p w14:paraId="5D90268C" w14:textId="77777777" w:rsidR="001665F1" w:rsidRDefault="00000000">
            <w:r>
              <w:rPr>
                <w:sz w:val="15"/>
              </w:rPr>
              <w:t>Keedio</w:t>
            </w:r>
          </w:p>
        </w:tc>
      </w:tr>
      <w:tr w:rsidR="001665F1" w14:paraId="50CA25E9"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3BD73427" w14:textId="77777777" w:rsidR="001665F1" w:rsidRDefault="00000000">
            <w:r>
              <w:rPr>
                <w:sz w:val="15"/>
              </w:rPr>
              <w:t>R5</w:t>
            </w:r>
          </w:p>
        </w:tc>
        <w:tc>
          <w:tcPr>
            <w:tcW w:w="2268" w:type="dxa"/>
            <w:tcBorders>
              <w:top w:val="single" w:sz="4" w:space="0" w:color="B0B0B0"/>
              <w:left w:val="single" w:sz="4" w:space="0" w:color="B0B0B0"/>
              <w:bottom w:val="single" w:sz="4" w:space="0" w:color="B0B0B0"/>
              <w:right w:val="single" w:sz="4" w:space="0" w:color="B0B0B0"/>
            </w:tcBorders>
            <w:vAlign w:val="center"/>
          </w:tcPr>
          <w:p w14:paraId="49F88885" w14:textId="77777777" w:rsidR="001665F1" w:rsidRDefault="00000000">
            <w:r>
              <w:rPr>
                <w:sz w:val="15"/>
              </w:rPr>
              <w:t>Baja adopción por usuarios o áreas de negocio</w:t>
            </w:r>
          </w:p>
        </w:tc>
        <w:tc>
          <w:tcPr>
            <w:tcW w:w="1134" w:type="dxa"/>
            <w:tcBorders>
              <w:top w:val="single" w:sz="4" w:space="0" w:color="B0B0B0"/>
              <w:left w:val="single" w:sz="4" w:space="0" w:color="B0B0B0"/>
              <w:bottom w:val="single" w:sz="4" w:space="0" w:color="B0B0B0"/>
              <w:right w:val="single" w:sz="4" w:space="0" w:color="B0B0B0"/>
            </w:tcBorders>
            <w:vAlign w:val="center"/>
          </w:tcPr>
          <w:p w14:paraId="5E9A33AD" w14:textId="77777777" w:rsidR="001665F1" w:rsidRDefault="00000000">
            <w:r>
              <w:rPr>
                <w:sz w:val="15"/>
              </w:rPr>
              <w:t>Medio</w:t>
            </w:r>
          </w:p>
        </w:tc>
        <w:tc>
          <w:tcPr>
            <w:tcW w:w="3969" w:type="dxa"/>
            <w:tcBorders>
              <w:top w:val="single" w:sz="4" w:space="0" w:color="B0B0B0"/>
              <w:left w:val="single" w:sz="4" w:space="0" w:color="B0B0B0"/>
              <w:bottom w:val="single" w:sz="4" w:space="0" w:color="B0B0B0"/>
              <w:right w:val="single" w:sz="4" w:space="0" w:color="B0B0B0"/>
            </w:tcBorders>
            <w:vAlign w:val="center"/>
          </w:tcPr>
          <w:p w14:paraId="5CBD5A20" w14:textId="77777777" w:rsidR="001665F1" w:rsidRDefault="00000000">
            <w:r>
              <w:rPr>
                <w:sz w:val="15"/>
              </w:rPr>
              <w:t>Gestión del cambio, champions, formación, UAT, manuales y soporte N1/N2.</w:t>
            </w:r>
          </w:p>
        </w:tc>
        <w:tc>
          <w:tcPr>
            <w:tcW w:w="1701" w:type="dxa"/>
            <w:tcBorders>
              <w:top w:val="single" w:sz="4" w:space="0" w:color="B0B0B0"/>
              <w:left w:val="single" w:sz="4" w:space="0" w:color="B0B0B0"/>
              <w:bottom w:val="single" w:sz="4" w:space="0" w:color="B0B0B0"/>
              <w:right w:val="single" w:sz="4" w:space="0" w:color="B0B0B0"/>
            </w:tcBorders>
            <w:vAlign w:val="center"/>
          </w:tcPr>
          <w:p w14:paraId="67375524" w14:textId="77777777" w:rsidR="001665F1" w:rsidRDefault="00000000">
            <w:r>
              <w:rPr>
                <w:sz w:val="15"/>
              </w:rPr>
              <w:t>Soliss</w:t>
            </w:r>
          </w:p>
        </w:tc>
      </w:tr>
      <w:tr w:rsidR="001665F1" w14:paraId="1C5E72D5"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61D41B2" w14:textId="77777777" w:rsidR="001665F1" w:rsidRDefault="00000000">
            <w:r>
              <w:rPr>
                <w:sz w:val="15"/>
              </w:rPr>
              <w:t>R6</w:t>
            </w:r>
          </w:p>
        </w:tc>
        <w:tc>
          <w:tcPr>
            <w:tcW w:w="2268" w:type="dxa"/>
            <w:tcBorders>
              <w:top w:val="single" w:sz="4" w:space="0" w:color="B0B0B0"/>
              <w:left w:val="single" w:sz="4" w:space="0" w:color="B0B0B0"/>
              <w:bottom w:val="single" w:sz="4" w:space="0" w:color="B0B0B0"/>
              <w:right w:val="single" w:sz="4" w:space="0" w:color="B0B0B0"/>
            </w:tcBorders>
            <w:vAlign w:val="center"/>
          </w:tcPr>
          <w:p w14:paraId="5B6E32A3" w14:textId="77777777" w:rsidR="001665F1" w:rsidRDefault="00000000">
            <w:r>
              <w:rPr>
                <w:sz w:val="15"/>
              </w:rPr>
              <w:t>Operación difícil tras la entrega</w:t>
            </w:r>
          </w:p>
        </w:tc>
        <w:tc>
          <w:tcPr>
            <w:tcW w:w="1134" w:type="dxa"/>
            <w:tcBorders>
              <w:top w:val="single" w:sz="4" w:space="0" w:color="B0B0B0"/>
              <w:left w:val="single" w:sz="4" w:space="0" w:color="B0B0B0"/>
              <w:bottom w:val="single" w:sz="4" w:space="0" w:color="B0B0B0"/>
              <w:right w:val="single" w:sz="4" w:space="0" w:color="B0B0B0"/>
            </w:tcBorders>
            <w:vAlign w:val="center"/>
          </w:tcPr>
          <w:p w14:paraId="2D99837D" w14:textId="77777777" w:rsidR="001665F1" w:rsidRDefault="00000000">
            <w:r>
              <w:rPr>
                <w:sz w:val="15"/>
              </w:rPr>
              <w:t>Medio</w:t>
            </w:r>
          </w:p>
        </w:tc>
        <w:tc>
          <w:tcPr>
            <w:tcW w:w="3969" w:type="dxa"/>
            <w:tcBorders>
              <w:top w:val="single" w:sz="4" w:space="0" w:color="B0B0B0"/>
              <w:left w:val="single" w:sz="4" w:space="0" w:color="B0B0B0"/>
              <w:bottom w:val="single" w:sz="4" w:space="0" w:color="B0B0B0"/>
              <w:right w:val="single" w:sz="4" w:space="0" w:color="B0B0B0"/>
            </w:tcBorders>
            <w:vAlign w:val="center"/>
          </w:tcPr>
          <w:p w14:paraId="755617F1" w14:textId="77777777" w:rsidR="001665F1" w:rsidRDefault="00000000">
            <w:r>
              <w:rPr>
                <w:sz w:val="15"/>
              </w:rPr>
              <w:t>Runbooks, IaC, sesiones de transferencia, soporte co-gestionado y matriz RACI.</w:t>
            </w:r>
          </w:p>
        </w:tc>
        <w:tc>
          <w:tcPr>
            <w:tcW w:w="1701" w:type="dxa"/>
            <w:tcBorders>
              <w:top w:val="single" w:sz="4" w:space="0" w:color="B0B0B0"/>
              <w:left w:val="single" w:sz="4" w:space="0" w:color="B0B0B0"/>
              <w:bottom w:val="single" w:sz="4" w:space="0" w:color="B0B0B0"/>
              <w:right w:val="single" w:sz="4" w:space="0" w:color="B0B0B0"/>
            </w:tcBorders>
            <w:vAlign w:val="center"/>
          </w:tcPr>
          <w:p w14:paraId="02E167F9" w14:textId="77777777" w:rsidR="001665F1" w:rsidRDefault="00000000">
            <w:r>
              <w:rPr>
                <w:sz w:val="15"/>
              </w:rPr>
              <w:t>Keedio + Soliss</w:t>
            </w:r>
          </w:p>
        </w:tc>
      </w:tr>
      <w:tr w:rsidR="001665F1" w14:paraId="34781BA4"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E6811C5" w14:textId="77777777" w:rsidR="001665F1" w:rsidRDefault="00000000">
            <w:r>
              <w:rPr>
                <w:sz w:val="15"/>
              </w:rPr>
              <w:lastRenderedPageBreak/>
              <w:t>R7</w:t>
            </w:r>
          </w:p>
        </w:tc>
        <w:tc>
          <w:tcPr>
            <w:tcW w:w="2268" w:type="dxa"/>
            <w:tcBorders>
              <w:top w:val="single" w:sz="4" w:space="0" w:color="B0B0B0"/>
              <w:left w:val="single" w:sz="4" w:space="0" w:color="B0B0B0"/>
              <w:bottom w:val="single" w:sz="4" w:space="0" w:color="B0B0B0"/>
              <w:right w:val="single" w:sz="4" w:space="0" w:color="B0B0B0"/>
            </w:tcBorders>
            <w:vAlign w:val="center"/>
          </w:tcPr>
          <w:p w14:paraId="297EB2D8" w14:textId="77777777" w:rsidR="001665F1" w:rsidRDefault="00000000">
            <w:r>
              <w:rPr>
                <w:sz w:val="15"/>
              </w:rPr>
              <w:t>No conformidad DORA/AI Act</w:t>
            </w:r>
          </w:p>
        </w:tc>
        <w:tc>
          <w:tcPr>
            <w:tcW w:w="1134" w:type="dxa"/>
            <w:tcBorders>
              <w:top w:val="single" w:sz="4" w:space="0" w:color="B0B0B0"/>
              <w:left w:val="single" w:sz="4" w:space="0" w:color="B0B0B0"/>
              <w:bottom w:val="single" w:sz="4" w:space="0" w:color="B0B0B0"/>
              <w:right w:val="single" w:sz="4" w:space="0" w:color="B0B0B0"/>
            </w:tcBorders>
            <w:vAlign w:val="center"/>
          </w:tcPr>
          <w:p w14:paraId="7C9FE11B" w14:textId="77777777" w:rsidR="001665F1" w:rsidRDefault="00000000">
            <w:r>
              <w:rPr>
                <w:sz w:val="15"/>
              </w:rPr>
              <w:t>Alto</w:t>
            </w:r>
          </w:p>
        </w:tc>
        <w:tc>
          <w:tcPr>
            <w:tcW w:w="3969" w:type="dxa"/>
            <w:tcBorders>
              <w:top w:val="single" w:sz="4" w:space="0" w:color="B0B0B0"/>
              <w:left w:val="single" w:sz="4" w:space="0" w:color="B0B0B0"/>
              <w:bottom w:val="single" w:sz="4" w:space="0" w:color="B0B0B0"/>
              <w:right w:val="single" w:sz="4" w:space="0" w:color="B0B0B0"/>
            </w:tcBorders>
            <w:vAlign w:val="center"/>
          </w:tcPr>
          <w:p w14:paraId="1C8BC471" w14:textId="77777777" w:rsidR="001665F1" w:rsidRDefault="00000000">
            <w:r>
              <w:rPr>
                <w:sz w:val="15"/>
              </w:rPr>
              <w:t>Compliance-by-design, registro de componentes, controles, logs, pruebas y evidencias.</w:t>
            </w:r>
          </w:p>
        </w:tc>
        <w:tc>
          <w:tcPr>
            <w:tcW w:w="1701" w:type="dxa"/>
            <w:tcBorders>
              <w:top w:val="single" w:sz="4" w:space="0" w:color="B0B0B0"/>
              <w:left w:val="single" w:sz="4" w:space="0" w:color="B0B0B0"/>
              <w:bottom w:val="single" w:sz="4" w:space="0" w:color="B0B0B0"/>
              <w:right w:val="single" w:sz="4" w:space="0" w:color="B0B0B0"/>
            </w:tcBorders>
            <w:vAlign w:val="center"/>
          </w:tcPr>
          <w:p w14:paraId="38FBF1CD" w14:textId="77777777" w:rsidR="001665F1" w:rsidRDefault="00000000">
            <w:r>
              <w:rPr>
                <w:sz w:val="15"/>
              </w:rPr>
              <w:t>Soliss + Keedio</w:t>
            </w:r>
          </w:p>
        </w:tc>
      </w:tr>
      <w:tr w:rsidR="001665F1" w14:paraId="5A964F7D" w14:textId="77777777">
        <w:trPr>
          <w:jc w:val="center"/>
        </w:trPr>
        <w:tc>
          <w:tcPr>
            <w:tcW w:w="680"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EC93811" w14:textId="77777777" w:rsidR="001665F1" w:rsidRDefault="00000000">
            <w:r>
              <w:rPr>
                <w:sz w:val="15"/>
              </w:rPr>
              <w:t>R8</w:t>
            </w:r>
          </w:p>
        </w:tc>
        <w:tc>
          <w:tcPr>
            <w:tcW w:w="2268" w:type="dxa"/>
            <w:tcBorders>
              <w:top w:val="single" w:sz="4" w:space="0" w:color="B0B0B0"/>
              <w:left w:val="single" w:sz="4" w:space="0" w:color="B0B0B0"/>
              <w:bottom w:val="single" w:sz="4" w:space="0" w:color="B0B0B0"/>
              <w:right w:val="single" w:sz="4" w:space="0" w:color="B0B0B0"/>
            </w:tcBorders>
            <w:vAlign w:val="center"/>
          </w:tcPr>
          <w:p w14:paraId="0878EE0C" w14:textId="77777777" w:rsidR="001665F1" w:rsidRDefault="00000000">
            <w:r>
              <w:rPr>
                <w:sz w:val="15"/>
              </w:rPr>
              <w:t>Dependencia excesiva de proveedor</w:t>
            </w:r>
          </w:p>
        </w:tc>
        <w:tc>
          <w:tcPr>
            <w:tcW w:w="1134" w:type="dxa"/>
            <w:tcBorders>
              <w:top w:val="single" w:sz="4" w:space="0" w:color="B0B0B0"/>
              <w:left w:val="single" w:sz="4" w:space="0" w:color="B0B0B0"/>
              <w:bottom w:val="single" w:sz="4" w:space="0" w:color="B0B0B0"/>
              <w:right w:val="single" w:sz="4" w:space="0" w:color="B0B0B0"/>
            </w:tcBorders>
            <w:vAlign w:val="center"/>
          </w:tcPr>
          <w:p w14:paraId="2250FE3B" w14:textId="77777777" w:rsidR="001665F1" w:rsidRDefault="00000000">
            <w:r>
              <w:rPr>
                <w:sz w:val="15"/>
              </w:rPr>
              <w:t>Medio</w:t>
            </w:r>
          </w:p>
        </w:tc>
        <w:tc>
          <w:tcPr>
            <w:tcW w:w="3969" w:type="dxa"/>
            <w:tcBorders>
              <w:top w:val="single" w:sz="4" w:space="0" w:color="B0B0B0"/>
              <w:left w:val="single" w:sz="4" w:space="0" w:color="B0B0B0"/>
              <w:bottom w:val="single" w:sz="4" w:space="0" w:color="B0B0B0"/>
              <w:right w:val="single" w:sz="4" w:space="0" w:color="B0B0B0"/>
            </w:tcBorders>
            <w:vAlign w:val="center"/>
          </w:tcPr>
          <w:p w14:paraId="1835D5EF" w14:textId="77777777" w:rsidR="001665F1" w:rsidRDefault="00000000">
            <w:r>
              <w:rPr>
                <w:sz w:val="15"/>
              </w:rPr>
              <w:t>On-premise, open source, repositorios entregables, documentación y contratos de soporte separados.</w:t>
            </w:r>
          </w:p>
        </w:tc>
        <w:tc>
          <w:tcPr>
            <w:tcW w:w="1701" w:type="dxa"/>
            <w:tcBorders>
              <w:top w:val="single" w:sz="4" w:space="0" w:color="B0B0B0"/>
              <w:left w:val="single" w:sz="4" w:space="0" w:color="B0B0B0"/>
              <w:bottom w:val="single" w:sz="4" w:space="0" w:color="B0B0B0"/>
              <w:right w:val="single" w:sz="4" w:space="0" w:color="B0B0B0"/>
            </w:tcBorders>
            <w:vAlign w:val="center"/>
          </w:tcPr>
          <w:p w14:paraId="645CE3A6" w14:textId="77777777" w:rsidR="001665F1" w:rsidRDefault="00000000">
            <w:r>
              <w:rPr>
                <w:sz w:val="15"/>
              </w:rPr>
              <w:t>Soliss</w:t>
            </w:r>
          </w:p>
        </w:tc>
      </w:tr>
    </w:tbl>
    <w:p w14:paraId="537455BC" w14:textId="77777777" w:rsidR="001665F1" w:rsidRDefault="00000000">
      <w:pPr>
        <w:pStyle w:val="Ttulo1"/>
      </w:pPr>
      <w:r>
        <w:rPr>
          <w:color w:val="0A3D4A"/>
        </w:rPr>
        <w:t>12. Gates, pruebas y aceptación</w:t>
      </w:r>
    </w:p>
    <w:tbl>
      <w:tblPr>
        <w:tblStyle w:val="Tablaconcuadrcula"/>
        <w:tblW w:w="0" w:type="auto"/>
        <w:jc w:val="center"/>
        <w:tblLook w:val="04A0" w:firstRow="1" w:lastRow="0" w:firstColumn="1" w:lastColumn="0" w:noHBand="0" w:noVBand="1"/>
      </w:tblPr>
      <w:tblGrid>
        <w:gridCol w:w="1134"/>
        <w:gridCol w:w="1701"/>
        <w:gridCol w:w="2835"/>
        <w:gridCol w:w="4870"/>
      </w:tblGrid>
      <w:tr w:rsidR="001665F1" w14:paraId="4878E36A" w14:textId="77777777">
        <w:trPr>
          <w:jc w:val="center"/>
        </w:trPr>
        <w:tc>
          <w:tcPr>
            <w:tcW w:w="1134"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3109F9A5" w14:textId="77777777" w:rsidR="001665F1" w:rsidRDefault="00000000">
            <w:r>
              <w:rPr>
                <w:b/>
                <w:color w:val="FFFFFF"/>
                <w:sz w:val="17"/>
              </w:rPr>
              <w:t>Gate</w:t>
            </w:r>
          </w:p>
        </w:tc>
        <w:tc>
          <w:tcPr>
            <w:tcW w:w="170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66BAFB71" w14:textId="77777777" w:rsidR="001665F1" w:rsidRDefault="00000000">
            <w:r>
              <w:rPr>
                <w:b/>
                <w:color w:val="FFFFFF"/>
                <w:sz w:val="17"/>
              </w:rPr>
              <w:t>Momento</w:t>
            </w:r>
          </w:p>
        </w:tc>
        <w:tc>
          <w:tcPr>
            <w:tcW w:w="2835"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2E4D0959" w14:textId="77777777" w:rsidR="001665F1" w:rsidRDefault="00000000">
            <w:r>
              <w:rPr>
                <w:b/>
                <w:color w:val="FFFFFF"/>
                <w:sz w:val="17"/>
              </w:rPr>
              <w:t>Paquetes</w:t>
            </w:r>
          </w:p>
        </w:tc>
        <w:tc>
          <w:tcPr>
            <w:tcW w:w="3969"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5C6C795E" w14:textId="77777777" w:rsidR="001665F1" w:rsidRDefault="00000000">
            <w:r>
              <w:rPr>
                <w:b/>
                <w:color w:val="FFFFFF"/>
                <w:sz w:val="17"/>
              </w:rPr>
              <w:t>Decisión de cierre</w:t>
            </w:r>
          </w:p>
        </w:tc>
      </w:tr>
      <w:tr w:rsidR="001665F1" w14:paraId="2E044232" w14:textId="77777777">
        <w:trPr>
          <w:jc w:val="center"/>
        </w:trPr>
        <w:tc>
          <w:tcPr>
            <w:tcW w:w="1134"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0B9324C" w14:textId="77777777" w:rsidR="001665F1" w:rsidRDefault="00000000">
            <w:r>
              <w:rPr>
                <w:sz w:val="17"/>
              </w:rPr>
              <w:t>G1</w:t>
            </w:r>
          </w:p>
        </w:tc>
        <w:tc>
          <w:tcPr>
            <w:tcW w:w="1701" w:type="dxa"/>
            <w:tcBorders>
              <w:top w:val="single" w:sz="4" w:space="0" w:color="B0B0B0"/>
              <w:left w:val="single" w:sz="4" w:space="0" w:color="B0B0B0"/>
              <w:bottom w:val="single" w:sz="4" w:space="0" w:color="B0B0B0"/>
              <w:right w:val="single" w:sz="4" w:space="0" w:color="B0B0B0"/>
            </w:tcBorders>
            <w:vAlign w:val="center"/>
          </w:tcPr>
          <w:p w14:paraId="3BCB70D1" w14:textId="77777777" w:rsidR="001665F1" w:rsidRDefault="00000000">
            <w:r>
              <w:rPr>
                <w:sz w:val="17"/>
              </w:rPr>
              <w:t>Semana 2</w:t>
            </w:r>
          </w:p>
        </w:tc>
        <w:tc>
          <w:tcPr>
            <w:tcW w:w="2835" w:type="dxa"/>
            <w:tcBorders>
              <w:top w:val="single" w:sz="4" w:space="0" w:color="B0B0B0"/>
              <w:left w:val="single" w:sz="4" w:space="0" w:color="B0B0B0"/>
              <w:bottom w:val="single" w:sz="4" w:space="0" w:color="B0B0B0"/>
              <w:right w:val="single" w:sz="4" w:space="0" w:color="B0B0B0"/>
            </w:tcBorders>
            <w:vAlign w:val="center"/>
          </w:tcPr>
          <w:p w14:paraId="06B3C84A" w14:textId="77777777" w:rsidR="001665F1" w:rsidRDefault="00000000">
            <w:r>
              <w:rPr>
                <w:sz w:val="17"/>
              </w:rPr>
              <w:t>F0 / WP0-WP1</w:t>
            </w:r>
          </w:p>
        </w:tc>
        <w:tc>
          <w:tcPr>
            <w:tcW w:w="3969" w:type="dxa"/>
            <w:tcBorders>
              <w:top w:val="single" w:sz="4" w:space="0" w:color="B0B0B0"/>
              <w:left w:val="single" w:sz="4" w:space="0" w:color="B0B0B0"/>
              <w:bottom w:val="single" w:sz="4" w:space="0" w:color="B0B0B0"/>
              <w:right w:val="single" w:sz="4" w:space="0" w:color="B0B0B0"/>
            </w:tcBorders>
            <w:vAlign w:val="center"/>
          </w:tcPr>
          <w:p w14:paraId="3A176180" w14:textId="77777777" w:rsidR="001665F1" w:rsidRDefault="00000000">
            <w:r>
              <w:rPr>
                <w:sz w:val="17"/>
              </w:rPr>
              <w:t>Inventario, alcance, exclusiones, responsables y backlog UC1-UC7 aceptados.</w:t>
            </w:r>
          </w:p>
        </w:tc>
      </w:tr>
      <w:tr w:rsidR="001665F1" w14:paraId="5FE05A3D" w14:textId="77777777">
        <w:trPr>
          <w:jc w:val="center"/>
        </w:trPr>
        <w:tc>
          <w:tcPr>
            <w:tcW w:w="1134"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46C31B5" w14:textId="77777777" w:rsidR="001665F1" w:rsidRDefault="00000000">
            <w:r>
              <w:rPr>
                <w:sz w:val="17"/>
              </w:rPr>
              <w:t>G2</w:t>
            </w:r>
          </w:p>
        </w:tc>
        <w:tc>
          <w:tcPr>
            <w:tcW w:w="1701" w:type="dxa"/>
            <w:tcBorders>
              <w:top w:val="single" w:sz="4" w:space="0" w:color="B0B0B0"/>
              <w:left w:val="single" w:sz="4" w:space="0" w:color="B0B0B0"/>
              <w:bottom w:val="single" w:sz="4" w:space="0" w:color="B0B0B0"/>
              <w:right w:val="single" w:sz="4" w:space="0" w:color="B0B0B0"/>
            </w:tcBorders>
            <w:vAlign w:val="center"/>
          </w:tcPr>
          <w:p w14:paraId="75BBD9C6" w14:textId="77777777" w:rsidR="001665F1" w:rsidRDefault="00000000">
            <w:r>
              <w:rPr>
                <w:sz w:val="17"/>
              </w:rPr>
              <w:t>Semana 6</w:t>
            </w:r>
          </w:p>
        </w:tc>
        <w:tc>
          <w:tcPr>
            <w:tcW w:w="2835" w:type="dxa"/>
            <w:tcBorders>
              <w:top w:val="single" w:sz="4" w:space="0" w:color="B0B0B0"/>
              <w:left w:val="single" w:sz="4" w:space="0" w:color="B0B0B0"/>
              <w:bottom w:val="single" w:sz="4" w:space="0" w:color="B0B0B0"/>
              <w:right w:val="single" w:sz="4" w:space="0" w:color="B0B0B0"/>
            </w:tcBorders>
            <w:vAlign w:val="center"/>
          </w:tcPr>
          <w:p w14:paraId="429E65DC" w14:textId="77777777" w:rsidR="001665F1" w:rsidRDefault="00000000">
            <w:r>
              <w:rPr>
                <w:sz w:val="17"/>
              </w:rPr>
              <w:t>F1-F2 / WP2-WP4</w:t>
            </w:r>
          </w:p>
        </w:tc>
        <w:tc>
          <w:tcPr>
            <w:tcW w:w="3969" w:type="dxa"/>
            <w:tcBorders>
              <w:top w:val="single" w:sz="4" w:space="0" w:color="B0B0B0"/>
              <w:left w:val="single" w:sz="4" w:space="0" w:color="B0B0B0"/>
              <w:bottom w:val="single" w:sz="4" w:space="0" w:color="B0B0B0"/>
              <w:right w:val="single" w:sz="4" w:space="0" w:color="B0B0B0"/>
            </w:tcBorders>
            <w:vAlign w:val="center"/>
          </w:tcPr>
          <w:p w14:paraId="51B6762C" w14:textId="77777777" w:rsidR="001665F1" w:rsidRDefault="00000000">
            <w:r>
              <w:rPr>
                <w:sz w:val="17"/>
              </w:rPr>
              <w:t>Blueprint on-premise, sizing, inversión Soliss, data mesh y enfoque DORA aprobados.</w:t>
            </w:r>
          </w:p>
        </w:tc>
      </w:tr>
      <w:tr w:rsidR="001665F1" w14:paraId="7E95237C" w14:textId="77777777">
        <w:trPr>
          <w:jc w:val="center"/>
        </w:trPr>
        <w:tc>
          <w:tcPr>
            <w:tcW w:w="1134"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3CF2B159" w14:textId="77777777" w:rsidR="001665F1" w:rsidRDefault="00000000">
            <w:r>
              <w:rPr>
                <w:sz w:val="17"/>
              </w:rPr>
              <w:t>G3</w:t>
            </w:r>
          </w:p>
        </w:tc>
        <w:tc>
          <w:tcPr>
            <w:tcW w:w="1701" w:type="dxa"/>
            <w:tcBorders>
              <w:top w:val="single" w:sz="4" w:space="0" w:color="B0B0B0"/>
              <w:left w:val="single" w:sz="4" w:space="0" w:color="B0B0B0"/>
              <w:bottom w:val="single" w:sz="4" w:space="0" w:color="B0B0B0"/>
              <w:right w:val="single" w:sz="4" w:space="0" w:color="B0B0B0"/>
            </w:tcBorders>
            <w:vAlign w:val="center"/>
          </w:tcPr>
          <w:p w14:paraId="458A7F58" w14:textId="77777777" w:rsidR="001665F1" w:rsidRDefault="00000000">
            <w:r>
              <w:rPr>
                <w:sz w:val="17"/>
              </w:rPr>
              <w:t>Semana 9</w:t>
            </w:r>
          </w:p>
        </w:tc>
        <w:tc>
          <w:tcPr>
            <w:tcW w:w="2835" w:type="dxa"/>
            <w:tcBorders>
              <w:top w:val="single" w:sz="4" w:space="0" w:color="B0B0B0"/>
              <w:left w:val="single" w:sz="4" w:space="0" w:color="B0B0B0"/>
              <w:bottom w:val="single" w:sz="4" w:space="0" w:color="B0B0B0"/>
              <w:right w:val="single" w:sz="4" w:space="0" w:color="B0B0B0"/>
            </w:tcBorders>
            <w:vAlign w:val="center"/>
          </w:tcPr>
          <w:p w14:paraId="6D442EE7" w14:textId="77777777" w:rsidR="001665F1" w:rsidRDefault="00000000">
            <w:r>
              <w:rPr>
                <w:sz w:val="17"/>
              </w:rPr>
              <w:t>F3 / WP5-WP9</w:t>
            </w:r>
          </w:p>
        </w:tc>
        <w:tc>
          <w:tcPr>
            <w:tcW w:w="3969" w:type="dxa"/>
            <w:tcBorders>
              <w:top w:val="single" w:sz="4" w:space="0" w:color="B0B0B0"/>
              <w:left w:val="single" w:sz="4" w:space="0" w:color="B0B0B0"/>
              <w:bottom w:val="single" w:sz="4" w:space="0" w:color="B0B0B0"/>
              <w:right w:val="single" w:sz="4" w:space="0" w:color="B0B0B0"/>
            </w:tcBorders>
            <w:vAlign w:val="center"/>
          </w:tcPr>
          <w:p w14:paraId="6BC84F3F" w14:textId="77777777" w:rsidR="001665F1" w:rsidRDefault="00000000">
            <w:r>
              <w:rPr>
                <w:sz w:val="17"/>
              </w:rPr>
              <w:t>Sandbox técnico validado: Keycloak, Model Gateway, RAG, Gravitino PoC, observabilidad y controles de acceso.</w:t>
            </w:r>
          </w:p>
        </w:tc>
      </w:tr>
      <w:tr w:rsidR="001665F1" w14:paraId="394C52B2" w14:textId="77777777">
        <w:trPr>
          <w:jc w:val="center"/>
        </w:trPr>
        <w:tc>
          <w:tcPr>
            <w:tcW w:w="1134"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3A7F5923" w14:textId="77777777" w:rsidR="001665F1" w:rsidRDefault="00000000">
            <w:r>
              <w:rPr>
                <w:sz w:val="17"/>
              </w:rPr>
              <w:t>G4</w:t>
            </w:r>
          </w:p>
        </w:tc>
        <w:tc>
          <w:tcPr>
            <w:tcW w:w="1701" w:type="dxa"/>
            <w:tcBorders>
              <w:top w:val="single" w:sz="4" w:space="0" w:color="B0B0B0"/>
              <w:left w:val="single" w:sz="4" w:space="0" w:color="B0B0B0"/>
              <w:bottom w:val="single" w:sz="4" w:space="0" w:color="B0B0B0"/>
              <w:right w:val="single" w:sz="4" w:space="0" w:color="B0B0B0"/>
            </w:tcBorders>
            <w:vAlign w:val="center"/>
          </w:tcPr>
          <w:p w14:paraId="428B6EC1" w14:textId="77777777" w:rsidR="001665F1" w:rsidRDefault="00000000">
            <w:r>
              <w:rPr>
                <w:sz w:val="17"/>
              </w:rPr>
              <w:t>Semana 12</w:t>
            </w:r>
          </w:p>
        </w:tc>
        <w:tc>
          <w:tcPr>
            <w:tcW w:w="2835" w:type="dxa"/>
            <w:tcBorders>
              <w:top w:val="single" w:sz="4" w:space="0" w:color="B0B0B0"/>
              <w:left w:val="single" w:sz="4" w:space="0" w:color="B0B0B0"/>
              <w:bottom w:val="single" w:sz="4" w:space="0" w:color="B0B0B0"/>
              <w:right w:val="single" w:sz="4" w:space="0" w:color="B0B0B0"/>
            </w:tcBorders>
            <w:vAlign w:val="center"/>
          </w:tcPr>
          <w:p w14:paraId="7A24B02F" w14:textId="77777777" w:rsidR="001665F1" w:rsidRDefault="00000000">
            <w:r>
              <w:rPr>
                <w:sz w:val="17"/>
              </w:rPr>
              <w:t>F4 / WP10-WP12</w:t>
            </w:r>
          </w:p>
        </w:tc>
        <w:tc>
          <w:tcPr>
            <w:tcW w:w="3969" w:type="dxa"/>
            <w:tcBorders>
              <w:top w:val="single" w:sz="4" w:space="0" w:color="B0B0B0"/>
              <w:left w:val="single" w:sz="4" w:space="0" w:color="B0B0B0"/>
              <w:bottom w:val="single" w:sz="4" w:space="0" w:color="B0B0B0"/>
              <w:right w:val="single" w:sz="4" w:space="0" w:color="B0B0B0"/>
            </w:tcBorders>
            <w:vAlign w:val="center"/>
          </w:tcPr>
          <w:p w14:paraId="6C88059D" w14:textId="77777777" w:rsidR="001665F1" w:rsidRDefault="00000000">
            <w:r>
              <w:rPr>
                <w:sz w:val="17"/>
              </w:rPr>
              <w:t>UAT, runbooks, manuales, formación, informe de cierre y roadmap de casos de uso aprobados.</w:t>
            </w:r>
          </w:p>
        </w:tc>
      </w:tr>
      <w:tr w:rsidR="001665F1" w14:paraId="561621BB" w14:textId="77777777">
        <w:trPr>
          <w:jc w:val="center"/>
        </w:trPr>
        <w:tc>
          <w:tcPr>
            <w:tcW w:w="10540" w:type="dxa"/>
            <w:gridSpan w:val="4"/>
            <w:tcBorders>
              <w:top w:val="single" w:sz="4" w:space="0" w:color="B0B0B0"/>
              <w:left w:val="single" w:sz="4" w:space="0" w:color="B0B0B0"/>
              <w:bottom w:val="single" w:sz="4" w:space="0" w:color="B0B0B0"/>
              <w:right w:val="single" w:sz="4" w:space="0" w:color="B0B0B0"/>
            </w:tcBorders>
            <w:shd w:val="clear" w:color="auto" w:fill="EAF7EC"/>
            <w:vAlign w:val="center"/>
          </w:tcPr>
          <w:p w14:paraId="400D377A" w14:textId="77777777" w:rsidR="001665F1" w:rsidRDefault="00000000">
            <w:r w:rsidRPr="00863159">
              <w:rPr>
                <w:b/>
                <w:sz w:val="17"/>
              </w:rPr>
              <w:t>Criterio Go/No-Go</w:t>
            </w:r>
            <w:r w:rsidRPr="00863159">
              <w:rPr>
                <w:b/>
                <w:sz w:val="17"/>
              </w:rPr>
              <w:br/>
              <w:t>Cada gate debe dejar acta. Si un componente no alcanza madurez suficiente, se documenta como exclusión o riesgo aceptado, sin bloquear la continuidad del resto de la arquitectura.</w:t>
            </w:r>
          </w:p>
        </w:tc>
      </w:tr>
    </w:tbl>
    <w:p w14:paraId="2A18D7AE" w14:textId="2DFF4718" w:rsidR="001665F1" w:rsidRDefault="00000000">
      <w:pPr>
        <w:pStyle w:val="Ttulo1"/>
      </w:pPr>
      <w:r>
        <w:rPr>
          <w:color w:val="0A3D4A"/>
        </w:rPr>
        <w:t xml:space="preserve">13. Recomendación final </w:t>
      </w:r>
    </w:p>
    <w:p w14:paraId="1616F266" w14:textId="77777777" w:rsidR="001665F1" w:rsidRDefault="00000000">
      <w:r>
        <w:t>Se recomienda aprobar P0 como proyecto de infraestructura crítica para Soliss AI/RPA Factory, sujeto a cuatro condiciones de control: 1) validación del alcance inicial, 2) aprobación del sizing e inversión on-premise en G2, 3) Gravitino únicamente como PoC no bloqueante hasta Go/No-Go, y 4) activación de casos UC1-UC7 solo mediante business case posterior.</w:t>
      </w:r>
    </w:p>
    <w:tbl>
      <w:tblPr>
        <w:tblStyle w:val="Tablaconcuadrcula"/>
        <w:tblW w:w="0" w:type="auto"/>
        <w:jc w:val="center"/>
        <w:tblLook w:val="04A0" w:firstRow="1" w:lastRow="0" w:firstColumn="1" w:lastColumn="0" w:noHBand="0" w:noVBand="1"/>
      </w:tblPr>
      <w:tblGrid>
        <w:gridCol w:w="2268"/>
        <w:gridCol w:w="3969"/>
        <w:gridCol w:w="3402"/>
      </w:tblGrid>
      <w:tr w:rsidR="001665F1" w14:paraId="31EBFABF"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095DF1C6" w14:textId="77777777" w:rsidR="001665F1" w:rsidRDefault="00000000">
            <w:r>
              <w:rPr>
                <w:b/>
                <w:color w:val="FFFFFF"/>
                <w:sz w:val="17"/>
              </w:rPr>
              <w:t>Decisión solicitada</w:t>
            </w:r>
          </w:p>
        </w:tc>
        <w:tc>
          <w:tcPr>
            <w:tcW w:w="3969"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7410EDAD" w14:textId="77777777" w:rsidR="001665F1" w:rsidRDefault="00000000">
            <w:r>
              <w:rPr>
                <w:b/>
                <w:color w:val="FFFFFF"/>
                <w:sz w:val="17"/>
              </w:rPr>
              <w:t>Motivo</w:t>
            </w:r>
          </w:p>
        </w:tc>
        <w:tc>
          <w:tcPr>
            <w:tcW w:w="3402"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487B0141" w14:textId="77777777" w:rsidR="001665F1" w:rsidRDefault="00000000">
            <w:r>
              <w:rPr>
                <w:b/>
                <w:color w:val="FFFFFF"/>
                <w:sz w:val="17"/>
              </w:rPr>
              <w:t>Riesgo si no se decide</w:t>
            </w:r>
          </w:p>
        </w:tc>
      </w:tr>
      <w:tr w:rsidR="001665F1" w14:paraId="26983866"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44FF4CF3" w14:textId="77777777" w:rsidR="001665F1" w:rsidRDefault="00000000">
            <w:r>
              <w:rPr>
                <w:sz w:val="17"/>
              </w:rPr>
              <w:t>Aprobar P0</w:t>
            </w:r>
          </w:p>
        </w:tc>
        <w:tc>
          <w:tcPr>
            <w:tcW w:w="3969" w:type="dxa"/>
            <w:tcBorders>
              <w:top w:val="single" w:sz="4" w:space="0" w:color="B0B0B0"/>
              <w:left w:val="single" w:sz="4" w:space="0" w:color="B0B0B0"/>
              <w:bottom w:val="single" w:sz="4" w:space="0" w:color="B0B0B0"/>
              <w:right w:val="single" w:sz="4" w:space="0" w:color="B0B0B0"/>
            </w:tcBorders>
            <w:vAlign w:val="center"/>
          </w:tcPr>
          <w:p w14:paraId="1137DEC5" w14:textId="77777777" w:rsidR="001665F1" w:rsidRDefault="00000000">
            <w:r>
              <w:rPr>
                <w:sz w:val="17"/>
              </w:rPr>
              <w:t>Permite pasar de iniciativas aisladas a plataforma gobernada.</w:t>
            </w:r>
          </w:p>
        </w:tc>
        <w:tc>
          <w:tcPr>
            <w:tcW w:w="3402" w:type="dxa"/>
            <w:tcBorders>
              <w:top w:val="single" w:sz="4" w:space="0" w:color="B0B0B0"/>
              <w:left w:val="single" w:sz="4" w:space="0" w:color="B0B0B0"/>
              <w:bottom w:val="single" w:sz="4" w:space="0" w:color="B0B0B0"/>
              <w:right w:val="single" w:sz="4" w:space="0" w:color="B0B0B0"/>
            </w:tcBorders>
            <w:vAlign w:val="center"/>
          </w:tcPr>
          <w:p w14:paraId="2769F2E6" w14:textId="77777777" w:rsidR="001665F1" w:rsidRDefault="00000000">
            <w:r>
              <w:rPr>
                <w:sz w:val="17"/>
              </w:rPr>
              <w:t>Crecimiento por islas, Shadow AI y costes dispersos.</w:t>
            </w:r>
          </w:p>
        </w:tc>
      </w:tr>
      <w:tr w:rsidR="001665F1" w14:paraId="7080C864"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38B86889" w14:textId="77777777" w:rsidR="001665F1" w:rsidRDefault="00000000">
            <w:r>
              <w:rPr>
                <w:sz w:val="17"/>
              </w:rPr>
              <w:t>Nombrar líder interno Soliss</w:t>
            </w:r>
          </w:p>
        </w:tc>
        <w:tc>
          <w:tcPr>
            <w:tcW w:w="3969" w:type="dxa"/>
            <w:tcBorders>
              <w:top w:val="single" w:sz="4" w:space="0" w:color="B0B0B0"/>
              <w:left w:val="single" w:sz="4" w:space="0" w:color="B0B0B0"/>
              <w:bottom w:val="single" w:sz="4" w:space="0" w:color="B0B0B0"/>
              <w:right w:val="single" w:sz="4" w:space="0" w:color="B0B0B0"/>
            </w:tcBorders>
            <w:vAlign w:val="center"/>
          </w:tcPr>
          <w:p w14:paraId="158F348D" w14:textId="77777777" w:rsidR="001665F1" w:rsidRDefault="00000000">
            <w:r>
              <w:rPr>
                <w:sz w:val="17"/>
              </w:rPr>
              <w:t>Necesario para coordinar áreas técnicas y negocio.</w:t>
            </w:r>
          </w:p>
        </w:tc>
        <w:tc>
          <w:tcPr>
            <w:tcW w:w="3402" w:type="dxa"/>
            <w:tcBorders>
              <w:top w:val="single" w:sz="4" w:space="0" w:color="B0B0B0"/>
              <w:left w:val="single" w:sz="4" w:space="0" w:color="B0B0B0"/>
              <w:bottom w:val="single" w:sz="4" w:space="0" w:color="B0B0B0"/>
              <w:right w:val="single" w:sz="4" w:space="0" w:color="B0B0B0"/>
            </w:tcBorders>
            <w:vAlign w:val="center"/>
          </w:tcPr>
          <w:p w14:paraId="31DFC477" w14:textId="77777777" w:rsidR="001665F1" w:rsidRDefault="00000000">
            <w:r>
              <w:rPr>
                <w:sz w:val="17"/>
              </w:rPr>
              <w:t>Bloqueos de decisión y baja adopción.</w:t>
            </w:r>
          </w:p>
        </w:tc>
      </w:tr>
      <w:tr w:rsidR="001665F1" w14:paraId="150B42D1"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1794A941" w14:textId="77777777" w:rsidR="001665F1" w:rsidRDefault="00000000">
            <w:r>
              <w:rPr>
                <w:sz w:val="17"/>
              </w:rPr>
              <w:t>Autorizar fase de activación</w:t>
            </w:r>
          </w:p>
        </w:tc>
        <w:tc>
          <w:tcPr>
            <w:tcW w:w="3969" w:type="dxa"/>
            <w:tcBorders>
              <w:top w:val="single" w:sz="4" w:space="0" w:color="B0B0B0"/>
              <w:left w:val="single" w:sz="4" w:space="0" w:color="B0B0B0"/>
              <w:bottom w:val="single" w:sz="4" w:space="0" w:color="B0B0B0"/>
              <w:right w:val="single" w:sz="4" w:space="0" w:color="B0B0B0"/>
            </w:tcBorders>
            <w:vAlign w:val="center"/>
          </w:tcPr>
          <w:p w14:paraId="3D2DDF15" w14:textId="77777777" w:rsidR="001665F1" w:rsidRDefault="00000000">
            <w:r>
              <w:rPr>
                <w:sz w:val="17"/>
              </w:rPr>
              <w:t>Permite cerrar alcance, sizing e inversión con datos reales.</w:t>
            </w:r>
          </w:p>
        </w:tc>
        <w:tc>
          <w:tcPr>
            <w:tcW w:w="3402" w:type="dxa"/>
            <w:tcBorders>
              <w:top w:val="single" w:sz="4" w:space="0" w:color="B0B0B0"/>
              <w:left w:val="single" w:sz="4" w:space="0" w:color="B0B0B0"/>
              <w:bottom w:val="single" w:sz="4" w:space="0" w:color="B0B0B0"/>
              <w:right w:val="single" w:sz="4" w:space="0" w:color="B0B0B0"/>
            </w:tcBorders>
            <w:vAlign w:val="center"/>
          </w:tcPr>
          <w:p w14:paraId="23D3F283" w14:textId="77777777" w:rsidR="001665F1" w:rsidRDefault="00000000">
            <w:r>
              <w:rPr>
                <w:sz w:val="17"/>
              </w:rPr>
              <w:t>Ambigüedad económica y técnica.</w:t>
            </w:r>
          </w:p>
        </w:tc>
      </w:tr>
      <w:tr w:rsidR="001665F1" w14:paraId="22EF92E6" w14:textId="77777777">
        <w:trPr>
          <w:jc w:val="center"/>
        </w:trPr>
        <w:tc>
          <w:tcPr>
            <w:tcW w:w="2268"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6C0EFA61" w14:textId="77777777" w:rsidR="001665F1" w:rsidRDefault="00000000">
            <w:r>
              <w:rPr>
                <w:sz w:val="17"/>
              </w:rPr>
              <w:t>Separar infra Soliss y servicios Keedio</w:t>
            </w:r>
          </w:p>
        </w:tc>
        <w:tc>
          <w:tcPr>
            <w:tcW w:w="3969" w:type="dxa"/>
            <w:tcBorders>
              <w:top w:val="single" w:sz="4" w:space="0" w:color="B0B0B0"/>
              <w:left w:val="single" w:sz="4" w:space="0" w:color="B0B0B0"/>
              <w:bottom w:val="single" w:sz="4" w:space="0" w:color="B0B0B0"/>
              <w:right w:val="single" w:sz="4" w:space="0" w:color="B0B0B0"/>
            </w:tcBorders>
            <w:vAlign w:val="center"/>
          </w:tcPr>
          <w:p w14:paraId="15A84CC2" w14:textId="77777777" w:rsidR="001665F1" w:rsidRDefault="00000000">
            <w:r>
              <w:rPr>
                <w:sz w:val="17"/>
              </w:rPr>
              <w:t>Reduce riesgo DORA y evita dependencia patrimonial.</w:t>
            </w:r>
          </w:p>
        </w:tc>
        <w:tc>
          <w:tcPr>
            <w:tcW w:w="3402" w:type="dxa"/>
            <w:tcBorders>
              <w:top w:val="single" w:sz="4" w:space="0" w:color="B0B0B0"/>
              <w:left w:val="single" w:sz="4" w:space="0" w:color="B0B0B0"/>
              <w:bottom w:val="single" w:sz="4" w:space="0" w:color="B0B0B0"/>
              <w:right w:val="single" w:sz="4" w:space="0" w:color="B0B0B0"/>
            </w:tcBorders>
            <w:vAlign w:val="center"/>
          </w:tcPr>
          <w:p w14:paraId="74956924" w14:textId="77777777" w:rsidR="001665F1" w:rsidRDefault="00000000">
            <w:r>
              <w:rPr>
                <w:sz w:val="17"/>
              </w:rPr>
              <w:t>Confusión de responsabilidades y contratos.</w:t>
            </w:r>
          </w:p>
        </w:tc>
      </w:tr>
    </w:tbl>
    <w:p w14:paraId="5BE34F1B" w14:textId="77777777" w:rsidR="001665F1" w:rsidRDefault="00000000">
      <w:pPr>
        <w:pStyle w:val="Ttulo1"/>
      </w:pPr>
      <w:r>
        <w:rPr>
          <w:color w:val="0A3D4A"/>
        </w:rPr>
        <w:t>14. Fuentes técnicas y regulatorias de contraste</w:t>
      </w:r>
    </w:p>
    <w:tbl>
      <w:tblPr>
        <w:tblStyle w:val="Tablaconcuadrcula"/>
        <w:tblW w:w="0" w:type="auto"/>
        <w:jc w:val="center"/>
        <w:tblLook w:val="04A0" w:firstRow="1" w:lastRow="0" w:firstColumn="1" w:lastColumn="0" w:noHBand="0" w:noVBand="1"/>
      </w:tblPr>
      <w:tblGrid>
        <w:gridCol w:w="1701"/>
        <w:gridCol w:w="4535"/>
        <w:gridCol w:w="3402"/>
      </w:tblGrid>
      <w:tr w:rsidR="001665F1" w14:paraId="76CD96A3"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3A5E9893" w14:textId="77777777" w:rsidR="001665F1" w:rsidRDefault="00000000">
            <w:r>
              <w:rPr>
                <w:b/>
                <w:color w:val="FFFFFF"/>
                <w:sz w:val="14"/>
              </w:rPr>
              <w:t>Fuente</w:t>
            </w:r>
          </w:p>
        </w:tc>
        <w:tc>
          <w:tcPr>
            <w:tcW w:w="4535"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5A100A1B" w14:textId="77777777" w:rsidR="001665F1" w:rsidRDefault="00000000">
            <w:r>
              <w:rPr>
                <w:b/>
                <w:color w:val="FFFFFF"/>
                <w:sz w:val="14"/>
              </w:rPr>
              <w:t>Uso en la propuesta</w:t>
            </w:r>
          </w:p>
        </w:tc>
        <w:tc>
          <w:tcPr>
            <w:tcW w:w="3402" w:type="dxa"/>
            <w:tcBorders>
              <w:top w:val="single" w:sz="4" w:space="0" w:color="B0B0B0"/>
              <w:left w:val="single" w:sz="4" w:space="0" w:color="B0B0B0"/>
              <w:bottom w:val="single" w:sz="4" w:space="0" w:color="B0B0B0"/>
              <w:right w:val="single" w:sz="4" w:space="0" w:color="B0B0B0"/>
            </w:tcBorders>
            <w:shd w:val="clear" w:color="auto" w:fill="0B5D5A"/>
            <w:vAlign w:val="center"/>
          </w:tcPr>
          <w:p w14:paraId="34608B52" w14:textId="77777777" w:rsidR="001665F1" w:rsidRDefault="00000000">
            <w:r>
              <w:rPr>
                <w:b/>
                <w:color w:val="FFFFFF"/>
                <w:sz w:val="14"/>
              </w:rPr>
              <w:t>URL</w:t>
            </w:r>
          </w:p>
        </w:tc>
      </w:tr>
      <w:tr w:rsidR="001665F1" w14:paraId="4F4B1408"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4818E0DA" w14:textId="77777777" w:rsidR="001665F1" w:rsidRDefault="00000000">
            <w:r>
              <w:rPr>
                <w:sz w:val="14"/>
              </w:rPr>
              <w:t>RKE2</w:t>
            </w:r>
          </w:p>
        </w:tc>
        <w:tc>
          <w:tcPr>
            <w:tcW w:w="4535" w:type="dxa"/>
            <w:tcBorders>
              <w:top w:val="single" w:sz="4" w:space="0" w:color="B0B0B0"/>
              <w:left w:val="single" w:sz="4" w:space="0" w:color="B0B0B0"/>
              <w:bottom w:val="single" w:sz="4" w:space="0" w:color="B0B0B0"/>
              <w:right w:val="single" w:sz="4" w:space="0" w:color="B0B0B0"/>
            </w:tcBorders>
            <w:vAlign w:val="center"/>
          </w:tcPr>
          <w:p w14:paraId="7D76EBED" w14:textId="77777777" w:rsidR="001665F1" w:rsidRDefault="00000000">
            <w:r>
              <w:rPr>
                <w:sz w:val="14"/>
              </w:rPr>
              <w:t>Distribución Kubernetes con foco en seguridad y cumplimiento.</w:t>
            </w:r>
          </w:p>
        </w:tc>
        <w:tc>
          <w:tcPr>
            <w:tcW w:w="3402" w:type="dxa"/>
            <w:tcBorders>
              <w:top w:val="single" w:sz="4" w:space="0" w:color="B0B0B0"/>
              <w:left w:val="single" w:sz="4" w:space="0" w:color="B0B0B0"/>
              <w:bottom w:val="single" w:sz="4" w:space="0" w:color="B0B0B0"/>
              <w:right w:val="single" w:sz="4" w:space="0" w:color="B0B0B0"/>
            </w:tcBorders>
            <w:vAlign w:val="center"/>
          </w:tcPr>
          <w:p w14:paraId="5645D00B" w14:textId="77777777" w:rsidR="001665F1" w:rsidRDefault="00000000">
            <w:r>
              <w:rPr>
                <w:sz w:val="14"/>
              </w:rPr>
              <w:t>https://docs.rke2.io/</w:t>
            </w:r>
          </w:p>
        </w:tc>
      </w:tr>
      <w:tr w:rsidR="001665F1" w14:paraId="78EA7312"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0E4C4F2D" w14:textId="77777777" w:rsidR="001665F1" w:rsidRDefault="00000000">
            <w:r>
              <w:rPr>
                <w:sz w:val="14"/>
              </w:rPr>
              <w:t>Rancher Manager</w:t>
            </w:r>
          </w:p>
        </w:tc>
        <w:tc>
          <w:tcPr>
            <w:tcW w:w="4535" w:type="dxa"/>
            <w:tcBorders>
              <w:top w:val="single" w:sz="4" w:space="0" w:color="B0B0B0"/>
              <w:left w:val="single" w:sz="4" w:space="0" w:color="B0B0B0"/>
              <w:bottom w:val="single" w:sz="4" w:space="0" w:color="B0B0B0"/>
              <w:right w:val="single" w:sz="4" w:space="0" w:color="B0B0B0"/>
            </w:tcBorders>
            <w:vAlign w:val="center"/>
          </w:tcPr>
          <w:p w14:paraId="208623C7" w14:textId="77777777" w:rsidR="001665F1" w:rsidRDefault="00000000">
            <w:r>
              <w:rPr>
                <w:sz w:val="14"/>
              </w:rPr>
              <w:t>Gestión de clústeres Kubernetes y operación de flota.</w:t>
            </w:r>
          </w:p>
        </w:tc>
        <w:tc>
          <w:tcPr>
            <w:tcW w:w="3402" w:type="dxa"/>
            <w:tcBorders>
              <w:top w:val="single" w:sz="4" w:space="0" w:color="B0B0B0"/>
              <w:left w:val="single" w:sz="4" w:space="0" w:color="B0B0B0"/>
              <w:bottom w:val="single" w:sz="4" w:space="0" w:color="B0B0B0"/>
              <w:right w:val="single" w:sz="4" w:space="0" w:color="B0B0B0"/>
            </w:tcBorders>
            <w:vAlign w:val="center"/>
          </w:tcPr>
          <w:p w14:paraId="55174622" w14:textId="77777777" w:rsidR="001665F1" w:rsidRDefault="00000000">
            <w:r>
              <w:rPr>
                <w:sz w:val="14"/>
              </w:rPr>
              <w:t>https://ranchermanager.docs.rancher.com/getting-started/overview</w:t>
            </w:r>
          </w:p>
        </w:tc>
      </w:tr>
      <w:tr w:rsidR="001665F1" w14:paraId="3DE16278"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54D68E2" w14:textId="77777777" w:rsidR="001665F1" w:rsidRDefault="00000000">
            <w:r>
              <w:rPr>
                <w:sz w:val="14"/>
              </w:rPr>
              <w:t>Apache Gravitino</w:t>
            </w:r>
          </w:p>
        </w:tc>
        <w:tc>
          <w:tcPr>
            <w:tcW w:w="4535" w:type="dxa"/>
            <w:tcBorders>
              <w:top w:val="single" w:sz="4" w:space="0" w:color="B0B0B0"/>
              <w:left w:val="single" w:sz="4" w:space="0" w:color="B0B0B0"/>
              <w:bottom w:val="single" w:sz="4" w:space="0" w:color="B0B0B0"/>
              <w:right w:val="single" w:sz="4" w:space="0" w:color="B0B0B0"/>
            </w:tcBorders>
            <w:vAlign w:val="center"/>
          </w:tcPr>
          <w:p w14:paraId="15BD7CF2" w14:textId="77777777" w:rsidR="001665F1" w:rsidRDefault="00000000">
            <w:r>
              <w:rPr>
                <w:sz w:val="14"/>
              </w:rPr>
              <w:t>Metadata lake federado, gobierno de metadatos, metalakes y catálogo.</w:t>
            </w:r>
          </w:p>
        </w:tc>
        <w:tc>
          <w:tcPr>
            <w:tcW w:w="3402" w:type="dxa"/>
            <w:tcBorders>
              <w:top w:val="single" w:sz="4" w:space="0" w:color="B0B0B0"/>
              <w:left w:val="single" w:sz="4" w:space="0" w:color="B0B0B0"/>
              <w:bottom w:val="single" w:sz="4" w:space="0" w:color="B0B0B0"/>
              <w:right w:val="single" w:sz="4" w:space="0" w:color="B0B0B0"/>
            </w:tcBorders>
            <w:vAlign w:val="center"/>
          </w:tcPr>
          <w:p w14:paraId="216F1766" w14:textId="77777777" w:rsidR="001665F1" w:rsidRDefault="00000000">
            <w:r>
              <w:rPr>
                <w:sz w:val="14"/>
              </w:rPr>
              <w:t>https://gravitino.apache.org/docs/1.0.0/overview/</w:t>
            </w:r>
          </w:p>
        </w:tc>
      </w:tr>
      <w:tr w:rsidR="001665F1" w14:paraId="0C3F509B"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0A8B7B33" w14:textId="77777777" w:rsidR="001665F1" w:rsidRDefault="00000000">
            <w:r>
              <w:rPr>
                <w:sz w:val="14"/>
              </w:rPr>
              <w:t>CloudNativePG</w:t>
            </w:r>
          </w:p>
        </w:tc>
        <w:tc>
          <w:tcPr>
            <w:tcW w:w="4535" w:type="dxa"/>
            <w:tcBorders>
              <w:top w:val="single" w:sz="4" w:space="0" w:color="B0B0B0"/>
              <w:left w:val="single" w:sz="4" w:space="0" w:color="B0B0B0"/>
              <w:bottom w:val="single" w:sz="4" w:space="0" w:color="B0B0B0"/>
              <w:right w:val="single" w:sz="4" w:space="0" w:color="B0B0B0"/>
            </w:tcBorders>
            <w:vAlign w:val="center"/>
          </w:tcPr>
          <w:p w14:paraId="240212B2" w14:textId="77777777" w:rsidR="001665F1" w:rsidRDefault="00000000">
            <w:r>
              <w:rPr>
                <w:sz w:val="14"/>
              </w:rPr>
              <w:t>PostgreSQL en Kubernetes y backup mediante plugins CNPG-I/Barman Cloud.</w:t>
            </w:r>
          </w:p>
        </w:tc>
        <w:tc>
          <w:tcPr>
            <w:tcW w:w="3402" w:type="dxa"/>
            <w:tcBorders>
              <w:top w:val="single" w:sz="4" w:space="0" w:color="B0B0B0"/>
              <w:left w:val="single" w:sz="4" w:space="0" w:color="B0B0B0"/>
              <w:bottom w:val="single" w:sz="4" w:space="0" w:color="B0B0B0"/>
              <w:right w:val="single" w:sz="4" w:space="0" w:color="B0B0B0"/>
            </w:tcBorders>
            <w:vAlign w:val="center"/>
          </w:tcPr>
          <w:p w14:paraId="7E93EEDB" w14:textId="77777777" w:rsidR="001665F1" w:rsidRDefault="00000000">
            <w:r>
              <w:rPr>
                <w:sz w:val="14"/>
              </w:rPr>
              <w:t>https://cloudnative-pg.io/docs/1.28/backup/</w:t>
            </w:r>
          </w:p>
        </w:tc>
      </w:tr>
      <w:tr w:rsidR="001665F1" w14:paraId="492CEFA4"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74040653" w14:textId="77777777" w:rsidR="001665F1" w:rsidRDefault="00000000">
            <w:r>
              <w:rPr>
                <w:sz w:val="14"/>
              </w:rPr>
              <w:t>DORA</w:t>
            </w:r>
          </w:p>
        </w:tc>
        <w:tc>
          <w:tcPr>
            <w:tcW w:w="4535" w:type="dxa"/>
            <w:tcBorders>
              <w:top w:val="single" w:sz="4" w:space="0" w:color="B0B0B0"/>
              <w:left w:val="single" w:sz="4" w:space="0" w:color="B0B0B0"/>
              <w:bottom w:val="single" w:sz="4" w:space="0" w:color="B0B0B0"/>
              <w:right w:val="single" w:sz="4" w:space="0" w:color="B0B0B0"/>
            </w:tcBorders>
            <w:vAlign w:val="center"/>
          </w:tcPr>
          <w:p w14:paraId="59738AF2" w14:textId="77777777" w:rsidR="001665F1" w:rsidRDefault="00000000">
            <w:r>
              <w:rPr>
                <w:sz w:val="14"/>
              </w:rPr>
              <w:t>Reglamento UE 2022/2554 de resiliencia operativa digital.</w:t>
            </w:r>
          </w:p>
        </w:tc>
        <w:tc>
          <w:tcPr>
            <w:tcW w:w="3402" w:type="dxa"/>
            <w:tcBorders>
              <w:top w:val="single" w:sz="4" w:space="0" w:color="B0B0B0"/>
              <w:left w:val="single" w:sz="4" w:space="0" w:color="B0B0B0"/>
              <w:bottom w:val="single" w:sz="4" w:space="0" w:color="B0B0B0"/>
              <w:right w:val="single" w:sz="4" w:space="0" w:color="B0B0B0"/>
            </w:tcBorders>
            <w:vAlign w:val="center"/>
          </w:tcPr>
          <w:p w14:paraId="40A65C3A" w14:textId="77777777" w:rsidR="001665F1" w:rsidRDefault="00000000">
            <w:r>
              <w:rPr>
                <w:sz w:val="14"/>
              </w:rPr>
              <w:t>https://eur-lex.europa.eu/legal-content/EN/TXT/?uri=CELEX:32022R2554</w:t>
            </w:r>
          </w:p>
        </w:tc>
      </w:tr>
      <w:tr w:rsidR="001665F1" w14:paraId="1C100735" w14:textId="77777777">
        <w:trPr>
          <w:jc w:val="center"/>
        </w:trPr>
        <w:tc>
          <w:tcPr>
            <w:tcW w:w="1701" w:type="dxa"/>
            <w:tcBorders>
              <w:top w:val="single" w:sz="4" w:space="0" w:color="B0B0B0"/>
              <w:left w:val="single" w:sz="4" w:space="0" w:color="B0B0B0"/>
              <w:bottom w:val="single" w:sz="4" w:space="0" w:color="B0B0B0"/>
              <w:right w:val="single" w:sz="4" w:space="0" w:color="B0B0B0"/>
            </w:tcBorders>
            <w:shd w:val="clear" w:color="auto" w:fill="F4F6F8"/>
            <w:vAlign w:val="center"/>
          </w:tcPr>
          <w:p w14:paraId="5BF246DC" w14:textId="77777777" w:rsidR="001665F1" w:rsidRDefault="00000000">
            <w:r>
              <w:rPr>
                <w:sz w:val="14"/>
              </w:rPr>
              <w:t>AI Act</w:t>
            </w:r>
          </w:p>
        </w:tc>
        <w:tc>
          <w:tcPr>
            <w:tcW w:w="4535" w:type="dxa"/>
            <w:tcBorders>
              <w:top w:val="single" w:sz="4" w:space="0" w:color="B0B0B0"/>
              <w:left w:val="single" w:sz="4" w:space="0" w:color="B0B0B0"/>
              <w:bottom w:val="single" w:sz="4" w:space="0" w:color="B0B0B0"/>
              <w:right w:val="single" w:sz="4" w:space="0" w:color="B0B0B0"/>
            </w:tcBorders>
            <w:vAlign w:val="center"/>
          </w:tcPr>
          <w:p w14:paraId="78954F6B" w14:textId="77777777" w:rsidR="001665F1" w:rsidRDefault="00000000">
            <w:r>
              <w:rPr>
                <w:sz w:val="14"/>
              </w:rPr>
              <w:t>Reglamento UE 2024/1689 y Anexo III para seguros de vida/salud.</w:t>
            </w:r>
          </w:p>
        </w:tc>
        <w:tc>
          <w:tcPr>
            <w:tcW w:w="3402" w:type="dxa"/>
            <w:tcBorders>
              <w:top w:val="single" w:sz="4" w:space="0" w:color="B0B0B0"/>
              <w:left w:val="single" w:sz="4" w:space="0" w:color="B0B0B0"/>
              <w:bottom w:val="single" w:sz="4" w:space="0" w:color="B0B0B0"/>
              <w:right w:val="single" w:sz="4" w:space="0" w:color="B0B0B0"/>
            </w:tcBorders>
            <w:vAlign w:val="center"/>
          </w:tcPr>
          <w:p w14:paraId="1314B27C" w14:textId="77777777" w:rsidR="001665F1" w:rsidRDefault="00000000">
            <w:r>
              <w:rPr>
                <w:sz w:val="14"/>
              </w:rPr>
              <w:t>https://eur-lex.europa.eu/legal-content/EN/TXT/?uri=CELEX:32024R1689</w:t>
            </w:r>
          </w:p>
        </w:tc>
      </w:tr>
    </w:tbl>
    <w:p w14:paraId="2DF12CA9" w14:textId="77777777" w:rsidR="008528C9" w:rsidRDefault="008528C9"/>
    <w:sectPr w:rsidR="008528C9" w:rsidSect="00034616">
      <w:headerReference w:type="default" r:id="rId11"/>
      <w:footerReference w:type="default" r:id="rId12"/>
      <w:pgSz w:w="12240" w:h="15840"/>
      <w:pgMar w:top="964"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9C1FC" w14:textId="77777777" w:rsidR="008528C9" w:rsidRDefault="008528C9">
      <w:pPr>
        <w:spacing w:after="0" w:line="240" w:lineRule="auto"/>
      </w:pPr>
      <w:r>
        <w:separator/>
      </w:r>
    </w:p>
  </w:endnote>
  <w:endnote w:type="continuationSeparator" w:id="0">
    <w:p w14:paraId="31BBC79B" w14:textId="77777777" w:rsidR="008528C9" w:rsidRDefault="00852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F18E" w14:textId="77777777" w:rsidR="001665F1" w:rsidRDefault="00000000">
    <w:pPr>
      <w:pStyle w:val="Piedepgina"/>
      <w:jc w:val="center"/>
    </w:pPr>
    <w:r>
      <w:rPr>
        <w:color w:val="5A6E82"/>
        <w:sz w:val="16"/>
      </w:rPr>
      <w:t xml:space="preserve">Plan Director para Consejo - </w:t>
    </w:r>
    <w:proofErr w:type="spellStart"/>
    <w:r>
      <w:rPr>
        <w:color w:val="5A6E82"/>
        <w:sz w:val="16"/>
      </w:rPr>
      <w:t>Soliss</w:t>
    </w:r>
    <w:proofErr w:type="spellEnd"/>
    <w:r>
      <w:rPr>
        <w:color w:val="5A6E82"/>
        <w:sz w:val="16"/>
      </w:rPr>
      <w:t xml:space="preserve"> AI/RPA Factory · P0 </w:t>
    </w:r>
    <w:proofErr w:type="spellStart"/>
    <w:r>
      <w:rPr>
        <w:color w:val="5A6E82"/>
        <w:sz w:val="16"/>
      </w:rPr>
      <w:t>Infraestructura</w:t>
    </w:r>
    <w:proofErr w:type="spellEnd"/>
    <w:r>
      <w:rPr>
        <w:color w:val="5A6E82"/>
        <w:sz w:val="16"/>
      </w:rPr>
      <w:t xml:space="preserve"> </w:t>
    </w:r>
    <w:proofErr w:type="spellStart"/>
    <w:r>
      <w:rPr>
        <w:color w:val="5A6E82"/>
        <w:sz w:val="16"/>
      </w:rPr>
      <w:t>Crítica</w:t>
    </w:r>
    <w:proofErr w:type="spellEnd"/>
    <w:r>
      <w:rPr>
        <w:color w:val="5A6E82"/>
        <w:sz w:val="16"/>
      </w:rPr>
      <w:t xml:space="preserve"> · 24 meses + 12 meses </w:t>
    </w:r>
    <w:proofErr w:type="spellStart"/>
    <w:r>
      <w:rPr>
        <w:color w:val="5A6E82"/>
        <w:sz w:val="16"/>
      </w:rPr>
      <w:t>opcionales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729AE" w14:textId="77777777" w:rsidR="008528C9" w:rsidRDefault="008528C9">
      <w:pPr>
        <w:spacing w:after="0" w:line="240" w:lineRule="auto"/>
      </w:pPr>
      <w:r>
        <w:separator/>
      </w:r>
    </w:p>
  </w:footnote>
  <w:footnote w:type="continuationSeparator" w:id="0">
    <w:p w14:paraId="4C3AE2F1" w14:textId="77777777" w:rsidR="008528C9" w:rsidRDefault="00852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75228" w14:textId="77777777" w:rsidR="001665F1" w:rsidRDefault="001665F1">
    <w:pPr>
      <w:pStyle w:val="Encabezado"/>
    </w:pPr>
  </w:p>
  <w:tbl>
    <w:tblPr>
      <w:tblW w:w="0" w:type="auto"/>
      <w:jc w:val="center"/>
      <w:tblLook w:val="04A0" w:firstRow="1" w:lastRow="0" w:firstColumn="1" w:lastColumn="0" w:noHBand="0" w:noVBand="1"/>
    </w:tblPr>
    <w:tblGrid>
      <w:gridCol w:w="5270"/>
      <w:gridCol w:w="5270"/>
    </w:tblGrid>
    <w:tr w:rsidR="001665F1" w14:paraId="13F6713B" w14:textId="77777777">
      <w:trPr>
        <w:jc w:val="center"/>
      </w:trPr>
      <w:tc>
        <w:tcPr>
          <w:tcW w:w="5270" w:type="dxa"/>
        </w:tcPr>
        <w:p w14:paraId="76B779D5" w14:textId="77777777" w:rsidR="001665F1" w:rsidRDefault="00000000">
          <w:r>
            <w:rPr>
              <w:noProof/>
            </w:rPr>
            <w:drawing>
              <wp:inline distT="0" distB="0" distL="0" distR="0" wp14:anchorId="41938E73" wp14:editId="54CCA4DF">
                <wp:extent cx="1080000" cy="468000"/>
                <wp:effectExtent l="0" t="0" r="0" b="0"/>
                <wp:docPr id="27986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edio_dark.png"/>
                        <pic:cNvPicPr/>
                      </pic:nvPicPr>
                      <pic:blipFill>
                        <a:blip r:embed="rId1"/>
                        <a:stretch>
                          <a:fillRect/>
                        </a:stretch>
                      </pic:blipFill>
                      <pic:spPr>
                        <a:xfrm>
                          <a:off x="0" y="0"/>
                          <a:ext cx="1080000" cy="468000"/>
                        </a:xfrm>
                        <a:prstGeom prst="rect">
                          <a:avLst/>
                        </a:prstGeom>
                      </pic:spPr>
                    </pic:pic>
                  </a:graphicData>
                </a:graphic>
              </wp:inline>
            </w:drawing>
          </w:r>
        </w:p>
      </w:tc>
      <w:tc>
        <w:tcPr>
          <w:tcW w:w="5270" w:type="dxa"/>
        </w:tcPr>
        <w:p w14:paraId="77C9CE26" w14:textId="77777777" w:rsidR="001665F1" w:rsidRDefault="00000000">
          <w:pPr>
            <w:jc w:val="right"/>
          </w:pPr>
          <w:r>
            <w:rPr>
              <w:noProof/>
            </w:rPr>
            <w:drawing>
              <wp:inline distT="0" distB="0" distL="0" distR="0" wp14:anchorId="49DDE9B6" wp14:editId="615BB7C4">
                <wp:extent cx="1368000" cy="456000"/>
                <wp:effectExtent l="0" t="0" r="0" b="0"/>
                <wp:docPr id="933334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iss_rgba.png"/>
                        <pic:cNvPicPr/>
                      </pic:nvPicPr>
                      <pic:blipFill>
                        <a:blip r:embed="rId2"/>
                        <a:stretch>
                          <a:fillRect/>
                        </a:stretch>
                      </pic:blipFill>
                      <pic:spPr>
                        <a:xfrm>
                          <a:off x="0" y="0"/>
                          <a:ext cx="1368000" cy="4560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566870">
    <w:abstractNumId w:val="8"/>
  </w:num>
  <w:num w:numId="2" w16cid:durableId="1669673980">
    <w:abstractNumId w:val="6"/>
  </w:num>
  <w:num w:numId="3" w16cid:durableId="535629260">
    <w:abstractNumId w:val="5"/>
  </w:num>
  <w:num w:numId="4" w16cid:durableId="1147016536">
    <w:abstractNumId w:val="4"/>
  </w:num>
  <w:num w:numId="5" w16cid:durableId="484248569">
    <w:abstractNumId w:val="7"/>
  </w:num>
  <w:num w:numId="6" w16cid:durableId="75517704">
    <w:abstractNumId w:val="3"/>
  </w:num>
  <w:num w:numId="7" w16cid:durableId="1019163940">
    <w:abstractNumId w:val="2"/>
  </w:num>
  <w:num w:numId="8" w16cid:durableId="1984499587">
    <w:abstractNumId w:val="1"/>
  </w:num>
  <w:num w:numId="9" w16cid:durableId="2046824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5F1"/>
    <w:rsid w:val="0029639D"/>
    <w:rsid w:val="00326F90"/>
    <w:rsid w:val="008528C9"/>
    <w:rsid w:val="00852BE6"/>
    <w:rsid w:val="00863159"/>
    <w:rsid w:val="00AA1D8D"/>
    <w:rsid w:val="00B47730"/>
    <w:rsid w:val="00CB0664"/>
    <w:rsid w:val="00CB13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A9CC7"/>
  <w14:defaultImageDpi w14:val="300"/>
  <w15:docId w15:val="{90B6299F-03E8-4F06-AB1A-39803730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2359</Words>
  <Characters>12975</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Rubén Juárez Cádiz</cp:lastModifiedBy>
  <cp:revision>2</cp:revision>
  <dcterms:created xsi:type="dcterms:W3CDTF">2013-12-23T23:15:00Z</dcterms:created>
  <dcterms:modified xsi:type="dcterms:W3CDTF">2026-08-31T10:46:00Z</dcterms:modified>
  <cp:category/>
</cp:coreProperties>
</file>