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b/>
          <w:bCs/>
          <w:color w:val="929292"/>
          <w:spacing w:val="40"/>
          <w:sz w:val="18"/>
          <w:szCs w:val="18"/>
        </w:rPr>
        <w:t xml:space="preserve">PARTNER BRIEFING · COMPANION REVIEW DOC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Review &amp; Decisions</w:t>
      </w:r>
    </w:p>
    <w:p>
      <w:pPr>
        <w:spacing w:after="20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For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Tlali · Micha · Kim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   ·    From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Ruben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   ·    Last updated 19 April 2026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How to use this doc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flow.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 This is the companion doc to the partner briefing microsite. The site is for reading; this doc is for committing to a position. Browse any section of the microsite at your own pace. When you hit a decision you want to weigh in on, come here, find the matching number, and type your position under it. General reactions can live in the "Overall impressions" section below.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Response format.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 Three short bullets per decision is enough: your </w:t>
      </w:r>
      <w:r>
        <w:rPr>
          <w:rFonts w:ascii="Arial" w:cs="Arial" w:eastAsia="Arial" w:hAnsi="Arial"/>
          <w:i/>
          <w:iCs/>
          <w:color w:val="3C3C3C"/>
          <w:sz w:val="22"/>
          <w:szCs w:val="22"/>
        </w:rPr>
        <w:t xml:space="preserve">position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(green-light / red-flag / modify), your </w:t>
      </w:r>
      <w:r>
        <w:rPr>
          <w:rFonts w:ascii="Arial" w:cs="Arial" w:eastAsia="Arial" w:hAnsi="Arial"/>
          <w:i/>
          <w:iCs/>
          <w:color w:val="3C3C3C"/>
          <w:sz w:val="22"/>
          <w:szCs w:val="22"/>
        </w:rPr>
        <w:t xml:space="preserve">reasoning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(one sentence), and </w:t>
      </w:r>
      <w:r>
        <w:rPr>
          <w:rFonts w:ascii="Arial" w:cs="Arial" w:eastAsia="Arial" w:hAnsi="Arial"/>
          <w:i/>
          <w:iCs/>
          <w:color w:val="3C3C3C"/>
          <w:sz w:val="22"/>
          <w:szCs w:val="22"/>
        </w:rPr>
        <w:t xml:space="preserve">what would change your mind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(the one thing that would shift you). No polish required — voice notes, Slack fragments, half-sentences all fine. I'll synthesise. If a decision doesn't speak to your lane, leave it blank.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Urgency map.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 Seven </w:t>
      </w:r>
      <w:r>
        <w:rPr>
          <w:rFonts w:ascii="Arial" w:cs="Arial" w:eastAsia="Arial" w:hAnsi="Arial"/>
          <w:b/>
          <w:bCs/>
          <w:color w:val="FC4E2B"/>
          <w:sz w:val="22"/>
          <w:szCs w:val="22"/>
        </w:rPr>
        <w:t xml:space="preserve">pre-listening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calls (00–06) matter most — they shape the Week 2 decision sync on 5 May. Six </w:t>
      </w:r>
      <w:r>
        <w:rPr>
          <w:rFonts w:ascii="Arial" w:cs="Arial" w:eastAsia="Arial" w:hAnsi="Arial"/>
          <w:b/>
          <w:bCs/>
          <w:color w:val="6E7500"/>
          <w:sz w:val="22"/>
          <w:szCs w:val="22"/>
        </w:rPr>
        <w:t xml:space="preserve">post-listening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calls (07–12) get sharper as inner-circle conversations surface. Three </w:t>
      </w:r>
      <w:r>
        <w:rPr>
          <w:rFonts w:ascii="Arial" w:cs="Arial" w:eastAsia="Arial" w:hAnsi="Arial"/>
          <w:b/>
          <w:bCs/>
          <w:color w:val="929292"/>
          <w:sz w:val="22"/>
          <w:szCs w:val="22"/>
        </w:rPr>
        <w:t xml:space="preserve">advisory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calls (13–15) — input welcome, I have a working answer.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Timeline.</w:t>
      </w:r>
      <w:r>
        <w:rPr>
          <w:rFonts w:ascii="Arial" w:cs="Arial" w:eastAsia="Arial" w:hAnsi="Arial"/>
          <w:color w:val="3C3C3C"/>
          <w:sz w:val="22"/>
          <w:szCs w:val="22"/>
        </w:rPr>
        <w:t xml:space="preserve">  Browse and comment through the listening window (22 April → 5 May). We'll close the loop in a short group session before the 18 May suggested official launch. Microsite: </w:t>
      </w:r>
      <w:hyperlink w:history="1" r:id="rIdmn09xg0t5hh3rughmubfl">
        <w:r>
          <w:rPr>
            <w:rFonts w:ascii="Arial" w:cs="Arial" w:eastAsia="Arial" w:hAnsi="Arial"/>
            <w:color w:val="FC4E2B"/>
            <w:sz w:val="20"/>
            <w:szCs w:val="20"/>
            <w:u w:val="single"/>
          </w:rPr>
          <w:t xml:space="preserve">see the briefing</w:t>
        </w:r>
      </w:hyperlink>
      <w:r>
        <w:rPr>
          <w:rFonts w:ascii="Arial" w:cs="Arial" w:eastAsia="Arial" w:hAnsi="Arial"/>
          <w:color w:val="3C3C3C"/>
          <w:sz w:val="22"/>
          <w:szCs w:val="22"/>
        </w:rPr>
        <w:t xml:space="preserve">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Overall impressions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29292"/>
          <w:sz w:val="18"/>
          <w:szCs w:val="18"/>
        </w:rPr>
        <w:t xml:space="preserve">Anything that hit you at first read — positive or negative. Not scored, not weighted. Useful for shaping the refinement.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landed?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made you pause?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What's missing?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9292"/>
          <w:spacing w:val="40"/>
          <w:sz w:val="18"/>
          <w:szCs w:val="18"/>
        </w:rPr>
        <w:t xml:space="preserve">PRE-LISTENING · 7 CALLS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Decisions that shape Week 2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These seven calls land the shape of what we build in Week 3. Your position on each — even a tentative one — helps us enter the 5 May sync with something concrete to confirm or correct.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00.  Capability split + product-engineering hire path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C4E2B"/>
          <w:sz w:val="20"/>
          <w:szCs w:val="20"/>
        </w:rPr>
        <w:t xml:space="preserve">All three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04 Operating Model → Capability map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Positioning GritFuel as a Growth OS asks a capability the original service shape didn't: client-facing multi-tenant product engineering. Proposed: align on the capability map (automation / integration / product-engineering), agree which partner leads conversation per lane, pick a hire path (phased equity-for-work contractor, straight contractor, or dev shop + revenue-share), and offset with WBSO + MIT / Innovation Credit NL. Existing shareholdings stay where they are — this is about naming additive scope.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01.  Client-facing hero: Dashboard or Playbook?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C4E2B"/>
          <w:sz w:val="20"/>
          <w:szCs w:val="20"/>
        </w:rPr>
        <w:t xml:space="preserve">All three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02 Product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Is the Compounding Growth Dashboard the #1 artefact a founder sees (and the one we demo / lead the site with), with the Monthly Playbook as the ritual behind it — or is the Playbook the hero with the Dashboard narrative-only? Upstream of tool exposure.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02.  Public-site language: "GritFuel OS" or "Monthly Growth System"?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C4E2B"/>
          <w:sz w:val="20"/>
          <w:szCs w:val="20"/>
        </w:rPr>
        <w:t xml:space="preserve">All three · Kim lead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02 Product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Does "GritFuel OS — the first Growth Operating System" lead on the public site, or does "Monthly Growth System" stay as the front door with GritFuel OS sitting behind it as the engine?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03.  Display type: editorial serif or Montserrat sans?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C4E2B"/>
          <w:sz w:val="20"/>
          <w:szCs w:val="20"/>
        </w:rPr>
        <w:t xml:space="preserve">Kim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03 Brand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Editorial serif (as on the live site) or Montserrat sans (as in Brand Guide v2)? One pick, committed everywhere. Needs to land before final copy pushes to the site.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04.  Surface credits publicly?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C4E2B"/>
          <w:sz w:val="20"/>
          <w:szCs w:val="20"/>
        </w:rPr>
        <w:t xml:space="preserve">All three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04 Operating Model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We've agreed no public prices in beta. But do we publish credit counts per tier (70 / 110 / 180) and a one-liner on what a credit does — to trigger "how does that work?" without anchoring a euro number?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05.  Geographies in cohort one: NL + SA parallel, or NL-only?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C4E2B"/>
          <w:sz w:val="20"/>
          <w:szCs w:val="20"/>
        </w:rPr>
        <w:t xml:space="preserve">All three · Tlali lead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01 Strategy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NL €500k – €5m and SA R5M – R100M as parallel test markets — does that split hold, or do we start NL-only and phase SA in after cohort one? If parallel, what shifts in the SA range?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06.  Outbound ownership for cohort one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C4E2B"/>
          <w:sz w:val="20"/>
          <w:szCs w:val="20"/>
        </w:rPr>
        <w:t xml:space="preserve">All three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05 GTM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partner rotates in, we hire a junior BDR, or we use an outbound partner on results-only? Each has a cost the group has to accept — and it affects capacity math immediately.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9292"/>
          <w:spacing w:val="40"/>
          <w:sz w:val="18"/>
          <w:szCs w:val="18"/>
        </w:rPr>
        <w:t xml:space="preserve">POST-LISTENING · 6 CALLS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Decisions that resolve in cohort one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Weigh in if you have a strong instinct. Otherwise these will get sharper through the 22 April – 18 May listening window, and we'll close them as real conversations surface signal.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07.  Beachhead: one vertical or horizontal?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500"/>
          <w:sz w:val="20"/>
          <w:szCs w:val="20"/>
        </w:rPr>
        <w:t xml:space="preserve">Tlali lead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01 Strategy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Do we go narrow (one vertical — consumer DTC or vertical SaaS) for cohort one, or stay horizontal? Your instinct and why?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08.  Escalation Router start state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500"/>
          <w:sz w:val="20"/>
          <w:szCs w:val="20"/>
        </w:rPr>
        <w:t xml:space="preserve">Micha lead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02 Product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Human-in-the-loop for the first cohort (slower, better data) or automated from day one (faster, rougher)?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09.  Stream transparency with clients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500"/>
          <w:sz w:val="20"/>
          <w:szCs w:val="20"/>
        </w:rPr>
        <w:t xml:space="preserve">All three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04 Operating Model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Do we show clients the fixed-vs-credit split (clean, defensible, negotiable) or only the headline (simpler, stronger pricing power)?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  Performance tier economics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500"/>
          <w:sz w:val="20"/>
          <w:szCs w:val="20"/>
        </w:rPr>
        <w:t xml:space="preserve">All three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04 Operating Model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Bonus on Stream 2 outcomes, lower Stream 1 + rev share, or pure rev share? Where's the group's risk appetite?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  Channel weighting (60 / 30 / 10)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500"/>
          <w:sz w:val="20"/>
          <w:szCs w:val="20"/>
        </w:rPr>
        <w:t xml:space="preserve">Tlali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05 GTM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Is the 60/30/10 split (outbound / partner-led / content inbound) for cohort one the right shape? If not — what moves?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  Intake participants: founder-only or founder + growth lead?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500"/>
          <w:sz w:val="20"/>
          <w:szCs w:val="20"/>
        </w:rPr>
        <w:t xml:space="preserve">Micha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05 GTM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Founder-only (simpler, faster) or founder + growth lead (more work to schedule, better brief)?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9292"/>
          <w:spacing w:val="40"/>
          <w:sz w:val="18"/>
          <w:szCs w:val="18"/>
        </w:rPr>
        <w:t xml:space="preserve">ADVISORY · 3 CALLS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Input welcome, working answer in place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These have a draft position already. Push back if your read differs; silence = you're comfortable with the working answer.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  JTBD phrasing land?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29292"/>
          <w:sz w:val="20"/>
          <w:szCs w:val="20"/>
        </w:rPr>
        <w:t xml:space="preserve">Tlali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01 Strategy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After reading the canvas, does the current job statement land for you, or is it still abstract? If abstract — what would you sharpen? (Working answer: it lands for me. Want your read.)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  SOM capture rate — too aggressive?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29292"/>
          <w:sz w:val="20"/>
          <w:szCs w:val="20"/>
        </w:rPr>
        <w:t xml:space="preserve">Tlali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01 Strategy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1.2% SAM capture assumption (~675 clients at Y7) is aggressive on purpose. Push back if you think it's unrealistic for year one — but the seven-year path is the sustainability question, not the first-year target.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  Parallelogram team photos — keep or retire?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29292"/>
          <w:sz w:val="20"/>
          <w:szCs w:val="20"/>
        </w:rPr>
        <w:t xml:space="preserve">Kim</w:t>
      </w:r>
      <w:r>
        <w:rPr>
          <w:rFonts w:ascii="Arial" w:cs="Arial" w:eastAsia="Arial" w:hAnsi="Arial"/>
          <w:color w:val="929292"/>
          <w:sz w:val="20"/>
          <w:szCs w:val="20"/>
        </w:rPr>
        <w:t xml:space="preserve">   ·   </w:t>
      </w:r>
      <w:r>
        <w:rPr>
          <w:rFonts w:ascii="Arial" w:cs="Arial" w:eastAsia="Arial" w:hAnsi="Arial"/>
          <w:i/>
          <w:iCs/>
          <w:color w:val="929292"/>
          <w:sz w:val="20"/>
          <w:szCs w:val="20"/>
        </w:rPr>
        <w:t xml:space="preserve">Source: 03 Brand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Retire in favour of a cleaner portrait style, or keep as a signature treatment? (Working answer: retire. Cleaner portraits scale better across channels.)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Your positions: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B8401F"/>
          <w:sz w:val="22"/>
          <w:szCs w:val="22"/>
        </w:rPr>
        <w:t xml:space="preserve">Tlali: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5E6A1F"/>
          <w:sz w:val="22"/>
          <w:szCs w:val="22"/>
        </w:rPr>
        <w:t xml:space="preserve">Micha: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color w:val="2E4AA8"/>
          <w:sz w:val="22"/>
          <w:szCs w:val="22"/>
        </w:rPr>
        <w:t xml:space="preserve">Kim:  </w:t>
      </w:r>
      <w:r>
        <w:rPr>
          <w:rFonts w:ascii="Arial" w:cs="Arial" w:eastAsia="Arial" w:hAnsi="Arial"/>
          <w:i/>
          <w:iCs/>
          <w:color w:val="929292"/>
          <w:sz w:val="22"/>
          <w:szCs w:val="22"/>
        </w:rPr>
        <w:t xml:space="preserve">[ position — reasoning — what would change your mind ]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Return path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You don't need to submit this doc anywhere — just type in place. I'll be reading it live. If you prefer: Slack the section number + your take in any channel we share, or voice-note me. I'll paste it in.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29292"/>
          <w:sz w:val="18"/>
          <w:szCs w:val="18"/>
        </w:rPr>
        <w:t xml:space="preserve">Thank you for the time.</w:t>
      </w:r>
    </w:p>
    <w:p>
      <w:pPr>
        <w:spacing w:after="80"/>
      </w:pPr>
      <w:r>
        <w:rPr>
          <w:rFonts w:ascii="Arial" w:cs="Arial" w:eastAsia="Arial" w:hAnsi="Arial"/>
          <w:color w:val="3C3C3C"/>
          <w:sz w:val="18"/>
          <w:szCs w:val="18"/>
        </w:rPr>
        <w:t xml:space="preserve">— Ruben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29292"/>
        <w:sz w:val="18"/>
        <w:szCs w:val="18"/>
      </w:rPr>
      <w:t xml:space="preserve">GritFuel Partner Briefing — Review &amp; Decisions</w:t>
    </w:r>
    <w:r>
      <w:rPr>
        <w:rFonts w:ascii="Arial" w:cs="Arial" w:eastAsia="Arial" w:hAnsi="Arial"/>
        <w:color w:val="929292"/>
        <w:sz w:val="18"/>
        <w:szCs w:val="18"/>
      </w:rPr>
      <w:t xml:space="preserve">    ·    Page </w:t>
    </w:r>
    <w:r>
      <w:rPr>
        <w:rFonts w:ascii="Arial" w:cs="Arial" w:eastAsia="Arial" w:hAnsi="Arial"/>
        <w:color w:val="92929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60"/>
      <w:szCs w:val="6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n09xg0t5hh3rughmubfl" Type="http://schemas.openxmlformats.org/officeDocument/2006/relationships/hyperlink" Target="https://gritfuel-partner-briefing.example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GritFuel Partner Briefing — Review &amp; Decisions</dc:title>
  <dc:creator>Ruben / GritFuel</dc:creator>
  <dc:description>Companion review doc for the GritFuel partner briefing microsite</dc:description>
  <cp:lastModifiedBy>Un-named</cp:lastModifiedBy>
  <cp:revision>1</cp:revision>
  <dcterms:created xsi:type="dcterms:W3CDTF">2026-04-19T08:38:54.191Z</dcterms:created>
  <dcterms:modified xsi:type="dcterms:W3CDTF">2026-04-19T08:38:54.192Z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